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Europaparlamentet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250798"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{INTA}</w:t>
      </w:r>
      <w:r>
        <w:t>Utskottet för internationell handel</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2020/2006</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(INL)</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30/06/2020</w:t>
      </w:r>
      <w:r>
        <w:rPr>
          <w:rStyle w:val="HideTWBInt"/>
        </w:rPr>
        <w:t>}</w:t>
      </w:r>
      <w:r>
        <w:t>30.6.2020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ÄNDRINGSFÖRSLAG</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1 - 49</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Förslag till yttrande</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Karin Karlsbro</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PE652.411v01-00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En EU-rättslig ram för att stoppa och vända den globala avskogning som drivs av EU</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2020/2006(INL)</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konstaterar att bevarandet av skogarna är en av de största hållbarhetsutmaningarna under vår tid, och utan det kan målen i Parisavtalet och den gröna given inte uppnås. Parlamentet betonar att hållbart utnyttjande av skogar inte kan säkerställas genom den nuvarande politiken.</w:t>
            </w:r>
          </w:p>
        </w:tc>
        <w:tc>
          <w:tcPr>
            <w:tcW w:w="4876" w:type="dxa"/>
            <w:vAlign w:val="top"/>
          </w:tcPr>
          <w:p>
            <w:pPr>
              <w:pStyle w:val="Normal6a"/>
            </w:pPr>
            <w:r>
              <w:t>1.</w:t>
            </w:r>
            <w:r>
              <w:tab/>
            </w:r>
            <w:r>
              <w:t xml:space="preserve">Europaparlamentet konstaterar att bevarandet av skogarna är en av de största hållbarhetsutmaningarna under vår tid, och utan det kan målen i Parisavtalet och den gröna given inte uppnås. Parlamentet betonar att </w:t>
            </w:r>
            <w:r>
              <w:rPr>
                <w:rFonts w:ascii="Times New Roman" w:eastAsia="Times New Roman" w:hAnsi="Times New Roman" w:cs="Times New Roman"/>
                <w:b/>
                <w:i/>
                <w:strike w:val="0"/>
                <w:color w:val="auto"/>
                <w:sz w:val="24"/>
                <w:highlight w:val="none"/>
                <w:u w:val="none" w:color="auto"/>
                <w:vertAlign w:val="baseline"/>
              </w:rPr>
              <w:t>ett</w:t>
            </w:r>
            <w:r>
              <w:t xml:space="preserve"> hållbart utnyttjande av skogar </w:t>
            </w:r>
            <w:r>
              <w:rPr>
                <w:rFonts w:ascii="Times New Roman" w:eastAsia="Times New Roman" w:hAnsi="Times New Roman" w:cs="Times New Roman"/>
                <w:b/>
                <w:i/>
                <w:strike w:val="0"/>
                <w:color w:val="auto"/>
                <w:sz w:val="24"/>
                <w:highlight w:val="none"/>
                <w:u w:val="none" w:color="auto"/>
                <w:vertAlign w:val="baseline"/>
              </w:rPr>
              <w:t>och ekosystem</w:t>
            </w:r>
            <w:r>
              <w:t xml:space="preserve"> inte kan säkerställas genom den nuvarande politiken. </w:t>
            </w:r>
            <w:r>
              <w:rPr>
                <w:rFonts w:ascii="Times New Roman" w:eastAsia="Times New Roman" w:hAnsi="Times New Roman" w:cs="Times New Roman"/>
                <w:b/>
                <w:i/>
                <w:strike w:val="0"/>
                <w:color w:val="auto"/>
                <w:sz w:val="24"/>
                <w:highlight w:val="none"/>
                <w:u w:val="none" w:color="auto"/>
                <w:vertAlign w:val="baseline"/>
              </w:rPr>
              <w:t>Parlamentet betonar i detta avseende att handels- och investeringspolitiken behöver ses över för att bemöta denna globala utmaning på ett effektivare sätt, och genom att säkerställa lika villkor för alla globalt genom obligatorisk tillbörlig aktsamhet för företag.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Europaparlamentet konstaterar att bevarandet av skogarna är en av de största </w:t>
            </w:r>
            <w:r>
              <w:rPr>
                <w:rFonts w:ascii="Times New Roman" w:eastAsia="Times New Roman" w:hAnsi="Times New Roman" w:cs="Times New Roman"/>
                <w:b/>
                <w:i/>
                <w:strike w:val="0"/>
                <w:color w:val="auto"/>
                <w:sz w:val="24"/>
                <w:highlight w:val="none"/>
                <w:u w:val="none" w:color="auto"/>
                <w:vertAlign w:val="baseline"/>
              </w:rPr>
              <w:t>hållbarhetsutmaningarna</w:t>
            </w:r>
            <w:r>
              <w:t xml:space="preserve"> under vår tid</w:t>
            </w:r>
            <w:r>
              <w:rPr>
                <w:rFonts w:ascii="Times New Roman" w:eastAsia="Times New Roman" w:hAnsi="Times New Roman" w:cs="Times New Roman"/>
                <w:b/>
                <w:i/>
                <w:strike w:val="0"/>
                <w:color w:val="auto"/>
                <w:sz w:val="24"/>
                <w:highlight w:val="none"/>
                <w:u w:val="none" w:color="auto"/>
                <w:vertAlign w:val="baseline"/>
              </w:rPr>
              <w:t>, och utan det kan</w:t>
            </w:r>
            <w:r>
              <w:t xml:space="preserve"> målen i Parisavtalet och den gröna given </w:t>
            </w:r>
            <w:r>
              <w:rPr>
                <w:rFonts w:ascii="Times New Roman" w:eastAsia="Times New Roman" w:hAnsi="Times New Roman" w:cs="Times New Roman"/>
                <w:b/>
                <w:i/>
                <w:strike w:val="0"/>
                <w:color w:val="auto"/>
                <w:sz w:val="24"/>
                <w:highlight w:val="none"/>
                <w:u w:val="none" w:color="auto"/>
                <w:vertAlign w:val="baseline"/>
              </w:rPr>
              <w:t>inte uppnås</w:t>
            </w:r>
            <w:r>
              <w:t>. Parlamentet betonar att hållbart utnyttjande av skogar inte kan säkerställas genom den nuvarande politiken.</w:t>
            </w:r>
          </w:p>
        </w:tc>
        <w:tc>
          <w:tcPr>
            <w:tcW w:w="4876" w:type="dxa"/>
            <w:vAlign w:val="top"/>
          </w:tcPr>
          <w:p>
            <w:pPr>
              <w:pStyle w:val="Normal6a"/>
            </w:pPr>
            <w:r>
              <w:t>1.</w:t>
            </w:r>
            <w:r>
              <w:tab/>
            </w:r>
            <w:r>
              <w:t xml:space="preserve">Europaparlamentet konstaterar att bevarandet av skogarna är en av de största </w:t>
            </w:r>
            <w:r>
              <w:rPr>
                <w:rFonts w:ascii="Times New Roman" w:eastAsia="Times New Roman" w:hAnsi="Times New Roman" w:cs="Times New Roman"/>
                <w:b/>
                <w:i/>
                <w:strike w:val="0"/>
                <w:color w:val="auto"/>
                <w:sz w:val="24"/>
                <w:highlight w:val="none"/>
                <w:u w:val="none" w:color="auto"/>
                <w:vertAlign w:val="baseline"/>
              </w:rPr>
              <w:t>utmaningarna</w:t>
            </w:r>
            <w:r>
              <w:t xml:space="preserve"> under vår tid </w:t>
            </w:r>
            <w:r>
              <w:rPr>
                <w:rFonts w:ascii="Times New Roman" w:eastAsia="Times New Roman" w:hAnsi="Times New Roman" w:cs="Times New Roman"/>
                <w:b/>
                <w:i/>
                <w:strike w:val="0"/>
                <w:color w:val="auto"/>
                <w:sz w:val="24"/>
                <w:highlight w:val="none"/>
                <w:u w:val="none" w:color="auto"/>
                <w:vertAlign w:val="baseline"/>
              </w:rPr>
              <w:t>när det gäller hållbarhet, klimatrubbningar och bevarande av biologisk mångfald och har stor betydelse för uppnåendet av</w:t>
            </w:r>
            <w:r>
              <w:t xml:space="preserve"> målen i Parisavtalet och den gröna given. Parlamentet betonar att hållbart utnyttjande av skogar inte kan säkerställas genom den nuvarande politiken.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Europaparlamentet konstaterar att bevarandet av skogarna </w:t>
            </w:r>
            <w:r>
              <w:rPr>
                <w:rFonts w:ascii="Times New Roman" w:eastAsia="Times New Roman" w:hAnsi="Times New Roman" w:cs="Times New Roman"/>
                <w:b/>
                <w:i/>
                <w:strike w:val="0"/>
                <w:color w:val="auto"/>
                <w:sz w:val="24"/>
                <w:highlight w:val="none"/>
                <w:u w:val="none" w:color="auto"/>
                <w:vertAlign w:val="baseline"/>
              </w:rPr>
              <w:t>är en</w:t>
            </w:r>
            <w:r>
              <w:t xml:space="preserve"> av de största hållbarhetsutmaningarna under vår tid, och utan </w:t>
            </w:r>
            <w:r>
              <w:rPr>
                <w:rFonts w:ascii="Times New Roman" w:eastAsia="Times New Roman" w:hAnsi="Times New Roman" w:cs="Times New Roman"/>
                <w:b/>
                <w:i/>
                <w:strike w:val="0"/>
                <w:color w:val="auto"/>
                <w:sz w:val="24"/>
                <w:highlight w:val="none"/>
                <w:u w:val="none" w:color="auto"/>
                <w:vertAlign w:val="baseline"/>
              </w:rPr>
              <w:t>det</w:t>
            </w:r>
            <w:r>
              <w:t xml:space="preserve"> kan målen i Parisavtalet och den gröna given inte uppnås. Parlamentet betonar att hållbart utnyttjande av skogar inte kan säkerställas genom den nuvarande politiken.</w:t>
            </w:r>
          </w:p>
        </w:tc>
        <w:tc>
          <w:tcPr>
            <w:tcW w:w="4876" w:type="dxa"/>
            <w:vAlign w:val="top"/>
          </w:tcPr>
          <w:p>
            <w:pPr>
              <w:pStyle w:val="Normal6a"/>
            </w:pPr>
            <w:r>
              <w:t>1.</w:t>
            </w:r>
            <w:r>
              <w:tab/>
            </w:r>
            <w:r>
              <w:t xml:space="preserve">Europaparlamentet konstaterar att bevarandet av skogarna </w:t>
            </w:r>
            <w:r>
              <w:rPr>
                <w:rFonts w:ascii="Times New Roman" w:eastAsia="Times New Roman" w:hAnsi="Times New Roman" w:cs="Times New Roman"/>
                <w:b/>
                <w:i/>
                <w:strike w:val="0"/>
                <w:color w:val="auto"/>
                <w:sz w:val="24"/>
                <w:highlight w:val="none"/>
                <w:u w:val="none" w:color="auto"/>
                <w:vertAlign w:val="baseline"/>
              </w:rPr>
              <w:t>och förebyggandet av skogsförstörelse är några</w:t>
            </w:r>
            <w:r>
              <w:t xml:space="preserve"> av de största hållbarhetsutmaningarna under vår tid, och utan </w:t>
            </w:r>
            <w:r>
              <w:rPr>
                <w:rFonts w:ascii="Times New Roman" w:eastAsia="Times New Roman" w:hAnsi="Times New Roman" w:cs="Times New Roman"/>
                <w:b/>
                <w:i/>
                <w:strike w:val="0"/>
                <w:color w:val="auto"/>
                <w:sz w:val="24"/>
                <w:highlight w:val="none"/>
                <w:u w:val="none" w:color="auto"/>
                <w:vertAlign w:val="baseline"/>
              </w:rPr>
              <w:t>dem</w:t>
            </w:r>
            <w:r>
              <w:t xml:space="preserve"> kan målen i Parisavtalet och den gröna given inte uppnås. Parlamentet betonar att hållbart utnyttjande av skogar inte kan säkerställas genom den nuvarande politiken.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konstaterar att bevarandet av skogarna är en av de största hållbarhetsutmaningarna under vår tid, och utan det kan målen i Parisavtalet och den gröna given inte uppnås. Parlamentet betonar att hållbart utnyttjande av skogar inte kan säkerställas genom den nuvarande politiken.</w:t>
            </w:r>
          </w:p>
        </w:tc>
        <w:tc>
          <w:tcPr>
            <w:tcW w:w="4876" w:type="dxa"/>
            <w:vAlign w:val="top"/>
          </w:tcPr>
          <w:p>
            <w:pPr>
              <w:pStyle w:val="Normal6a"/>
            </w:pPr>
            <w:r>
              <w:t>1.</w:t>
            </w:r>
            <w:r>
              <w:tab/>
            </w:r>
            <w:r>
              <w:t xml:space="preserve">Europaparlamentet konstaterar att </w:t>
            </w:r>
            <w:r>
              <w:rPr>
                <w:rFonts w:ascii="Times New Roman" w:eastAsia="Times New Roman" w:hAnsi="Times New Roman" w:cs="Times New Roman"/>
                <w:b/>
                <w:i/>
                <w:strike w:val="0"/>
                <w:color w:val="auto"/>
                <w:sz w:val="24"/>
                <w:highlight w:val="none"/>
                <w:u w:val="none" w:color="auto"/>
                <w:vertAlign w:val="baseline"/>
              </w:rPr>
              <w:t>det globala</w:t>
            </w:r>
            <w:r>
              <w:t xml:space="preserve"> bevarandet av skogarna är en av de största hållbarhetsutmaningarna under vår tid, och utan det kan målen i Parisavtalet och den gröna given inte uppnås. Parlamentet betonar att </w:t>
            </w:r>
            <w:r>
              <w:rPr>
                <w:rFonts w:ascii="Times New Roman" w:eastAsia="Times New Roman" w:hAnsi="Times New Roman" w:cs="Times New Roman"/>
                <w:b/>
                <w:i/>
                <w:strike w:val="0"/>
                <w:color w:val="auto"/>
                <w:sz w:val="24"/>
                <w:highlight w:val="none"/>
                <w:u w:val="none" w:color="auto"/>
                <w:vertAlign w:val="baseline"/>
              </w:rPr>
              <w:t>ett</w:t>
            </w:r>
            <w:r>
              <w:t xml:space="preserve"> hållbart utnyttjande av skogar </w:t>
            </w:r>
            <w:r>
              <w:rPr>
                <w:rFonts w:ascii="Times New Roman" w:eastAsia="Times New Roman" w:hAnsi="Times New Roman" w:cs="Times New Roman"/>
                <w:b/>
                <w:i/>
                <w:strike w:val="0"/>
                <w:color w:val="auto"/>
                <w:sz w:val="24"/>
                <w:highlight w:val="none"/>
                <w:u w:val="none" w:color="auto"/>
                <w:vertAlign w:val="baseline"/>
              </w:rPr>
              <w:t>i vissa delar av världen</w:t>
            </w:r>
            <w:r>
              <w:t xml:space="preserve"> inte kan säkerställas genom den nuvarande politiken.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konstaterar att EU är en viktig importör av råvaror som utgör en risk för skogar och ekosystem, och att EU har ett ansvar att göra mer för att minska de skadliga effekterna av dessa importer.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påminner, mot bakgrund av den beklagliga covid-19-pandemin, att ödeläggelsen av skogsekosystem konstaterats vara en faktor som kan ge upphov till nya pandemier.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Europaparlamentet begär att man vid översynen av unionens gemensamma handelspolitik till fullo beaktar kopplingarna mellan den ökande internationella handeln och dess negativa inverkan på den globala biologiska mångfalden, särskilt skogsekosystemen.</w:t>
            </w:r>
            <w:r>
              <w:t xml:space="preserve"> </w:t>
            </w:r>
            <w:r>
              <w:rPr>
                <w:rFonts w:ascii="Times New Roman" w:eastAsia="Times New Roman" w:hAnsi="Times New Roman" w:cs="Times New Roman"/>
                <w:b/>
                <w:i/>
                <w:strike w:val="0"/>
                <w:color w:val="auto"/>
                <w:sz w:val="24"/>
                <w:highlight w:val="none"/>
                <w:u w:val="none" w:color="auto"/>
                <w:vertAlign w:val="baseline"/>
              </w:rPr>
              <w:t>Parlamentet begär att unionen i sina handelsförbindelser inför bindande mekanismer och faktiskt tillämpade sanktioner för att verkligen skydda den biologiska mångfalden.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Europaparlamentet noterar att jordbrukets expansion står bakom uppskattningsvis 80 % av den globala avskogningen och har sin bakgrund i efterfrågan på råvaror som utgör en risk för skogar och ekosystem, såsom palmolja, soja, kött, läder, kakao, kaffe, gummi och majs.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1c.</w:t>
            </w:r>
            <w:r>
              <w:tab/>
            </w:r>
            <w:r>
              <w:rPr>
                <w:rFonts w:ascii="Times New Roman" w:eastAsia="Times New Roman" w:hAnsi="Times New Roman" w:cs="Times New Roman"/>
                <w:b/>
                <w:i/>
                <w:strike w:val="0"/>
                <w:color w:val="auto"/>
                <w:sz w:val="24"/>
                <w:highlight w:val="none"/>
                <w:u w:val="none" w:color="auto"/>
                <w:vertAlign w:val="baseline"/>
              </w:rPr>
              <w:t>Europaparlamentet konstaterar att det, med undantag av de produkter som omfattas av EU:s timmerförordning, för närvarande inte finns någon gällande EU-lagstiftning som ålägger sådana ekonomiska aktörer som tar in råvaror som utgör en risk för skogar och ekosystem på EU-marknaden att följa förfaranden för tillbörlig aktsamhet för att minska risken för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även genom att erbjuda kapacitetsuppbyggnad.</w:t>
            </w:r>
          </w:p>
        </w:tc>
        <w:tc>
          <w:tcPr>
            <w:tcW w:w="4876" w:type="dxa"/>
            <w:vAlign w:val="top"/>
          </w:tcPr>
          <w:p>
            <w:pPr>
              <w:pStyle w:val="Normal6a"/>
            </w:pPr>
            <w:r>
              <w:t>2.</w:t>
            </w:r>
            <w:r>
              <w:tab/>
            </w:r>
            <w:r>
              <w:t xml:space="preserve">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även genom att erbjuda kapacitetsuppbyggnad. </w:t>
            </w:r>
            <w:r>
              <w:rPr>
                <w:rFonts w:ascii="Times New Roman" w:eastAsia="Times New Roman" w:hAnsi="Times New Roman" w:cs="Times New Roman"/>
                <w:b/>
                <w:i/>
                <w:strike w:val="0"/>
                <w:color w:val="auto"/>
                <w:sz w:val="24"/>
                <w:highlight w:val="none"/>
                <w:u w:val="none" w:color="auto"/>
                <w:vertAlign w:val="baseline"/>
              </w:rPr>
              <w:t>Parlamentet betonar att de frivilliga partnerskapsavtalen utgör en mycket effektiv ram för att inrätta goda partnerskap med dessa länder, och att nya frivilliga partnerskapsavtal med ytterligare partner bör främjas.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även genom att erbjuda kapacitetsuppbyggnad.</w:t>
            </w:r>
          </w:p>
        </w:tc>
        <w:tc>
          <w:tcPr>
            <w:tcW w:w="4876" w:type="dxa"/>
            <w:vAlign w:val="top"/>
          </w:tcPr>
          <w:p>
            <w:pPr>
              <w:pStyle w:val="Normal6a"/>
            </w:pPr>
            <w:r>
              <w:t>2.</w:t>
            </w:r>
            <w:r>
              <w:tab/>
            </w:r>
            <w:r>
              <w:t xml:space="preserve">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även genom att erbjuda kapacitetsuppbyggnad. </w:t>
            </w:r>
            <w:r>
              <w:rPr>
                <w:rFonts w:ascii="Times New Roman" w:eastAsia="Times New Roman" w:hAnsi="Times New Roman" w:cs="Times New Roman"/>
                <w:b/>
                <w:i/>
                <w:strike w:val="0"/>
                <w:color w:val="auto"/>
                <w:sz w:val="24"/>
                <w:highlight w:val="none"/>
                <w:u w:val="none" w:color="auto"/>
                <w:vertAlign w:val="baseline"/>
              </w:rPr>
              <w:t>Parlamentet anser att modellen med frivilliga partnerskapsavtal kan utvidgas till att omfatta nya råvaror som utgör en risk för skogar och ekosystem.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även genom att erbjuda kapacitetsuppbyggnad.</w:t>
            </w:r>
          </w:p>
        </w:tc>
        <w:tc>
          <w:tcPr>
            <w:tcW w:w="4876" w:type="dxa"/>
            <w:vAlign w:val="top"/>
          </w:tcPr>
          <w:p>
            <w:pPr>
              <w:pStyle w:val="Normal6a"/>
            </w:pPr>
            <w:r>
              <w:t>2.</w:t>
            </w:r>
            <w:r>
              <w:tab/>
            </w:r>
            <w:r>
              <w:t xml:space="preserve">Europaparlamentet välkomnar de goda resultat som samarbetet med tredjeländer inom ramen för EU:s Flegthandlingsplan och frivilliga partnerskapsavtal har visat när det gäller att ta itu med problemet med olaglig avverkning på utbudssidan, och betonar att detta arbete bör intensifieras, </w:t>
            </w:r>
            <w:r>
              <w:rPr>
                <w:rFonts w:ascii="Times New Roman" w:eastAsia="Times New Roman" w:hAnsi="Times New Roman" w:cs="Times New Roman"/>
                <w:b/>
                <w:i/>
                <w:strike w:val="0"/>
                <w:color w:val="auto"/>
                <w:sz w:val="24"/>
                <w:highlight w:val="none"/>
                <w:u w:val="none" w:color="auto"/>
                <w:vertAlign w:val="baseline"/>
              </w:rPr>
              <w:t>särskilt genom övervakning, granskning och kontroll, och</w:t>
            </w:r>
            <w:r>
              <w:t xml:space="preserve"> även genom att erbjuda kapacitetsuppbyggnad.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betonar att genomförandet och verkställandet av EU:s timmerförordning behöver förbättras ytterligare, så att man på bästa sätt kan bevara en hållbar handel med importerat och inhemskt producerat timmer och relaterade trävaror.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Parlamentet bekräftar att EU:s timmerförordning är viktig för att förhindra att olagligt avverkat timmer kommer in på EU:s marknader.</w:t>
            </w:r>
            <w:r>
              <w:t xml:space="preserve"> </w:t>
            </w:r>
            <w:r>
              <w:rPr>
                <w:rFonts w:ascii="Times New Roman" w:eastAsia="Times New Roman" w:hAnsi="Times New Roman" w:cs="Times New Roman"/>
                <w:b/>
                <w:i/>
                <w:strike w:val="0"/>
                <w:color w:val="auto"/>
                <w:sz w:val="24"/>
                <w:highlight w:val="none"/>
                <w:u w:val="none" w:color="auto"/>
                <w:vertAlign w:val="baseline"/>
              </w:rPr>
              <w:t>Parlamentet konstaterar att genomförandet och verkställandet av den inte har varit tillfredsställande.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Dita Charanzová</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3b.</w:t>
            </w:r>
            <w:r>
              <w:tab/>
            </w:r>
            <w:r>
              <w:rPr>
                <w:rFonts w:ascii="Times New Roman" w:eastAsia="Times New Roman" w:hAnsi="Times New Roman" w:cs="Times New Roman"/>
                <w:b/>
                <w:i/>
                <w:strike w:val="0"/>
                <w:color w:val="auto"/>
                <w:sz w:val="24"/>
                <w:highlight w:val="none"/>
                <w:u w:val="none" w:color="auto"/>
                <w:vertAlign w:val="baseline"/>
              </w:rPr>
              <w:t>Europaparlamentet upprepar sin begäran om noggrannare kontroller av importerat timmer och importerade trävaror vid EU:s gränser, så att det kan säkerställas att de importerade produkterna verkligen uppfyller kriterierna för införsel till EU.</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kommissionen måste säkerställa att tullkontroller i hela EU följer samma standarder, med hjälp av en direkt, enhetlig tullkontrollmekanism som samordnas med medlemsstaterna, och i fullständig överensstämmelse med subsidiaritetsprincipen.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3b.</w:t>
            </w:r>
            <w:r>
              <w:tab/>
            </w:r>
            <w:r>
              <w:rPr>
                <w:rFonts w:ascii="Times New Roman" w:eastAsia="Times New Roman" w:hAnsi="Times New Roman" w:cs="Times New Roman"/>
                <w:b/>
                <w:i/>
                <w:strike w:val="0"/>
                <w:color w:val="auto"/>
                <w:sz w:val="24"/>
                <w:highlight w:val="none"/>
                <w:u w:val="none" w:color="auto"/>
                <w:vertAlign w:val="baseline"/>
              </w:rPr>
              <w:t>Parlamentet välkomnar kommissionens kommande kontroll av ändamålsenligheten i Flegtförordningen och EU:s timmerförordning, och ser den som ett tillfälle att skärpa kontrollen av deras efterlevnad och utvidga dem till att gälla även till exempel trycksaker och trävaror.</w:t>
            </w:r>
            <w:r>
              <w:t xml:space="preserve"> </w:t>
            </w:r>
            <w:r>
              <w:rPr>
                <w:rFonts w:ascii="Times New Roman" w:eastAsia="Times New Roman" w:hAnsi="Times New Roman" w:cs="Times New Roman"/>
                <w:b/>
                <w:i/>
                <w:strike w:val="0"/>
                <w:color w:val="auto"/>
                <w:sz w:val="24"/>
                <w:highlight w:val="none"/>
                <w:u w:val="none" w:color="auto"/>
                <w:vertAlign w:val="baseline"/>
              </w:rPr>
              <w:t>Parlamentet begär att det civila samhället, som är en ytterst viktig källa till information om avskogning, ska ges en starkare roll.</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öka anslagen till Flegt.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3c.</w:t>
            </w:r>
            <w:r>
              <w:tab/>
            </w:r>
            <w:r>
              <w:rPr>
                <w:rFonts w:ascii="Times New Roman" w:eastAsia="Times New Roman" w:hAnsi="Times New Roman" w:cs="Times New Roman"/>
                <w:b/>
                <w:i/>
                <w:strike w:val="0"/>
                <w:color w:val="auto"/>
                <w:sz w:val="24"/>
                <w:highlight w:val="none"/>
                <w:u w:val="none" w:color="auto"/>
                <w:vertAlign w:val="baseline"/>
              </w:rPr>
              <w:t>Europaparlamentet konstaterar med oro att forskningen fortsätter att bekräfta en oroväckande koppling mellan å ena sidan zoonotiska sjukdomar, såsom Covid-19, och å andra sidan avskogning, klimatförändringar och förlust av biologisk mångfald.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3d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3d.</w:t>
            </w:r>
            <w:r>
              <w:tab/>
            </w:r>
            <w:r>
              <w:rPr>
                <w:rFonts w:ascii="Times New Roman" w:eastAsia="Times New Roman" w:hAnsi="Times New Roman" w:cs="Times New Roman"/>
                <w:b/>
                <w:i/>
                <w:strike w:val="0"/>
                <w:color w:val="auto"/>
                <w:sz w:val="24"/>
                <w:highlight w:val="none"/>
                <w:u w:val="none" w:color="auto"/>
                <w:vertAlign w:val="baseline"/>
              </w:rPr>
              <w:t>Europaparlamentet välkomnar EU:s meddelande av den 23 juli 2019 Intensifiera EU:s insatser för att skydda och återställa världens skogar.</w:t>
            </w:r>
            <w:r>
              <w:t xml:space="preserve"> </w:t>
            </w:r>
            <w:r>
              <w:rPr>
                <w:rFonts w:ascii="Times New Roman" w:eastAsia="Times New Roman" w:hAnsi="Times New Roman" w:cs="Times New Roman"/>
                <w:b/>
                <w:i/>
                <w:strike w:val="0"/>
                <w:color w:val="auto"/>
                <w:sz w:val="24"/>
                <w:highlight w:val="none"/>
                <w:u w:val="none" w:color="auto"/>
                <w:vertAlign w:val="baseline"/>
              </w:rPr>
              <w:t>Parlamentet påminner om att ett hållbart och inkluderande skogsbruk och en hållbar och inkluderande skogsförvaltning är avgörande för att målen i Agenda 2030 för hållbar utveckling, Parisavtalet och den europeiska gröna given ska kunna uppnås.</w:t>
            </w:r>
            <w:r>
              <w:t xml:space="preserve"> </w:t>
            </w:r>
            <w:r>
              <w:rPr>
                <w:rFonts w:ascii="Times New Roman" w:eastAsia="Times New Roman" w:hAnsi="Times New Roman" w:cs="Times New Roman"/>
                <w:b/>
                <w:i/>
                <w:strike w:val="0"/>
                <w:color w:val="auto"/>
                <w:sz w:val="24"/>
                <w:highlight w:val="none"/>
                <w:u w:val="none" w:color="auto"/>
                <w:vertAlign w:val="baseline"/>
              </w:rPr>
              <w:t>Parlamentet understryker att åtgärder måste vidtas för att säkerställa att efterfrågan ligger i linje med de fastställda målen, eftersom EU är en betydande importör av råvaror som associeras med avskogning, såsom soja, palmolja, eukalyptus, gummi, majs, nötkött, läder och kakao, vilka ofta driver på den globala avskogningen.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Dita Charanzová</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3e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3e.</w:t>
            </w:r>
            <w:r>
              <w:tab/>
            </w:r>
            <w:r>
              <w:rPr>
                <w:rFonts w:ascii="Times New Roman" w:eastAsia="Times New Roman" w:hAnsi="Times New Roman" w:cs="Times New Roman"/>
                <w:b/>
                <w:i/>
                <w:strike w:val="0"/>
                <w:color w:val="auto"/>
                <w:sz w:val="24"/>
                <w:highlight w:val="none"/>
                <w:u w:val="none" w:color="auto"/>
                <w:vertAlign w:val="baseline"/>
              </w:rPr>
              <w:t>Parlamentet framhåller att råvaror såsom kakao erbjuder en möjlighet att tidigt göra framsteg med en sådan metod med hjälp av lärdomar från processen med frivilliga Flegt-partnerskapsavtal.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3f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3f.</w:t>
            </w:r>
            <w:r>
              <w:tab/>
            </w:r>
            <w:r>
              <w:rPr>
                <w:rFonts w:ascii="Times New Roman" w:eastAsia="Times New Roman" w:hAnsi="Times New Roman" w:cs="Times New Roman"/>
                <w:b/>
                <w:i/>
                <w:strike w:val="0"/>
                <w:color w:val="auto"/>
                <w:sz w:val="24"/>
                <w:highlight w:val="none"/>
                <w:u w:val="none" w:color="auto"/>
                <w:vertAlign w:val="baseline"/>
              </w:rPr>
              <w:t>Europaparlamentet anser att EU måste se till att endast globala leveranskedjor och finansiella flöden som är hållbara och avskogningsfria och som inte leder till kränkningar av de mänskliga rättigheterna främjas.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3g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3g.</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grunda alla framtida förslag om råvaror som utgör en risk för skogar på lärdomar från Flegt-handlingsplanen, EU:s timmerförordning, konfliktmineralförordningen, direktivet om icke-finansiell rapportering, lagstiftning om olagligt, orapporterat och oreglerat fiske (IUU) och andra EU-initiativ för att reglera leveranskedjor.</w:t>
            </w:r>
            <w:r>
              <w:t xml:space="preserve"> </w:t>
            </w:r>
            <w:r>
              <w:rPr>
                <w:rFonts w:ascii="Times New Roman" w:eastAsia="Times New Roman" w:hAnsi="Times New Roman" w:cs="Times New Roman"/>
                <w:b/>
                <w:i/>
                <w:strike w:val="0"/>
                <w:color w:val="auto"/>
                <w:sz w:val="24"/>
                <w:highlight w:val="none"/>
                <w:u w:val="none" w:color="auto"/>
                <w:vertAlign w:val="baseline"/>
              </w:rPr>
              <w:t>Parlamentet noterar med intresse kommissionens tillkännagivande av framtida förslag om tillbörlig aktsamhet utmed hela leveranskedjan för produkter som ska släppas ut på den inre marknaden.</w:t>
            </w:r>
            <w:r>
              <w:t xml:space="preserve"> </w:t>
            </w:r>
            <w:r>
              <w:rPr>
                <w:rFonts w:ascii="Times New Roman" w:eastAsia="Times New Roman" w:hAnsi="Times New Roman" w:cs="Times New Roman"/>
                <w:b/>
                <w:i/>
                <w:strike w:val="0"/>
                <w:color w:val="auto"/>
                <w:sz w:val="24"/>
                <w:highlight w:val="none"/>
                <w:u w:val="none" w:color="auto"/>
                <w:vertAlign w:val="baseline"/>
              </w:rPr>
              <w:t>Parlamentet begär att det civila samhället, som är en ytterst viktig källa till information om avskogning, ska ges en starkare roll.</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med kraft kommissionen att vid utarbetandet av dessa förslag säkerställa att sådana råvaror och produkter inte leder till avskogning, skogsförstörelse, omvandling eller försämring av naturliga ekosystem eller därtill relaterade kränkningar av de mänskliga rättigheterna, och att säkerställa att förslagen tillämpas på hela leveranskedjan och omfattar OECD:s riktlinjer om socialt ansvar och mänskliga rättigheter inom handeln och är förenliga med WTO:s regler, samt att de efter en noggrann bedömning kan konstateras vara funktionella och tillämpliga på alla aktörer på marknaden, inbegripet små och medelstora företag.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3h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3h.</w:t>
            </w:r>
            <w:r>
              <w:tab/>
            </w:r>
            <w:r>
              <w:rPr>
                <w:rFonts w:ascii="Times New Roman" w:eastAsia="Times New Roman" w:hAnsi="Times New Roman" w:cs="Times New Roman"/>
                <w:b/>
                <w:i/>
                <w:strike w:val="0"/>
                <w:color w:val="auto"/>
                <w:sz w:val="24"/>
                <w:highlight w:val="none"/>
                <w:u w:val="none" w:color="auto"/>
                <w:vertAlign w:val="baseline"/>
              </w:rPr>
              <w:t>Europaparlamentet understryker att drivkrafterna bakom avskogningen går utanför själva skogssektorn och hänger samman med en mängd olika frågor, såsom besittningsrättsliga förhållanden, skydd av ursprungsbefolkningars rättigheter, jordbrukspolitik, klimatförändringar, demokrati, mänskliga rättigheter och politisk frihet.</w:t>
            </w:r>
            <w:r>
              <w:t xml:space="preserve"> </w:t>
            </w:r>
            <w:r>
              <w:rPr>
                <w:rFonts w:ascii="Times New Roman" w:eastAsia="Times New Roman" w:hAnsi="Times New Roman" w:cs="Times New Roman"/>
                <w:b/>
                <w:i/>
                <w:strike w:val="0"/>
                <w:color w:val="auto"/>
                <w:sz w:val="24"/>
                <w:highlight w:val="none"/>
                <w:u w:val="none" w:color="auto"/>
                <w:vertAlign w:val="baseline"/>
              </w:rPr>
              <w:t>Parlamentet påminner om att kvinnor från ursprungsbefolkningar och kvinnliga jordbrukare spelar en central roll i skyddet av skogens ekosystem.</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göra mer för att på ett helhetsbetonat sätt ta itu med avskogningen med hjälp av en enhetlig politisk ram, och att samtidigt säkerställa bevarandet av ekosystem.</w:t>
            </w:r>
            <w:r>
              <w:t xml:space="preserve"> </w:t>
            </w:r>
            <w:r>
              <w:rPr>
                <w:rFonts w:ascii="Times New Roman" w:eastAsia="Times New Roman" w:hAnsi="Times New Roman" w:cs="Times New Roman"/>
                <w:b/>
                <w:i/>
                <w:strike w:val="0"/>
                <w:color w:val="auto"/>
                <w:sz w:val="24"/>
                <w:highlight w:val="none"/>
                <w:u w:val="none" w:color="auto"/>
                <w:vertAlign w:val="baseline"/>
              </w:rPr>
              <w:t>Parlamentet anser att jämställdhet i skogsbruksutbildning är av grundläggande betydelse för ett hållbart skogsbruk, vilket bör synas i EU:s handlingsplan.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Dita Charanzová</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3i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3i.</w:t>
            </w:r>
            <w:r>
              <w:tab/>
            </w:r>
            <w:r>
              <w:rPr>
                <w:rFonts w:ascii="Times New Roman" w:eastAsia="Times New Roman" w:hAnsi="Times New Roman" w:cs="Times New Roman"/>
                <w:b/>
                <w:i/>
                <w:strike w:val="0"/>
                <w:color w:val="auto"/>
                <w:sz w:val="24"/>
                <w:highlight w:val="none"/>
                <w:u w:val="none" w:color="auto"/>
                <w:vertAlign w:val="baseline"/>
              </w:rPr>
              <w:t>Europaparlamentet erinrar om att FN:s vägledande principer om företag och mänskliga rättigheter måste följas.</w:t>
            </w:r>
            <w:r>
              <w:t xml:space="preserve"> </w:t>
            </w:r>
            <w:r>
              <w:rPr>
                <w:rFonts w:ascii="Times New Roman" w:eastAsia="Times New Roman" w:hAnsi="Times New Roman" w:cs="Times New Roman"/>
                <w:b/>
                <w:i/>
                <w:strike w:val="0"/>
                <w:color w:val="auto"/>
                <w:sz w:val="24"/>
                <w:highlight w:val="none"/>
                <w:u w:val="none" w:color="auto"/>
                <w:vertAlign w:val="baseline"/>
              </w:rPr>
              <w:t>Parlamentet stöder de pågående förhandlingarna om att inrätta ett bindande FN-instrument för transnationella och andra företag avseende mänskliga rättigheter, och betonar att det är viktigt att EU medverkar proaktivt i processen.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3j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3j.</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infria sin utfästelse om att utvidga EU:s timmerförordnings bestämmelse om skyldighet att visa tillbörlig aktsamhet så att den i samband med den kommande översynen också kommer att omfatta konflikttimmer.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omfattande åtgärder för att ta itu med efterfrågan i hela unionen.</w:t>
            </w:r>
          </w:p>
        </w:tc>
        <w:tc>
          <w:tcPr>
            <w:tcW w:w="4876" w:type="dxa"/>
            <w:vAlign w:val="top"/>
          </w:tcPr>
          <w:p>
            <w:pPr>
              <w:pStyle w:val="Normal6a"/>
            </w:pPr>
            <w:r>
              <w:t>1.</w:t>
            </w:r>
            <w:r>
              <w:tab/>
            </w:r>
            <w:r>
              <w:t xml:space="preserve">Europaparlamentet konstaterar att det – trots företagens genuina försök att reglera sig själva genom frivilliga krav på tillbörlig aktsamhet – är uppenbart att </w:t>
            </w:r>
            <w:r>
              <w:rPr>
                <w:rFonts w:ascii="Times New Roman" w:eastAsia="Times New Roman" w:hAnsi="Times New Roman" w:cs="Times New Roman"/>
                <w:b/>
                <w:i/>
                <w:strike w:val="0"/>
                <w:color w:val="auto"/>
                <w:sz w:val="24"/>
                <w:highlight w:val="none"/>
                <w:u w:val="none" w:color="auto"/>
                <w:vertAlign w:val="baseline"/>
              </w:rPr>
              <w:t>de fortfarande är otillräckliga och endast kan utgöra ett komplement till ett djärvare bindande EU-regelverk, eftersom</w:t>
            </w:r>
            <w:r>
              <w:t xml:space="preserve"> komplicerade, dynamiska och icke-transparenta globala värdekedjor ofta är förknippade med avskogning. Därför rekommenderar parlamentet att det ska utvecklas effektivare och mer omfattande åtgärder för att ta itu med efterfrågan i hela unionen. </w:t>
            </w:r>
            <w:r>
              <w:rPr>
                <w:rFonts w:ascii="Times New Roman" w:eastAsia="Times New Roman" w:hAnsi="Times New Roman" w:cs="Times New Roman"/>
                <w:b/>
                <w:i/>
                <w:strike w:val="0"/>
                <w:color w:val="auto"/>
                <w:sz w:val="24"/>
                <w:highlight w:val="none"/>
                <w:u w:val="none" w:color="auto"/>
                <w:vertAlign w:val="baseline"/>
              </w:rPr>
              <w:t>Parlamentet uppmanar därför med kraft kommissionen att utveckla en verkställbar ram för skyldigheten att visa tillbörlig aktsamhet utmed hela leveranskedjan för råvaror och därav härledda produkter som utgör en risk för skogar och ekosystem, i syfte att fastställa, förebygga och minska riskerna och konsekvenserna för miljö, samhälle och mänskliga rättigheter.</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för att göra ett sådant regelverk mer effektivt bör man också säkerställa en adekvat tillgång till rättslig prövning, rättsmedel och ett effektivt skydd av visselblåsare i länder som exporterar naturresurser.</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Juan Ignacio Zoido Álvarez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omfattande åtgärder för att ta itu med efterfrågan i hela unionen.</w:t>
            </w:r>
          </w:p>
        </w:tc>
        <w:tc>
          <w:tcPr>
            <w:tcW w:w="4876" w:type="dxa"/>
            <w:vAlign w:val="top"/>
          </w:tcPr>
          <w:p>
            <w:pPr>
              <w:pStyle w:val="Normal6a"/>
            </w:pPr>
            <w:r>
              <w:t>1.</w:t>
            </w:r>
            <w:r>
              <w:tab/>
            </w:r>
            <w:r>
              <w:t>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omfattande åtgärder för att ta itu med efterfrågan i hela unionen</w:t>
            </w:r>
            <w:r>
              <w:rPr>
                <w:rFonts w:ascii="Times New Roman" w:eastAsia="Times New Roman" w:hAnsi="Times New Roman" w:cs="Times New Roman"/>
                <w:b/>
                <w:i/>
                <w:strike w:val="0"/>
                <w:color w:val="auto"/>
                <w:sz w:val="24"/>
                <w:highlight w:val="none"/>
                <w:u w:val="none" w:color="auto"/>
                <w:vertAlign w:val="baseline"/>
              </w:rPr>
              <w:t>, samt för att stärka den globala miljöstyrningen och det globala miljösamarbetet med tredjeländer genom tekniskt bistånd, utbyte av information om och god praxis för skydd, bevarande och hållbart utnyttjande av skogen, med ett särskilt erkännande av hållbarhetsinitiativ som genomförs av den privata sektorn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omfattande åtgärder för att ta itu med efterfrågan i hela unionen.</w:t>
            </w:r>
          </w:p>
        </w:tc>
        <w:tc>
          <w:tcPr>
            <w:tcW w:w="4876" w:type="dxa"/>
            <w:vAlign w:val="top"/>
          </w:tcPr>
          <w:p>
            <w:pPr>
              <w:pStyle w:val="Normal6a"/>
            </w:pPr>
            <w:r>
              <w:t>1.</w:t>
            </w:r>
            <w:r>
              <w:tab/>
            </w:r>
            <w:r>
              <w:t xml:space="preserve">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omfattande åtgärder för att ta itu med efterfrågan i hela unionen. </w:t>
            </w:r>
            <w:r>
              <w:rPr>
                <w:rFonts w:ascii="Times New Roman" w:eastAsia="Times New Roman" w:hAnsi="Times New Roman" w:cs="Times New Roman"/>
                <w:b/>
                <w:i/>
                <w:strike w:val="0"/>
                <w:color w:val="auto"/>
                <w:sz w:val="24"/>
                <w:highlight w:val="none"/>
                <w:u w:val="none" w:color="auto"/>
                <w:vertAlign w:val="baseline"/>
              </w:rPr>
              <w:t>Parlamentet noterar kommissionens tillkännagivande av framtida förslag om tillbörlig aktsamhet utmed hela leveranskedjan för produkter som ska släppas ut på den inre marknaden.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w:t>
            </w:r>
            <w:r>
              <w:rPr>
                <w:rFonts w:ascii="Times New Roman" w:eastAsia="Times New Roman" w:hAnsi="Times New Roman" w:cs="Times New Roman"/>
                <w:b/>
                <w:i/>
                <w:strike w:val="0"/>
                <w:color w:val="auto"/>
                <w:sz w:val="24"/>
                <w:highlight w:val="none"/>
                <w:u w:val="none" w:color="auto"/>
                <w:vertAlign w:val="baseline"/>
              </w:rPr>
              <w:t>omfattande</w:t>
            </w:r>
            <w:r>
              <w:t xml:space="preserve"> åtgärder för att ta itu med efterfrågan i hela unionen.</w:t>
            </w:r>
          </w:p>
        </w:tc>
        <w:tc>
          <w:tcPr>
            <w:tcW w:w="4876" w:type="dxa"/>
            <w:vAlign w:val="top"/>
          </w:tcPr>
          <w:p>
            <w:pPr>
              <w:pStyle w:val="Normal6a"/>
            </w:pPr>
            <w:r>
              <w:t>1.</w:t>
            </w:r>
            <w:r>
              <w:tab/>
            </w:r>
            <w:r>
              <w:t xml:space="preserve">Europaparlamentet konstaterar att det – trots företagens genuina försök att reglera sig själva genom frivilliga krav på tillbörlig aktsamhet – är uppenbart att komplicerade, dynamiska och icke-transparenta globala värdekedjor ofta är förknippade med avskogning. Därför rekommenderar parlamentet att det ska utvecklas effektivare och mer </w:t>
            </w:r>
            <w:r>
              <w:rPr>
                <w:rFonts w:ascii="Times New Roman" w:eastAsia="Times New Roman" w:hAnsi="Times New Roman" w:cs="Times New Roman"/>
                <w:b/>
                <w:i/>
                <w:strike w:val="0"/>
                <w:color w:val="auto"/>
                <w:sz w:val="24"/>
                <w:highlight w:val="none"/>
                <w:u w:val="none" w:color="auto"/>
                <w:vertAlign w:val="baseline"/>
              </w:rPr>
              <w:t>bindande</w:t>
            </w:r>
            <w:r>
              <w:t xml:space="preserve"> åtgärder för att ta itu med efterfrågan i hela unionen. </w:t>
            </w:r>
            <w:r>
              <w:rPr>
                <w:rFonts w:ascii="Times New Roman" w:eastAsia="Times New Roman" w:hAnsi="Times New Roman" w:cs="Times New Roman"/>
                <w:b/>
                <w:i/>
                <w:strike w:val="0"/>
                <w:color w:val="auto"/>
                <w:sz w:val="24"/>
                <w:highlight w:val="none"/>
                <w:u w:val="none" w:color="auto"/>
                <w:vertAlign w:val="baseline"/>
              </w:rPr>
              <w:t>Parlamentet begär att unionen skyddar visselblåsares rättigheter i samband dessas kamp mot avskogningen.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Juan Ignacio Zoido Álvarez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se till att de åtgärder som ska antas bygger på en omfattande och mångsidig strategi för avskogning, med tanke på dess många olika dimensioner och dess kopplingar till såväl startandet av livskraftiga företag som kampen mot kriminella ekonomier.</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i detta syfte till en dialog med tredjeländer för att i varje enskilt fall analysera huvudorsakerna till förluster av skogsarealer och relevansen hos de åtgärder som ska genomföras.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uppmanar eftertryckligen kommissionen att lägga fram förslag om en långtgående, effektiv och bindande rättslig ram, grundad på tillbörlig aktsamhet, i syfte att säkerställa att leveranskedjorna på unionsmarknaden är hållbara och inte inbegriper produkter som härrör från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betonar vikten av att säkerställa att sådana åtgärder är förenliga med WTO:s bestämmelser, dvs. att de är proportionerliga, icke-diskriminerande och att de inte utgör en godtycklig eller oberättigad diskriminering eller en förtäckt begränsning av den internationella handeln. Parlamentet rekommenderar att små och medelstora företag ska ges tillräckligt med stöd och övergångsperioder för att de ska kunna anpassa sin verksamhet till de nya reglerna.</w:t>
            </w:r>
          </w:p>
        </w:tc>
        <w:tc>
          <w:tcPr>
            <w:tcW w:w="4876" w:type="dxa"/>
            <w:vAlign w:val="top"/>
          </w:tcPr>
          <w:p>
            <w:pPr>
              <w:pStyle w:val="Normal6a"/>
            </w:pPr>
            <w:r>
              <w:t>2.</w:t>
            </w:r>
            <w:r>
              <w:tab/>
            </w:r>
            <w:r>
              <w:t xml:space="preserve">Europaparlamentet betonar vikten av att </w:t>
            </w:r>
            <w:r>
              <w:rPr>
                <w:rFonts w:ascii="Times New Roman" w:eastAsia="Times New Roman" w:hAnsi="Times New Roman" w:cs="Times New Roman"/>
                <w:b/>
                <w:i/>
                <w:strike w:val="0"/>
                <w:color w:val="auto"/>
                <w:sz w:val="24"/>
                <w:highlight w:val="none"/>
                <w:u w:val="none" w:color="auto"/>
                <w:vertAlign w:val="baseline"/>
              </w:rPr>
              <w:t>en konsekvensbedömning görs och att resultatet av den beaktas så att regler kan utformas som inte bortser ifrån utan snarare stärker konkurrenskraften för alla företag, särskilt små och medelstora företag, och att</w:t>
            </w:r>
            <w:r>
              <w:t xml:space="preserve"> säkerställa att sådana åtgärder är förenliga med WTO:s bestämmelser, dvs. att de är proportionerliga, icke-diskriminerande och att de inte utgör en godtycklig eller oberättigad diskriminering eller en förtäckt begränsning av den internationella handeln. Parlamentet rekommenderar att små och medelstora företag ska ges tillräckligt med stöd och övergångsperioder för att de ska kunna anpassa sin verksamhet till de nya reglerna. </w:t>
            </w:r>
            <w:r>
              <w:rPr>
                <w:rFonts w:ascii="Times New Roman" w:eastAsia="Times New Roman" w:hAnsi="Times New Roman" w:cs="Times New Roman"/>
                <w:b/>
                <w:i/>
                <w:strike w:val="0"/>
                <w:color w:val="auto"/>
                <w:sz w:val="24"/>
                <w:highlight w:val="none"/>
                <w:u w:val="none" w:color="auto"/>
                <w:vertAlign w:val="baseline"/>
              </w:rPr>
              <w:t>Parlamentet påminner kommissionen om principen "en in och en ut", och begär att förslaget om tillbörlig aktsamhet ska kombineras med förslag om minskad reglering för industrin.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Europaparlamentet betonar att det är viktigt att se till att sådana åtgärder inte skapar onödig friktion i förbindelserna mellan EU och dess handelspartner.</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man måste beakta effekterna av åtgärderna på sysselsättningen och tillväxten i de minst utvecklade länder som är beroende av produktionen av råvaror som utgör en risk för skogar och ekosystem.</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stödja och samarbeta med regeringar och det civila samhället i tredjeländer i deras arbete för att motverka avskogning, särskilt genom det allmänna preferenssystemet.</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utvärdera huruvida ett nytt specifikt instrument för handelsrelaterat bistånd bör tas fram för att underlätta handel i samband med en reducering av de risker som hör samman med produktionen av råvaror som utgör en risk för skogar och ekosystem.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tab/>
            </w:r>
            <w:r>
              <w:rPr>
                <w:rFonts w:ascii="Times New Roman" w:eastAsia="Times New Roman" w:hAnsi="Times New Roman" w:cs="Times New Roman"/>
                <w:b/>
                <w:i/>
                <w:strike w:val="0"/>
                <w:color w:val="auto"/>
                <w:sz w:val="24"/>
                <w:highlight w:val="none"/>
                <w:u w:val="none" w:color="auto"/>
                <w:vertAlign w:val="baseline"/>
              </w:rPr>
              <w:t>Europaparlamentet uppmanar med kraft kommissionen att lägga fram ett lagförslag med en skyldighet för aktörer som på den inre marknaden släpper ut råvaror och produkter som utgör en risk för skogar och ekosystem att visa tillbörlig aktsamhet, för att säkerställa att dessa råvaror och produkter inte leder till avskogning, skogsförstörelse och omvandling eller försämring av naturliga ekosystem eller därtill relaterade kränkningar av de mänskliga rättigheterna.</w:t>
            </w:r>
            <w:r>
              <w:t xml:space="preserve"> </w:t>
            </w:r>
            <w:r>
              <w:rPr>
                <w:rFonts w:ascii="Times New Roman" w:eastAsia="Times New Roman" w:hAnsi="Times New Roman" w:cs="Times New Roman"/>
                <w:b/>
                <w:i/>
                <w:strike w:val="0"/>
                <w:color w:val="auto"/>
                <w:sz w:val="24"/>
                <w:highlight w:val="none"/>
                <w:u w:val="none" w:color="auto"/>
                <w:vertAlign w:val="baseline"/>
              </w:rPr>
              <w:t xml:space="preserve">En liknande skyldighet att visa tillbörlig aktsamhet bör också gälla för finanssektorn. </w:t>
            </w:r>
            <w:r>
              <w:t xml:space="preserve"> </w:t>
            </w:r>
            <w:r>
              <w:rPr>
                <w:rFonts w:ascii="Times New Roman" w:eastAsia="Times New Roman" w:hAnsi="Times New Roman" w:cs="Times New Roman"/>
                <w:b/>
                <w:i/>
                <w:strike w:val="0"/>
                <w:color w:val="auto"/>
                <w:sz w:val="24"/>
                <w:highlight w:val="none"/>
                <w:u w:val="none" w:color="auto"/>
                <w:vertAlign w:val="baseline"/>
              </w:rPr>
              <w:t>Skyldigheten att visa tillbörlig aktsamhet bör gälla utmed hela leveranskedjan och omfatta OECD:s riktlinjer om socialt ansvar och mänskliga rättigheter inom handeln.</w:t>
            </w:r>
            <w:r>
              <w:t xml:space="preserve"> </w:t>
            </w:r>
            <w:r>
              <w:rPr>
                <w:rFonts w:ascii="Times New Roman" w:eastAsia="Times New Roman" w:hAnsi="Times New Roman" w:cs="Times New Roman"/>
                <w:b/>
                <w:i/>
                <w:strike w:val="0"/>
                <w:color w:val="auto"/>
                <w:sz w:val="24"/>
                <w:highlight w:val="none"/>
                <w:u w:val="none" w:color="auto"/>
                <w:vertAlign w:val="baseline"/>
              </w:rPr>
              <w:t>Tillgång till rättslig prövning och klagomålsmekanismer för offren bör vara en viktig del av denna lagstiftning.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rekommenderar att alla </w:t>
            </w:r>
            <w:r>
              <w:rPr>
                <w:rFonts w:ascii="Times New Roman" w:eastAsia="Times New Roman" w:hAnsi="Times New Roman" w:cs="Times New Roman"/>
                <w:b/>
                <w:i/>
                <w:strike w:val="0"/>
                <w:color w:val="auto"/>
                <w:sz w:val="24"/>
                <w:highlight w:val="none"/>
                <w:u w:val="none" w:color="auto"/>
                <w:vertAlign w:val="baseline"/>
              </w:rPr>
              <w:t>nya handelsavtal</w:t>
            </w:r>
            <w:r>
              <w:t xml:space="preserve"> ska innehålla bestämmelser om bevarande och hållbar förvaltning av skogar och en skyldighet att säkerställa att multilaterala miljöavtal, såsom Parisavtalet och konventionen om biologisk mångfald, genomförs på ett effektivt sätt.</w:t>
            </w:r>
          </w:p>
        </w:tc>
        <w:tc>
          <w:tcPr>
            <w:tcW w:w="4876" w:type="dxa"/>
            <w:vAlign w:val="top"/>
          </w:tcPr>
          <w:p>
            <w:pPr>
              <w:pStyle w:val="Normal6a"/>
            </w:pPr>
            <w:r>
              <w:t>3.</w:t>
            </w:r>
            <w:r>
              <w:tab/>
            </w:r>
            <w:r>
              <w:t xml:space="preserve">Europaparlamentet rekommenderar att alla </w:t>
            </w:r>
            <w:r>
              <w:rPr>
                <w:rFonts w:ascii="Times New Roman" w:eastAsia="Times New Roman" w:hAnsi="Times New Roman" w:cs="Times New Roman"/>
                <w:b/>
                <w:i/>
                <w:strike w:val="0"/>
                <w:color w:val="auto"/>
                <w:sz w:val="24"/>
                <w:highlight w:val="none"/>
                <w:u w:val="none" w:color="auto"/>
                <w:vertAlign w:val="baseline"/>
              </w:rPr>
              <w:t>handels- och investeringsavtal</w:t>
            </w:r>
            <w:r>
              <w:t xml:space="preserve"> ska innehålla </w:t>
            </w:r>
            <w:r>
              <w:rPr>
                <w:rFonts w:ascii="Times New Roman" w:eastAsia="Times New Roman" w:hAnsi="Times New Roman" w:cs="Times New Roman"/>
                <w:b/>
                <w:i/>
                <w:strike w:val="0"/>
                <w:color w:val="auto"/>
                <w:sz w:val="24"/>
                <w:highlight w:val="none"/>
                <w:u w:val="none" w:color="auto"/>
                <w:vertAlign w:val="baseline"/>
              </w:rPr>
              <w:t>bindande och verkställbara</w:t>
            </w:r>
            <w:r>
              <w:t xml:space="preserve"> bestämmelser om bevarande och hållbar förvaltning av skogar och </w:t>
            </w:r>
            <w:r>
              <w:rPr>
                <w:rFonts w:ascii="Times New Roman" w:eastAsia="Times New Roman" w:hAnsi="Times New Roman" w:cs="Times New Roman"/>
                <w:b/>
                <w:i/>
                <w:strike w:val="0"/>
                <w:color w:val="auto"/>
                <w:sz w:val="24"/>
                <w:highlight w:val="none"/>
                <w:u w:val="none" w:color="auto"/>
                <w:vertAlign w:val="baseline"/>
              </w:rPr>
              <w:t>ekosystem, inbegripet skydd av ursprungsbefolkningars och lokalsamhällens rättigheter, samt bestämmelser om bekämpning av korruption med koppling till olaglig avverkning, och</w:t>
            </w:r>
            <w:r>
              <w:t xml:space="preserve"> en skyldighet att säkerställa att multilaterala miljöavtal, såsom Parisavtalet och konventionen om biologisk mångfald, genomförs på ett effektivt sätt. </w:t>
            </w:r>
            <w:r>
              <w:rPr>
                <w:rFonts w:ascii="Times New Roman" w:eastAsia="Times New Roman" w:hAnsi="Times New Roman" w:cs="Times New Roman"/>
                <w:b/>
                <w:i/>
                <w:strike w:val="0"/>
                <w:color w:val="auto"/>
                <w:sz w:val="24"/>
                <w:highlight w:val="none"/>
                <w:u w:val="none" w:color="auto"/>
                <w:vertAlign w:val="baseline"/>
              </w:rPr>
              <w:t>Parlamentet betonar att sådana bestämmelser måste vara verkställbara för att EU:s handels- och investeringsavtal ska kunna bli mer välavvägda och stämma bättre överens med den europeiska gröna given.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w:t>
            </w:r>
            <w:r>
              <w:rPr>
                <w:rFonts w:ascii="Times New Roman" w:eastAsia="Times New Roman" w:hAnsi="Times New Roman" w:cs="Times New Roman"/>
                <w:b/>
                <w:i/>
                <w:strike w:val="0"/>
                <w:color w:val="auto"/>
                <w:sz w:val="24"/>
                <w:highlight w:val="none"/>
                <w:u w:val="none" w:color="auto"/>
                <w:vertAlign w:val="baseline"/>
              </w:rPr>
              <w:t>rekommenderar</w:t>
            </w:r>
            <w:r>
              <w:t xml:space="preserve"> att alla nya handelsavtal ska innehålla bestämmelser om bevarande och hållbar förvaltning av skogar och en skyldighet att säkerställa att multilaterala miljöavtal, såsom Parisavtalet och konventionen om biologisk mångfald, genomförs på ett effektivt sätt.</w:t>
            </w:r>
          </w:p>
        </w:tc>
        <w:tc>
          <w:tcPr>
            <w:tcW w:w="4876" w:type="dxa"/>
            <w:vAlign w:val="top"/>
          </w:tcPr>
          <w:p>
            <w:pPr>
              <w:pStyle w:val="Normal6a"/>
            </w:pPr>
            <w:r>
              <w:t>3.</w:t>
            </w:r>
            <w:r>
              <w:tab/>
            </w:r>
            <w:r>
              <w:t xml:space="preserve">Europaparlamentet </w:t>
            </w:r>
            <w:r>
              <w:rPr>
                <w:rFonts w:ascii="Times New Roman" w:eastAsia="Times New Roman" w:hAnsi="Times New Roman" w:cs="Times New Roman"/>
                <w:b/>
                <w:i/>
                <w:strike w:val="0"/>
                <w:color w:val="auto"/>
                <w:sz w:val="24"/>
                <w:highlight w:val="none"/>
                <w:u w:val="none" w:color="auto"/>
                <w:vertAlign w:val="baseline"/>
              </w:rPr>
              <w:t>kräver</w:t>
            </w:r>
            <w:r>
              <w:t xml:space="preserve"> att alla nya handelsavtal ska innehålla </w:t>
            </w:r>
            <w:r>
              <w:rPr>
                <w:rFonts w:ascii="Times New Roman" w:eastAsia="Times New Roman" w:hAnsi="Times New Roman" w:cs="Times New Roman"/>
                <w:b/>
                <w:i/>
                <w:strike w:val="0"/>
                <w:color w:val="auto"/>
                <w:sz w:val="24"/>
                <w:highlight w:val="none"/>
                <w:u w:val="none" w:color="auto"/>
                <w:vertAlign w:val="baseline"/>
              </w:rPr>
              <w:t>såväl bindande och verkställbara</w:t>
            </w:r>
            <w:r>
              <w:t xml:space="preserve"> bestämmelser </w:t>
            </w:r>
            <w:r>
              <w:rPr>
                <w:rFonts w:ascii="Times New Roman" w:eastAsia="Times New Roman" w:hAnsi="Times New Roman" w:cs="Times New Roman"/>
                <w:b/>
                <w:i/>
                <w:strike w:val="0"/>
                <w:color w:val="auto"/>
                <w:sz w:val="24"/>
                <w:highlight w:val="none"/>
                <w:u w:val="none" w:color="auto"/>
                <w:vertAlign w:val="baseline"/>
              </w:rPr>
              <w:t>som samarbetsmekanismer</w:t>
            </w:r>
            <w:r>
              <w:t xml:space="preserve"> om bevarande och hållbar förvaltning av skogar och en skyldighet att säkerställa att multilaterala miljöavtal, såsom Parisavtalet och konventionen om biologisk mångfald, genomförs på ett effektivt sätt. </w:t>
            </w:r>
            <w:r>
              <w:rPr>
                <w:rFonts w:ascii="Times New Roman" w:eastAsia="Times New Roman" w:hAnsi="Times New Roman" w:cs="Times New Roman"/>
                <w:b/>
                <w:i/>
                <w:strike w:val="0"/>
                <w:color w:val="auto"/>
                <w:sz w:val="24"/>
                <w:highlight w:val="none"/>
                <w:u w:val="none" w:color="auto"/>
                <w:vertAlign w:val="baseline"/>
              </w:rPr>
              <w:t>Parlamentet rekommenderar att EU ska främja frivilliga certifieringssystem för hållbar skogsförvaltning som ett verktyg för att kontrollera hållbarhet.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Mazaly Aguilar</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rekommenderar att alla nya handelsavtal ska innehålla bestämmelser om bevarande och hållbar förvaltning av skogar </w:t>
            </w:r>
            <w:r>
              <w:rPr>
                <w:rFonts w:ascii="Times New Roman" w:eastAsia="Times New Roman" w:hAnsi="Times New Roman" w:cs="Times New Roman"/>
                <w:b/>
                <w:i/>
                <w:strike w:val="0"/>
                <w:color w:val="auto"/>
                <w:sz w:val="24"/>
                <w:highlight w:val="none"/>
                <w:u w:val="none" w:color="auto"/>
                <w:vertAlign w:val="baseline"/>
              </w:rPr>
              <w:t>och en skyldighet att</w:t>
            </w:r>
            <w:r>
              <w:t xml:space="preserve"> säkerställa att multilaterala miljöavtal, såsom Parisavtalet och konventionen om biologisk mångfald, genomförs på ett effektivt sätt.</w:t>
            </w:r>
          </w:p>
        </w:tc>
        <w:tc>
          <w:tcPr>
            <w:tcW w:w="4876" w:type="dxa"/>
            <w:vAlign w:val="top"/>
          </w:tcPr>
          <w:p>
            <w:pPr>
              <w:pStyle w:val="Normal6a"/>
            </w:pPr>
            <w:r>
              <w:t>3.</w:t>
            </w:r>
            <w:r>
              <w:tab/>
            </w:r>
            <w:r>
              <w:t xml:space="preserve">Europaparlamentet rekommenderar att alla nya handelsavtal ska innehålla </w:t>
            </w:r>
            <w:r>
              <w:rPr>
                <w:rFonts w:ascii="Times New Roman" w:eastAsia="Times New Roman" w:hAnsi="Times New Roman" w:cs="Times New Roman"/>
                <w:b/>
                <w:i/>
                <w:strike w:val="0"/>
                <w:color w:val="auto"/>
                <w:sz w:val="24"/>
                <w:highlight w:val="none"/>
                <w:u w:val="none" w:color="auto"/>
                <w:vertAlign w:val="baseline"/>
              </w:rPr>
              <w:t>bindande</w:t>
            </w:r>
            <w:r>
              <w:t xml:space="preserve"> bestämmelser om bevarande och hållbar förvaltning av skogar </w:t>
            </w:r>
            <w:r>
              <w:rPr>
                <w:rFonts w:ascii="Times New Roman" w:eastAsia="Times New Roman" w:hAnsi="Times New Roman" w:cs="Times New Roman"/>
                <w:b/>
                <w:i/>
                <w:strike w:val="0"/>
                <w:color w:val="auto"/>
                <w:sz w:val="24"/>
                <w:highlight w:val="none"/>
                <w:u w:val="none" w:color="auto"/>
                <w:vertAlign w:val="baseline"/>
              </w:rPr>
              <w:t>i kapitlen om hållbar utveckling samt</w:t>
            </w:r>
            <w:r>
              <w:t xml:space="preserve"> säkerställa att multilaterala miljöavtal, såsom Parisavtalet och konventionen om biologisk mångfald, genomförs på ett effektivt sätt.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ES</w:t>
      </w:r>
      <w:r>
        <w:rPr>
          <w:rStyle w:val="HideTWBInt"/>
        </w:rPr>
        <w:t>}</w:t>
      </w:r>
      <w:r>
        <w:t>es</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w:t>
            </w:r>
            <w:r>
              <w:rPr>
                <w:rFonts w:ascii="Times New Roman" w:eastAsia="Times New Roman" w:hAnsi="Times New Roman" w:cs="Times New Roman"/>
                <w:b/>
                <w:i/>
                <w:strike w:val="0"/>
                <w:color w:val="auto"/>
                <w:sz w:val="24"/>
                <w:highlight w:val="none"/>
                <w:u w:val="none" w:color="auto"/>
                <w:vertAlign w:val="baseline"/>
              </w:rPr>
              <w:t>rekommenderar att</w:t>
            </w:r>
            <w:r>
              <w:t xml:space="preserve"> alla nya handelsavtal </w:t>
            </w:r>
            <w:r>
              <w:rPr>
                <w:rFonts w:ascii="Times New Roman" w:eastAsia="Times New Roman" w:hAnsi="Times New Roman" w:cs="Times New Roman"/>
                <w:b/>
                <w:i/>
                <w:strike w:val="0"/>
                <w:color w:val="auto"/>
                <w:sz w:val="24"/>
                <w:highlight w:val="none"/>
                <w:u w:val="none" w:color="auto"/>
                <w:vertAlign w:val="baseline"/>
              </w:rPr>
              <w:t>ska innehålla</w:t>
            </w:r>
            <w:r>
              <w:t xml:space="preserve"> bestämmelser </w:t>
            </w:r>
            <w:r>
              <w:rPr>
                <w:rFonts w:ascii="Times New Roman" w:eastAsia="Times New Roman" w:hAnsi="Times New Roman" w:cs="Times New Roman"/>
                <w:b/>
                <w:i/>
                <w:strike w:val="0"/>
                <w:color w:val="auto"/>
                <w:sz w:val="24"/>
                <w:highlight w:val="none"/>
                <w:u w:val="none" w:color="auto"/>
                <w:vertAlign w:val="baseline"/>
              </w:rPr>
              <w:t>om bevarande och</w:t>
            </w:r>
            <w:r>
              <w:t xml:space="preserve"> hållbar förvaltning </w:t>
            </w:r>
            <w:r>
              <w:rPr>
                <w:rFonts w:ascii="Times New Roman" w:eastAsia="Times New Roman" w:hAnsi="Times New Roman" w:cs="Times New Roman"/>
                <w:b/>
                <w:i/>
                <w:strike w:val="0"/>
                <w:color w:val="auto"/>
                <w:sz w:val="24"/>
                <w:highlight w:val="none"/>
                <w:u w:val="none" w:color="auto"/>
                <w:vertAlign w:val="baseline"/>
              </w:rPr>
              <w:t>av skogar och</w:t>
            </w:r>
            <w:r>
              <w:t xml:space="preserve"> en skyldighet att säkerställa att multilaterala miljöavtal, såsom Parisavtalet och konventionen om biologisk mångfald, genomförs på ett effektivt sätt.</w:t>
            </w:r>
          </w:p>
        </w:tc>
        <w:tc>
          <w:tcPr>
            <w:tcW w:w="4876" w:type="dxa"/>
            <w:vAlign w:val="top"/>
          </w:tcPr>
          <w:p>
            <w:pPr>
              <w:pStyle w:val="Normal6a"/>
            </w:pPr>
            <w:r>
              <w:t>3.</w:t>
            </w:r>
            <w:r>
              <w:tab/>
            </w:r>
            <w:r>
              <w:t xml:space="preserve">Europaparlamentet </w:t>
            </w:r>
            <w:r>
              <w:rPr>
                <w:rFonts w:ascii="Times New Roman" w:eastAsia="Times New Roman" w:hAnsi="Times New Roman" w:cs="Times New Roman"/>
                <w:b/>
                <w:i/>
                <w:strike w:val="0"/>
                <w:color w:val="auto"/>
                <w:sz w:val="24"/>
                <w:highlight w:val="none"/>
                <w:u w:val="none" w:color="auto"/>
                <w:vertAlign w:val="baseline"/>
              </w:rPr>
              <w:t>välkomnar införandet i</w:t>
            </w:r>
            <w:r>
              <w:t xml:space="preserve"> alla nya handelsavtal </w:t>
            </w:r>
            <w:r>
              <w:rPr>
                <w:rFonts w:ascii="Times New Roman" w:eastAsia="Times New Roman" w:hAnsi="Times New Roman" w:cs="Times New Roman"/>
                <w:b/>
                <w:i/>
                <w:strike w:val="0"/>
                <w:color w:val="auto"/>
                <w:sz w:val="24"/>
                <w:highlight w:val="none"/>
                <w:u w:val="none" w:color="auto"/>
                <w:vertAlign w:val="baseline"/>
              </w:rPr>
              <w:t>av dels</w:t>
            </w:r>
            <w:r>
              <w:t xml:space="preserve"> bestämmelser </w:t>
            </w:r>
            <w:r>
              <w:rPr>
                <w:rFonts w:ascii="Times New Roman" w:eastAsia="Times New Roman" w:hAnsi="Times New Roman" w:cs="Times New Roman"/>
                <w:b/>
                <w:i/>
                <w:strike w:val="0"/>
                <w:color w:val="auto"/>
                <w:sz w:val="24"/>
                <w:highlight w:val="none"/>
                <w:u w:val="none" w:color="auto"/>
                <w:vertAlign w:val="baseline"/>
              </w:rPr>
              <w:t>som främjar en</w:t>
            </w:r>
            <w:r>
              <w:t xml:space="preserve"> hållbar förvaltning</w:t>
            </w:r>
            <w:r>
              <w:rPr>
                <w:rFonts w:ascii="Times New Roman" w:eastAsia="Times New Roman" w:hAnsi="Times New Roman" w:cs="Times New Roman"/>
                <w:b/>
                <w:i/>
                <w:strike w:val="0"/>
                <w:color w:val="auto"/>
                <w:sz w:val="24"/>
                <w:highlight w:val="none"/>
                <w:u w:val="none" w:color="auto"/>
                <w:vertAlign w:val="baseline"/>
              </w:rPr>
              <w:t>, vilket leder till bättre förhållanden för skogarna, dels</w:t>
            </w:r>
            <w:r>
              <w:t xml:space="preserve"> en skyldighet att säkerställa att multilaterala miljöavtal, såsom Parisavtalet och konventionen om biologisk mångfald, genomförs på ett effektivt sätt.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Europaparlamentet rekommenderar att alla nya handelsavtal ska innehålla bestämmelser om bevarande och hållbar förvaltning av skogar och en skyldighet att säkerställa att multilaterala miljöavtal, såsom Parisavtalet och konventionen om biologisk mångfald, genomförs på ett effektivt sätt.</w:t>
            </w:r>
          </w:p>
        </w:tc>
        <w:tc>
          <w:tcPr>
            <w:tcW w:w="4876" w:type="dxa"/>
            <w:vAlign w:val="top"/>
          </w:tcPr>
          <w:p>
            <w:pPr>
              <w:pStyle w:val="Normal6a"/>
            </w:pPr>
            <w:r>
              <w:t>3.</w:t>
            </w:r>
            <w:r>
              <w:tab/>
            </w:r>
            <w:r>
              <w:t xml:space="preserve">Europaparlamentet rekommenderar att alla nya handelsavtal ska innehålla </w:t>
            </w:r>
            <w:r>
              <w:rPr>
                <w:rFonts w:ascii="Times New Roman" w:eastAsia="Times New Roman" w:hAnsi="Times New Roman" w:cs="Times New Roman"/>
                <w:b/>
                <w:i/>
                <w:strike w:val="0"/>
                <w:color w:val="auto"/>
                <w:sz w:val="24"/>
                <w:highlight w:val="none"/>
                <w:u w:val="none" w:color="auto"/>
                <w:vertAlign w:val="baseline"/>
              </w:rPr>
              <w:t>bindande</w:t>
            </w:r>
            <w:r>
              <w:t xml:space="preserve"> bestämmelser om bevarande och hållbar förvaltning av skogar och en skyldighet att säkerställa att multilaterala miljöavtal, såsom Parisavtalet och konventionen om biologisk mångfald, genomförs på ett effektivt sätt.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konstaterar att bestämmelserna om hållbar utveckling i EU:s frihandelsavtal, och verkställandet av dem, kan stödja de nya åtgärderna.</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stärka kontrollen av att miljö- och klimatreglerna i EU:s frihandelsavtal efterlevs.</w:t>
            </w:r>
            <w:r>
              <w:t xml:space="preserve"> </w:t>
            </w:r>
            <w:r>
              <w:rPr>
                <w:rFonts w:ascii="Times New Roman" w:eastAsia="Times New Roman" w:hAnsi="Times New Roman" w:cs="Times New Roman"/>
                <w:b/>
                <w:i/>
                <w:strike w:val="0"/>
                <w:color w:val="auto"/>
                <w:sz w:val="24"/>
                <w:highlight w:val="none"/>
                <w:u w:val="none" w:color="auto"/>
                <w:vertAlign w:val="baseline"/>
              </w:rPr>
              <w:t>Parlamentet välkomnar det förslag som kommissionen har lagt fram i den europeiska gröna given i detta syfte för att göra Parisavtalet till en väsentlig del av framtida frihandelsavtal, samt dess förslag om att göra så i avtalet mellan EU och Förenade kungariket.</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utveckla verktyg för att övervaka importvarors koldioxidavtryck, och</w:t>
            </w:r>
            <w:r>
              <w:t xml:space="preserve"> </w:t>
            </w:r>
            <w:r>
              <w:rPr>
                <w:rFonts w:ascii="Times New Roman" w:eastAsia="Times New Roman" w:hAnsi="Times New Roman" w:cs="Times New Roman"/>
                <w:b/>
                <w:i/>
                <w:strike w:val="0"/>
                <w:color w:val="auto"/>
                <w:sz w:val="24"/>
                <w:highlight w:val="none"/>
                <w:u w:val="none" w:color="auto"/>
                <w:vertAlign w:val="baseline"/>
              </w:rPr>
              <w:t>uppmanar EU att inkludera en ”hierarkiklausul” i kapitlen om handel och hållbar utveckling i framtida frihandelsavtal, så att bestämmelserna i de internationella avtalen om klimat, miljö, mänskliga rättigheter och arbetstagares rättigheter, som parterna följer, ges företräde framför andra bestämmelser i avtalet.</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i framtida frihandelsavtal inkludera sådana bestämmelser som ger EU inspektions- och kontrollrätt om det misstänks att bestämmelserna i kapitlet om handel och hållbar utveckling inte följs, samt, som en sista utväg, möjliggör ett successivt upphävande av handelsförmåner om dessa bestämmelser inte följs.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framhåller att det internationella samarbetet om strategier och åtgärder för att stoppa avskogning och skogsförstörelse samt för att återställa skogar måste stärkas genom ökade insatser i viktiga internationella forum, såsom Världshandelsorganisationen (WTO) och Organisationen för ekonomiskt samarbete och utveckling (OECD).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Cañas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anser att handel och internationellt samarbete är viktiga verktyg för att konsolidera högre hållbarhetsstandarder, särskilt i sektorer som är kopplade till skogen och de värdekedjor som härrör från den.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betonar att bestämmelser om offentlig upphandling i frihandelsavtal alltid bör beakta sociala och miljömässiga kriterier och kriterier för ansvarsfullt företagande vid tilldelningen av kontrakt.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Juan Ignacio Zoido Álvarez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Europaparlamentet insisterar på att obligatoriska krav på unionsnivå måste kompletteras med ökat och förstärkt globalt samarbete och konsekventa åtgärder för att undvika den omvända effekten – att leveranskedjor som präglas av oönskad avskogning avleds till andra regioner i världen.</w:t>
            </w:r>
          </w:p>
        </w:tc>
        <w:tc>
          <w:tcPr>
            <w:tcW w:w="4876" w:type="dxa"/>
            <w:vAlign w:val="top"/>
          </w:tcPr>
          <w:p>
            <w:pPr>
              <w:pStyle w:val="Normal6a"/>
            </w:pPr>
            <w:r>
              <w:t>4.</w:t>
            </w:r>
            <w:r>
              <w:tab/>
            </w:r>
            <w:r>
              <w:t xml:space="preserve">Europaparlamentet insisterar på att obligatoriska krav på unionsnivå måste kompletteras med ökat och förstärkt globalt samarbete och konsekventa åtgärder för att undvika den omvända effekten – att leveranskedjor som präglas av oönskad avskogning avleds till andra regioner i världen. </w:t>
            </w:r>
            <w:r>
              <w:rPr>
                <w:rFonts w:ascii="Times New Roman" w:eastAsia="Times New Roman" w:hAnsi="Times New Roman" w:cs="Times New Roman"/>
                <w:b/>
                <w:i/>
                <w:strike w:val="0"/>
                <w:color w:val="auto"/>
                <w:sz w:val="24"/>
                <w:highlight w:val="none"/>
                <w:u w:val="none" w:color="auto"/>
                <w:vertAlign w:val="baseline"/>
              </w:rPr>
              <w:t>Parlamentet påpekar att EU:s åtgärder i detta avseende bör sträva efter att undvika förluster av arbetstillfällen i utvecklingsländer och uppmuntran till olaglig verksamhet, som i många fall är kopplad till transnationell organiserad brottslighet, eftersom detta skulle leda till ännu mer katastrofala effekter för såväl samhället som miljön.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Europaparlamentet insisterar på att obligatoriska krav på unionsnivå måste kompletteras med ökat och förstärkt globalt samarbete och konsekventa åtgärder för att undvika den omvända effekten – att leveranskedjor som präglas av oönskad avskogning avleds till andra regioner i världen.</w:t>
            </w:r>
          </w:p>
        </w:tc>
        <w:tc>
          <w:tcPr>
            <w:tcW w:w="4876" w:type="dxa"/>
            <w:vAlign w:val="top"/>
          </w:tcPr>
          <w:p>
            <w:pPr>
              <w:pStyle w:val="Normal6a"/>
            </w:pPr>
            <w:r>
              <w:t>4.</w:t>
            </w:r>
            <w:r>
              <w:tab/>
            </w:r>
            <w:r>
              <w:t xml:space="preserve">Europaparlamentet insisterar på att obligatoriska krav på unionsnivå måste kompletteras med ökat och förstärkt globalt samarbete och konsekventa åtgärder för att undvika den omvända effekten – att leveranskedjor som präglas av oönskad avskogning avleds till andra regioner i världen. </w:t>
            </w:r>
            <w:r>
              <w:rPr>
                <w:rFonts w:ascii="Times New Roman" w:eastAsia="Times New Roman" w:hAnsi="Times New Roman" w:cs="Times New Roman"/>
                <w:b/>
                <w:i/>
                <w:strike w:val="0"/>
                <w:color w:val="auto"/>
                <w:sz w:val="24"/>
                <w:highlight w:val="none"/>
                <w:u w:val="none" w:color="auto"/>
                <w:vertAlign w:val="baseline"/>
              </w:rPr>
              <w:t>Parlamentet efterlyser ökat internationellt samarbete kring valet av arter som ska återplanteras, med målet att trygga skogarnas framtida motståndskraft på basis av bland annat de återplanterade trädslagens biologiska mångfald.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Jordi Cañas</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Europaparlamentet anser att särskild uppmärksamhet måste ägnas åtgärder som påverkar utvecklingsländer och särskilt potentiellt negativa effekter som exempelvis förlust av arbetstillfällen eller inkomstbortfall.</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och medlemsstaterna att stärka samarbetet med tredjeländer genom tekniskt bistånd, utbyte av information om och god praxis för skydd, bevarande och hållbart utnyttjande av skogar, med särskilt fokus på kopplingen mellan organiserad brottslighet och råvaror som är associerade med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Jérémy Decerle</w:t>
      </w:r>
      <w:r>
        <w:t xml:space="preserve">, </w:t>
      </w:r>
      <w:r>
        <w:t>Samira Rafaela</w:t>
      </w:r>
      <w:r>
        <w:t xml:space="preserve">, </w:t>
      </w:r>
      <w:r>
        <w:t>Marie-Pierre Vedrenne</w:t>
      </w:r>
      <w:r>
        <w:t xml:space="preserve">, </w:t>
      </w:r>
      <w:r>
        <w:t>Urmas Paet</w:t>
      </w:r>
      <w:r>
        <w:t xml:space="preserve">, </w:t>
      </w:r>
      <w:r>
        <w:t>Barry Andrews</w:t>
      </w:r>
      <w:r>
        <w:t xml:space="preserve">, </w:t>
      </w:r>
      <w:r>
        <w:t>Dita Charanzová</w:t>
      </w:r>
      <w:r>
        <w:t xml:space="preserve">, </w:t>
      </w:r>
      <w:r>
        <w:t>Jordi Cañas</w:t>
      </w:r>
      <w:r>
        <w:t xml:space="preserve">, </w:t>
      </w:r>
      <w:r>
        <w:t>Svenja Hahn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Europaparlamentet anser att förslaget bör säkerställa rättslig säkerhet för alla berörda intressenter avseende eventuella nya EU-omfattande åtgärder och ramar i samband med den nuvarande användningen av frivilliga Flegt-partnerskapsavtal och Flegtlicenser, i syfte att säkra intresset för investeringar i avskogningsfria exporter till EU.</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Juan Ignacio Zoido Álvarez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främja och underlätta vetenskapligt och akademiskt samarbete med tredjeländer, samt forskningsprogram för att främja kunskap och innovation om biologisk mångfald, miljövänliga företag och den cirkulära ekonomin.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Greens/EFA</w:t>
      </w:r>
      <w:r>
        <w:rPr>
          <w:rStyle w:val="HideTWBInt"/>
        </w:rPr>
        <w:t>}</w:t>
      </w:r>
      <w:r>
        <w:t>för Verts/ALE-gruppen</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Europaparlamentet uppmuntrar kommissionen att ingå handelsbaserade partnerskapsavtal med länder som är stora producenter av jordbruksråvaror, i syfte att ta itu med utbudsstyrda drivkrafter för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Juan Ignacio Zoido Álvarez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4b.</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och medlemsstaterna att genom handel och internationellt samarbete uppmuntra till de investeringar som krävs för att konsolidera högre hållbarhetsstandarder i skogssektorerna och deras värdekedjor, och att främja den cirkulära bioekonomin, grön turism, förnybar energi, smart jordbruk och andra relevanta områden, även i tredjeländer.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653.994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28</w:t>
    </w:r>
    <w:r>
      <w:fldChar w:fldCharType="end"/>
    </w:r>
    <w:r>
      <w:t>/</w:t>
    </w:r>
    <w:r>
      <w:fldChar w:fldCharType="begin"/>
    </w:r>
    <w:r>
      <w:instrText>NUMPAGES</w:instrText>
    </w:r>
    <w:r>
      <w:fldChar w:fldCharType="separate"/>
    </w:r>
    <w:r>
      <w:t>28</w:t>
    </w:r>
    <w:r>
      <w:fldChar w:fldCharType="end"/>
    </w:r>
    <w:r>
      <w:tab/>
    </w:r>
    <w:r>
      <w:rPr>
        <w:rStyle w:val="HideTWBExt"/>
      </w:rPr>
      <w:t>&lt;</w:t>
    </w:r>
    <w:r>
      <w:rPr>
        <w:rStyle w:val="HideTWBExt"/>
      </w:rPr>
      <w:t>PathFdR</w:t>
    </w:r>
    <w:r>
      <w:rPr>
        <w:rStyle w:val="HideTWBExt"/>
      </w:rPr>
      <w:t>&gt;</w:t>
    </w:r>
    <w:r>
      <w:t>AM\1208730SV.docx</w:t>
    </w:r>
    <w:r>
      <w:rPr>
        <w:rStyle w:val="HideTWBExt"/>
      </w:rPr>
      <w:t>&lt;/</w:t>
    </w:r>
    <w:r>
      <w:rPr>
        <w:rStyle w:val="HideTWBExt"/>
      </w:rPr>
      <w:t>PathFdR</w:t>
    </w:r>
    <w:r>
      <w:rPr>
        <w:rStyle w:val="HideTWBExt"/>
      </w:rPr>
      <w:t>&gt;</w:t>
    </w:r>
  </w:p>
  <w:p>
    <w:pPr>
      <w:pStyle w:val="EPFooter2"/>
    </w:pPr>
    <w: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AM\1208730SV.docx</w:t>
    </w:r>
    <w:r>
      <w:rPr>
        <w:rStyle w:val="HideTWBExt"/>
      </w:rPr>
      <w:t>&lt;/</w:t>
    </w:r>
    <w:r>
      <w:rPr>
        <w:rStyle w:val="HideTWBExt"/>
      </w:rPr>
      <w:t>PathFdR</w:t>
    </w:r>
    <w:r>
      <w:rPr>
        <w:rStyle w:val="HideTWBExt"/>
      </w:rPr>
      <w:t>&gt;</w:t>
    </w:r>
    <w:r>
      <w:tab/>
    </w:r>
    <w:r>
      <w:fldChar w:fldCharType="begin"/>
    </w:r>
    <w:r>
      <w:instrText>PAGE</w:instrText>
    </w:r>
    <w:r>
      <w:fldChar w:fldCharType="separate"/>
    </w:r>
    <w:r>
      <w:t>27</w:t>
    </w:r>
    <w:r>
      <w:fldChar w:fldCharType="end"/>
    </w:r>
    <w:r>
      <w:t>/</w:t>
    </w:r>
    <w:r>
      <w:fldChar w:fldCharType="begin"/>
    </w:r>
    <w:r>
      <w:instrText>NUMPAGES</w:instrText>
    </w:r>
    <w:r>
      <w:fldChar w:fldCharType="separate"/>
    </w:r>
    <w:r>
      <w:t>28</w:t>
    </w:r>
    <w:r>
      <w:fldChar w:fldCharType="end"/>
    </w:r>
    <w:r>
      <w:tab/>
    </w:r>
    <w:r>
      <w:t>PE</w:t>
    </w:r>
    <w:r>
      <w:rPr>
        <w:rStyle w:val="HideTWBExt"/>
      </w:rPr>
      <w:t>&lt;</w:t>
    </w:r>
    <w:r>
      <w:rPr>
        <w:rStyle w:val="HideTWBExt"/>
      </w:rPr>
      <w:t>NoPE</w:t>
    </w:r>
    <w:r>
      <w:rPr>
        <w:rStyle w:val="HideTWBExt"/>
      </w:rPr>
      <w:t>&gt;</w:t>
    </w:r>
    <w:r>
      <w:t>653.994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AM\1208730SV.docx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653.994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SV</w:t>
    </w:r>
    <w:r>
      <w:tab/>
    </w:r>
    <w:r>
      <w:rPr>
        <w:rStyle w:val="EPFooter2Middle"/>
      </w:rPr>
      <w:t>Förenade i mångfalden</w:t>
    </w:r>
    <w:r>
      <w:tab/>
    </w:r>
    <w:r>
      <w:t>SV</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1208730</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20200710-122704-142860-474774</vt:lpwstr>
  </property>
  <property fmtid="{D5CDD505-2E9C-101B-9397-08002B2CF9AE}" pid="7" name="FooterPath">
    <vt:lpwstr>AM\1208730SV.docx</vt:lpwstr>
  </property>
  <property fmtid="{D5CDD505-2E9C-101B-9397-08002B2CF9AE}" pid="8" name="PE Number">
    <vt:lpwstr>653.994</vt:lpwstr>
  </property>
  <property fmtid="{D5CDD505-2E9C-101B-9397-08002B2CF9AE}" pid="9" name="UID">
    <vt:lpwstr>eu.europa.europarl-DIN1-2020-0000047099_02.00-sv-01.00_text-xml</vt:lpwstr>
  </property>
</Properties>
</file>