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2766A9" w:rsidTr="006F7907">
        <w:trPr>
          <w:trHeight w:hRule="exact" w:val="1418"/>
        </w:trPr>
        <w:tc>
          <w:tcPr>
            <w:tcW w:w="6804" w:type="dxa"/>
            <w:shd w:val="clear" w:color="auto" w:fill="auto"/>
            <w:vAlign w:val="center"/>
          </w:tcPr>
          <w:p w:rsidR="006F7907" w:rsidRPr="002766A9" w:rsidRDefault="00FF5AB4" w:rsidP="00FD1DEF">
            <w:pPr>
              <w:pStyle w:val="EPName"/>
            </w:pPr>
            <w:bookmarkStart w:id="0" w:name="_GoBack"/>
            <w:bookmarkEnd w:id="0"/>
            <w:r w:rsidRPr="002766A9">
              <w:t>Europa-Parlamentet</w:t>
            </w:r>
          </w:p>
          <w:p w:rsidR="006F7907" w:rsidRPr="002766A9" w:rsidRDefault="00E311A8" w:rsidP="00E311A8">
            <w:pPr>
              <w:pStyle w:val="EPTerm"/>
              <w:rPr>
                <w:rStyle w:val="HideTWBExt"/>
                <w:noProof w:val="0"/>
                <w:vanish w:val="0"/>
                <w:color w:val="auto"/>
              </w:rPr>
            </w:pPr>
            <w:r w:rsidRPr="002766A9">
              <w:t>2014-2019</w:t>
            </w:r>
          </w:p>
        </w:tc>
        <w:tc>
          <w:tcPr>
            <w:tcW w:w="2268" w:type="dxa"/>
            <w:shd w:val="clear" w:color="auto" w:fill="auto"/>
          </w:tcPr>
          <w:p w:rsidR="006F7907" w:rsidRPr="002766A9" w:rsidRDefault="005F4914"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2766A9" w:rsidRDefault="00461601" w:rsidP="00461601">
      <w:pPr>
        <w:pStyle w:val="LineTop"/>
      </w:pPr>
    </w:p>
    <w:p w:rsidR="00461601" w:rsidRPr="002766A9" w:rsidRDefault="00461601" w:rsidP="00461601">
      <w:pPr>
        <w:pStyle w:val="ZCommittee"/>
      </w:pPr>
      <w:r w:rsidRPr="002766A9">
        <w:rPr>
          <w:rStyle w:val="HideTWBExt"/>
          <w:noProof w:val="0"/>
        </w:rPr>
        <w:t>&lt;</w:t>
      </w:r>
      <w:r w:rsidRPr="002766A9">
        <w:rPr>
          <w:rStyle w:val="HideTWBExt"/>
          <w:i w:val="0"/>
          <w:noProof w:val="0"/>
        </w:rPr>
        <w:t>Commission</w:t>
      </w:r>
      <w:r w:rsidRPr="002766A9">
        <w:rPr>
          <w:rStyle w:val="HideTWBExt"/>
          <w:noProof w:val="0"/>
        </w:rPr>
        <w:t>&gt;</w:t>
      </w:r>
      <w:r w:rsidRPr="002766A9">
        <w:rPr>
          <w:rStyle w:val="HideTWBInt"/>
          <w:color w:val="auto"/>
        </w:rPr>
        <w:t>{INTA}</w:t>
      </w:r>
      <w:r w:rsidRPr="002766A9">
        <w:t>Udvalget om International Handel</w:t>
      </w:r>
      <w:r w:rsidRPr="002766A9">
        <w:rPr>
          <w:rStyle w:val="HideTWBExt"/>
          <w:noProof w:val="0"/>
        </w:rPr>
        <w:t>&lt;/</w:t>
      </w:r>
      <w:r w:rsidRPr="002766A9">
        <w:rPr>
          <w:rStyle w:val="HideTWBExt"/>
          <w:i w:val="0"/>
          <w:noProof w:val="0"/>
        </w:rPr>
        <w:t>Commission</w:t>
      </w:r>
      <w:r w:rsidRPr="002766A9">
        <w:rPr>
          <w:rStyle w:val="HideTWBExt"/>
          <w:noProof w:val="0"/>
        </w:rPr>
        <w:t>&gt;</w:t>
      </w:r>
    </w:p>
    <w:p w:rsidR="00461601" w:rsidRPr="002766A9" w:rsidRDefault="00461601" w:rsidP="00461601">
      <w:pPr>
        <w:pStyle w:val="LineBottom"/>
      </w:pPr>
    </w:p>
    <w:p w:rsidR="00793EA9" w:rsidRPr="002766A9" w:rsidRDefault="00793EA9">
      <w:pPr>
        <w:pStyle w:val="RefProc"/>
      </w:pPr>
      <w:r w:rsidRPr="002766A9">
        <w:rPr>
          <w:rStyle w:val="HideTWBExt"/>
          <w:b w:val="0"/>
          <w:noProof w:val="0"/>
        </w:rPr>
        <w:t>&lt;</w:t>
      </w:r>
      <w:r w:rsidRPr="002766A9">
        <w:rPr>
          <w:rStyle w:val="HideTWBExt"/>
          <w:b w:val="0"/>
          <w:caps w:val="0"/>
          <w:noProof w:val="0"/>
        </w:rPr>
        <w:t>RefProc</w:t>
      </w:r>
      <w:r w:rsidRPr="002766A9">
        <w:rPr>
          <w:rStyle w:val="HideTWBExt"/>
          <w:b w:val="0"/>
          <w:noProof w:val="0"/>
        </w:rPr>
        <w:t>&gt;</w:t>
      </w:r>
      <w:r w:rsidRPr="002766A9">
        <w:t>2016/0218</w:t>
      </w:r>
      <w:r w:rsidRPr="002766A9">
        <w:rPr>
          <w:rStyle w:val="HideTWBExt"/>
          <w:b w:val="0"/>
          <w:noProof w:val="0"/>
        </w:rPr>
        <w:t>&lt;/</w:t>
      </w:r>
      <w:r w:rsidRPr="002766A9">
        <w:rPr>
          <w:rStyle w:val="HideTWBExt"/>
          <w:b w:val="0"/>
          <w:caps w:val="0"/>
          <w:noProof w:val="0"/>
        </w:rPr>
        <w:t>RefProc</w:t>
      </w:r>
      <w:r w:rsidRPr="002766A9">
        <w:rPr>
          <w:rStyle w:val="HideTWBExt"/>
          <w:b w:val="0"/>
          <w:noProof w:val="0"/>
        </w:rPr>
        <w:t>&gt;&lt;</w:t>
      </w:r>
      <w:r w:rsidRPr="002766A9">
        <w:rPr>
          <w:rStyle w:val="HideTWBExt"/>
          <w:b w:val="0"/>
          <w:caps w:val="0"/>
          <w:noProof w:val="0"/>
        </w:rPr>
        <w:t>RefTypeProc</w:t>
      </w:r>
      <w:r w:rsidRPr="002766A9">
        <w:rPr>
          <w:rStyle w:val="HideTWBExt"/>
          <w:b w:val="0"/>
          <w:noProof w:val="0"/>
        </w:rPr>
        <w:t>&gt;</w:t>
      </w:r>
      <w:r w:rsidRPr="002766A9">
        <w:t>(COD)</w:t>
      </w:r>
      <w:r w:rsidRPr="002766A9">
        <w:rPr>
          <w:rStyle w:val="HideTWBExt"/>
          <w:b w:val="0"/>
          <w:noProof w:val="0"/>
        </w:rPr>
        <w:t>&lt;/</w:t>
      </w:r>
      <w:r w:rsidRPr="002766A9">
        <w:rPr>
          <w:rStyle w:val="HideTWBExt"/>
          <w:b w:val="0"/>
          <w:caps w:val="0"/>
          <w:noProof w:val="0"/>
        </w:rPr>
        <w:t>RefTypeProc</w:t>
      </w:r>
      <w:r w:rsidRPr="002766A9">
        <w:rPr>
          <w:rStyle w:val="HideTWBExt"/>
          <w:b w:val="0"/>
          <w:noProof w:val="0"/>
        </w:rPr>
        <w:t>&gt;</w:t>
      </w:r>
    </w:p>
    <w:p w:rsidR="00793EA9" w:rsidRPr="002766A9" w:rsidRDefault="00793EA9">
      <w:pPr>
        <w:pStyle w:val="ZDate"/>
      </w:pPr>
      <w:r w:rsidRPr="002766A9">
        <w:rPr>
          <w:rStyle w:val="HideTWBExt"/>
          <w:noProof w:val="0"/>
        </w:rPr>
        <w:t>&lt;Date&gt;</w:t>
      </w:r>
      <w:r w:rsidRPr="002766A9">
        <w:rPr>
          <w:rStyle w:val="HideTWBInt"/>
          <w:color w:val="auto"/>
        </w:rPr>
        <w:t>{10/10/2016}</w:t>
      </w:r>
      <w:r w:rsidRPr="002766A9">
        <w:t>10.10.2016</w:t>
      </w:r>
      <w:r w:rsidRPr="002766A9">
        <w:rPr>
          <w:rStyle w:val="HideTWBExt"/>
          <w:noProof w:val="0"/>
        </w:rPr>
        <w:t>&lt;/Date&gt;</w:t>
      </w:r>
    </w:p>
    <w:p w:rsidR="00793EA9" w:rsidRPr="002766A9" w:rsidRDefault="00793EA9">
      <w:pPr>
        <w:pStyle w:val="StarsAndIs"/>
      </w:pPr>
      <w:r w:rsidRPr="002766A9">
        <w:rPr>
          <w:rStyle w:val="HideTWBExt"/>
          <w:b w:val="0"/>
          <w:noProof w:val="0"/>
        </w:rPr>
        <w:t>&lt;RefProcLect&gt;</w:t>
      </w:r>
      <w:r w:rsidRPr="002766A9">
        <w:t>***I</w:t>
      </w:r>
      <w:r w:rsidRPr="002766A9">
        <w:rPr>
          <w:rStyle w:val="HideTWBExt"/>
          <w:b w:val="0"/>
          <w:noProof w:val="0"/>
        </w:rPr>
        <w:t>&lt;/RefProcLect&gt;</w:t>
      </w:r>
    </w:p>
    <w:p w:rsidR="00793EA9" w:rsidRPr="002766A9" w:rsidRDefault="00793EA9">
      <w:pPr>
        <w:pStyle w:val="TypeDoc"/>
      </w:pPr>
      <w:r w:rsidRPr="002766A9">
        <w:rPr>
          <w:rStyle w:val="HideTWBExt"/>
          <w:b w:val="0"/>
          <w:noProof w:val="0"/>
        </w:rPr>
        <w:t>&lt;TitreType&gt;</w:t>
      </w:r>
      <w:r w:rsidRPr="002766A9">
        <w:t>UDKAST TIL BETÆNKNING</w:t>
      </w:r>
      <w:r w:rsidRPr="002766A9">
        <w:rPr>
          <w:rStyle w:val="HideTWBExt"/>
          <w:b w:val="0"/>
          <w:noProof w:val="0"/>
        </w:rPr>
        <w:t>&lt;/TitreType&gt;</w:t>
      </w:r>
    </w:p>
    <w:p w:rsidR="00E311A8" w:rsidRPr="002766A9" w:rsidRDefault="00793EA9" w:rsidP="00E311A8">
      <w:pPr>
        <w:pStyle w:val="CoverNormal"/>
      </w:pPr>
      <w:r w:rsidRPr="002766A9">
        <w:rPr>
          <w:rStyle w:val="HideTWBExt"/>
          <w:noProof w:val="0"/>
        </w:rPr>
        <w:t>&lt;Titre&gt;</w:t>
      </w:r>
      <w:r w:rsidRPr="002766A9">
        <w:t xml:space="preserve">om forslag til Europa-Parlamentets og Rådets forordning om visse procedurer for anvendelsen af stabiliserings- og associeringsaftalen mellem </w:t>
      </w:r>
    </w:p>
    <w:p w:rsidR="00793EA9" w:rsidRPr="002766A9" w:rsidRDefault="00E311A8" w:rsidP="00E311A8">
      <w:pPr>
        <w:pStyle w:val="CoverNormal"/>
      </w:pPr>
      <w:r w:rsidRPr="002766A9">
        <w:t xml:space="preserve">Den Europæiske Union og Det Europæiske Atomenergifællesskab på den ene side og </w:t>
      </w:r>
      <w:r w:rsidR="005F4914" w:rsidRPr="002766A9">
        <w:t>Kosovo på</w:t>
      </w:r>
      <w:r w:rsidRPr="002766A9">
        <w:t xml:space="preserve"> den anden side</w:t>
      </w:r>
      <w:r w:rsidRPr="002766A9">
        <w:rPr>
          <w:rStyle w:val="HideTWBExt"/>
          <w:noProof w:val="0"/>
        </w:rPr>
        <w:t>&lt;/Titre&gt;</w:t>
      </w:r>
    </w:p>
    <w:p w:rsidR="00793EA9" w:rsidRPr="005F4914" w:rsidRDefault="00793EA9">
      <w:pPr>
        <w:pStyle w:val="Cover24"/>
        <w:rPr>
          <w:lang w:val="pt-PT"/>
        </w:rPr>
      </w:pPr>
      <w:r w:rsidRPr="005F4914">
        <w:rPr>
          <w:rStyle w:val="HideTWBExt"/>
          <w:noProof w:val="0"/>
          <w:lang w:val="pt-PT"/>
        </w:rPr>
        <w:t>&lt;DocRef&gt;</w:t>
      </w:r>
      <w:r w:rsidRPr="005F4914">
        <w:rPr>
          <w:lang w:val="pt-PT"/>
        </w:rPr>
        <w:t>(COM(2016)0460 – C8-0327/2016 – 2016/0218(COD))</w:t>
      </w:r>
      <w:r w:rsidRPr="005F4914">
        <w:rPr>
          <w:rStyle w:val="HideTWBExt"/>
          <w:noProof w:val="0"/>
          <w:lang w:val="pt-PT"/>
        </w:rPr>
        <w:t>&lt;/DocRef&gt;</w:t>
      </w:r>
    </w:p>
    <w:p w:rsidR="00793EA9" w:rsidRPr="005F4914" w:rsidRDefault="00793EA9">
      <w:pPr>
        <w:pStyle w:val="Cover24"/>
        <w:rPr>
          <w:lang w:val="pt-PT"/>
        </w:rPr>
      </w:pPr>
      <w:r w:rsidRPr="005F4914">
        <w:rPr>
          <w:rStyle w:val="HideTWBExt"/>
          <w:noProof w:val="0"/>
          <w:lang w:val="pt-PT"/>
        </w:rPr>
        <w:t>&lt;Commission&gt;</w:t>
      </w:r>
      <w:r w:rsidRPr="005F4914">
        <w:rPr>
          <w:rStyle w:val="HideTWBInt"/>
          <w:color w:val="auto"/>
          <w:lang w:val="pt-PT"/>
        </w:rPr>
        <w:t>{INTA}</w:t>
      </w:r>
      <w:r w:rsidRPr="005F4914">
        <w:rPr>
          <w:lang w:val="pt-PT"/>
        </w:rPr>
        <w:t>Udvalget om International Handel</w:t>
      </w:r>
      <w:r w:rsidRPr="005F4914">
        <w:rPr>
          <w:rStyle w:val="HideTWBExt"/>
          <w:noProof w:val="0"/>
          <w:lang w:val="pt-PT"/>
        </w:rPr>
        <w:t>&lt;/Commission&gt;</w:t>
      </w:r>
    </w:p>
    <w:p w:rsidR="00793EA9" w:rsidRPr="005F4914" w:rsidRDefault="00FF5AB4">
      <w:pPr>
        <w:pStyle w:val="Cover24"/>
        <w:rPr>
          <w:lang w:val="pt-PT"/>
        </w:rPr>
      </w:pPr>
      <w:r w:rsidRPr="005F4914">
        <w:rPr>
          <w:lang w:val="pt-PT"/>
        </w:rPr>
        <w:t xml:space="preserve">Ordfører: </w:t>
      </w:r>
      <w:r w:rsidRPr="005F4914">
        <w:rPr>
          <w:rStyle w:val="HideTWBExt"/>
          <w:noProof w:val="0"/>
          <w:lang w:val="pt-PT"/>
        </w:rPr>
        <w:t>&lt;Depute&gt;</w:t>
      </w:r>
      <w:r w:rsidRPr="005F4914">
        <w:rPr>
          <w:lang w:val="pt-PT"/>
        </w:rPr>
        <w:t>Adam Szejnfeld</w:t>
      </w:r>
      <w:r w:rsidRPr="005F4914">
        <w:rPr>
          <w:rStyle w:val="HideTWBExt"/>
          <w:noProof w:val="0"/>
          <w:lang w:val="pt-PT"/>
        </w:rPr>
        <w:t>&lt;/Depute&gt;</w:t>
      </w:r>
    </w:p>
    <w:p w:rsidR="001C5B44" w:rsidRPr="005F4914" w:rsidRDefault="001C5B44" w:rsidP="001C5B44">
      <w:pPr>
        <w:pStyle w:val="CoverNormal"/>
        <w:rPr>
          <w:lang w:val="pt-PT"/>
        </w:rPr>
      </w:pPr>
    </w:p>
    <w:p w:rsidR="00793EA9" w:rsidRPr="005F4914" w:rsidRDefault="00793EA9" w:rsidP="00187008">
      <w:pPr>
        <w:widowControl/>
        <w:tabs>
          <w:tab w:val="center" w:pos="4677"/>
        </w:tabs>
        <w:rPr>
          <w:lang w:val="pt-PT"/>
        </w:rPr>
      </w:pPr>
      <w:r w:rsidRPr="005F4914">
        <w:rPr>
          <w:lang w:val="pt-PT"/>
        </w:rPr>
        <w:br w:type="page"/>
      </w:r>
      <w:bookmarkStart w:id="1" w:name="DocEPTmpStart"/>
      <w:bookmarkEnd w:id="1"/>
    </w:p>
    <w:p w:rsidR="00E311A8" w:rsidRPr="002766A9" w:rsidRDefault="005F4914" w:rsidP="00C721E5">
      <w:r>
        <w:fldChar w:fldCharType="begin"/>
      </w:r>
      <w:r>
        <w:instrText>TITLE \* MERGEFORMAT</w:instrText>
      </w:r>
      <w:r>
        <w:fldChar w:fldCharType="separate"/>
      </w:r>
      <w:r>
        <w:t>PR_COD_1amCom</w:t>
      </w:r>
      <w:r>
        <w:fldChar w:fldCharType="end"/>
      </w:r>
    </w:p>
    <w:p w:rsidR="00E311A8" w:rsidRPr="002766A9" w:rsidRDefault="00E311A8" w:rsidP="00AD7480"/>
    <w:p w:rsidR="00E311A8" w:rsidRPr="002766A9" w:rsidRDefault="00E311A8" w:rsidP="00AD7480">
      <w:pPr>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311A8" w:rsidRPr="002766A9" w:rsidTr="00AD7480">
        <w:tc>
          <w:tcPr>
            <w:tcW w:w="5811" w:type="dxa"/>
            <w:tcBorders>
              <w:top w:val="single" w:sz="4" w:space="0" w:color="auto"/>
            </w:tcBorders>
          </w:tcPr>
          <w:p w:rsidR="00E311A8" w:rsidRPr="002766A9" w:rsidRDefault="00E311A8" w:rsidP="00AD7480">
            <w:pPr>
              <w:pStyle w:val="Lgendetitre"/>
              <w:rPr>
                <w:szCs w:val="24"/>
              </w:rPr>
            </w:pPr>
            <w:r w:rsidRPr="002766A9">
              <w:t>Tegnforklaring</w:t>
            </w:r>
          </w:p>
        </w:tc>
      </w:tr>
      <w:tr w:rsidR="00E311A8" w:rsidRPr="002766A9" w:rsidTr="00AD7480">
        <w:trPr>
          <w:cantSplit/>
          <w:trHeight w:val="1803"/>
        </w:trPr>
        <w:tc>
          <w:tcPr>
            <w:tcW w:w="5811" w:type="dxa"/>
            <w:tcBorders>
              <w:bottom w:val="single" w:sz="4" w:space="0" w:color="auto"/>
            </w:tcBorders>
          </w:tcPr>
          <w:p w:rsidR="00E311A8" w:rsidRPr="002766A9" w:rsidRDefault="00E311A8" w:rsidP="00AD7480">
            <w:pPr>
              <w:pStyle w:val="Lgendesigne"/>
              <w:rPr>
                <w:szCs w:val="24"/>
              </w:rPr>
            </w:pPr>
            <w:r w:rsidRPr="002766A9">
              <w:tab/>
              <w:t>*</w:t>
            </w:r>
            <w:r w:rsidRPr="002766A9">
              <w:tab/>
              <w:t>Høringsprocedure</w:t>
            </w:r>
          </w:p>
          <w:p w:rsidR="00E311A8" w:rsidRPr="002766A9" w:rsidRDefault="00E311A8" w:rsidP="00AD7480">
            <w:pPr>
              <w:pStyle w:val="Lgendesigne"/>
              <w:rPr>
                <w:szCs w:val="24"/>
              </w:rPr>
            </w:pPr>
            <w:r w:rsidRPr="002766A9">
              <w:tab/>
              <w:t>***</w:t>
            </w:r>
            <w:r w:rsidRPr="002766A9">
              <w:tab/>
              <w:t>Godkendelsesprocedure</w:t>
            </w:r>
          </w:p>
          <w:p w:rsidR="00E311A8" w:rsidRPr="002766A9" w:rsidRDefault="00E311A8" w:rsidP="00AD7480">
            <w:pPr>
              <w:pStyle w:val="Lgendesigne"/>
              <w:rPr>
                <w:szCs w:val="24"/>
              </w:rPr>
            </w:pPr>
            <w:r w:rsidRPr="002766A9">
              <w:tab/>
              <w:t>***I</w:t>
            </w:r>
            <w:r w:rsidRPr="002766A9">
              <w:tab/>
              <w:t>Almindelig lovgivningsprocedure (førstebehandling)</w:t>
            </w:r>
          </w:p>
          <w:p w:rsidR="00E311A8" w:rsidRPr="002766A9" w:rsidRDefault="00E311A8" w:rsidP="00AD7480">
            <w:pPr>
              <w:pStyle w:val="Lgendesigne"/>
              <w:rPr>
                <w:szCs w:val="24"/>
              </w:rPr>
            </w:pPr>
            <w:r w:rsidRPr="002766A9">
              <w:tab/>
              <w:t>***II</w:t>
            </w:r>
            <w:r w:rsidRPr="002766A9">
              <w:tab/>
              <w:t>Almindelig lovgivningsprocedure (andenbehandling)</w:t>
            </w:r>
          </w:p>
          <w:p w:rsidR="00E311A8" w:rsidRPr="002766A9" w:rsidRDefault="00E311A8" w:rsidP="00AD7480">
            <w:pPr>
              <w:pStyle w:val="Lgendesigne"/>
              <w:rPr>
                <w:szCs w:val="24"/>
              </w:rPr>
            </w:pPr>
            <w:r w:rsidRPr="002766A9">
              <w:tab/>
              <w:t>***III</w:t>
            </w:r>
            <w:r w:rsidRPr="002766A9">
              <w:tab/>
              <w:t>Almindelig lovgivningsprocedure (tredjebehandling)</w:t>
            </w:r>
          </w:p>
          <w:p w:rsidR="00E311A8" w:rsidRPr="002766A9" w:rsidRDefault="00E311A8" w:rsidP="00AD7480">
            <w:pPr>
              <w:pStyle w:val="Lgendesigne"/>
              <w:ind w:left="0" w:firstLine="0"/>
              <w:rPr>
                <w:szCs w:val="24"/>
              </w:rPr>
            </w:pPr>
          </w:p>
          <w:p w:rsidR="00E311A8" w:rsidRPr="002766A9" w:rsidRDefault="00E311A8" w:rsidP="00AD7480">
            <w:pPr>
              <w:pStyle w:val="Lgendesigne"/>
              <w:ind w:left="0" w:firstLine="0"/>
              <w:rPr>
                <w:szCs w:val="24"/>
              </w:rPr>
            </w:pPr>
            <w:r w:rsidRPr="002766A9">
              <w:t>(Proceduren afhænger af, hvilket retsgrundlag der er valgt i udkastet til retsakt)</w:t>
            </w:r>
          </w:p>
        </w:tc>
      </w:tr>
    </w:tbl>
    <w:p w:rsidR="00E311A8" w:rsidRPr="002766A9" w:rsidRDefault="00E311A8" w:rsidP="00AD7480">
      <w:pPr>
        <w:rPr>
          <w:szCs w:val="24"/>
        </w:rPr>
      </w:pPr>
    </w:p>
    <w:p w:rsidR="00E311A8" w:rsidRPr="002766A9" w:rsidRDefault="00E311A8" w:rsidP="00AD7480">
      <w:pPr>
        <w:rPr>
          <w:szCs w:val="24"/>
        </w:rPr>
      </w:pPr>
    </w:p>
    <w:p w:rsidR="00E311A8" w:rsidRPr="002766A9" w:rsidRDefault="00E311A8" w:rsidP="00AD7480">
      <w:pPr>
        <w:rPr>
          <w:szCs w:val="24"/>
        </w:rPr>
      </w:pPr>
    </w:p>
    <w:p w:rsidR="00E311A8" w:rsidRPr="002766A9" w:rsidRDefault="00E311A8" w:rsidP="00AD7480"/>
    <w:p w:rsidR="00E311A8" w:rsidRPr="002766A9" w:rsidRDefault="00E311A8" w:rsidP="00AD748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311A8" w:rsidRPr="002766A9" w:rsidTr="00AD7480">
        <w:trPr>
          <w:trHeight w:val="586"/>
        </w:trPr>
        <w:tc>
          <w:tcPr>
            <w:tcW w:w="5811" w:type="dxa"/>
            <w:tcBorders>
              <w:top w:val="single" w:sz="4" w:space="0" w:color="auto"/>
            </w:tcBorders>
          </w:tcPr>
          <w:p w:rsidR="00E311A8" w:rsidRPr="002766A9" w:rsidRDefault="00E311A8" w:rsidP="00AD7480">
            <w:pPr>
              <w:pStyle w:val="Lgendetitre"/>
              <w:rPr>
                <w:szCs w:val="24"/>
              </w:rPr>
            </w:pPr>
            <w:r w:rsidRPr="002766A9">
              <w:t>Ændringsforslag til et udkast til retsakt</w:t>
            </w:r>
          </w:p>
        </w:tc>
      </w:tr>
      <w:tr w:rsidR="00E311A8" w:rsidRPr="002766A9" w:rsidTr="00AD7480">
        <w:tc>
          <w:tcPr>
            <w:tcW w:w="5811" w:type="dxa"/>
            <w:tcBorders>
              <w:bottom w:val="single" w:sz="4" w:space="0" w:color="auto"/>
            </w:tcBorders>
          </w:tcPr>
          <w:p w:rsidR="00E311A8" w:rsidRPr="002766A9" w:rsidRDefault="00E311A8" w:rsidP="00AD7480">
            <w:pPr>
              <w:pStyle w:val="Lgendestandard"/>
              <w:rPr>
                <w:b/>
                <w:color w:val="000000"/>
                <w:szCs w:val="24"/>
              </w:rPr>
            </w:pPr>
            <w:r w:rsidRPr="002766A9">
              <w:rPr>
                <w:b/>
                <w:color w:val="000000"/>
              </w:rPr>
              <w:t>Ændringsforslag fra Parlamentet opstillet i to kolonner</w:t>
            </w:r>
          </w:p>
          <w:p w:rsidR="00E311A8" w:rsidRPr="002766A9" w:rsidRDefault="00E311A8" w:rsidP="00AD7480">
            <w:pPr>
              <w:pStyle w:val="Lgendestandard"/>
              <w:rPr>
                <w:color w:val="000000"/>
                <w:szCs w:val="24"/>
              </w:rPr>
            </w:pPr>
          </w:p>
          <w:p w:rsidR="00E311A8" w:rsidRPr="002766A9" w:rsidRDefault="00E311A8" w:rsidP="00AD7480">
            <w:pPr>
              <w:pStyle w:val="Lgendestandard"/>
              <w:rPr>
                <w:color w:val="000000"/>
                <w:szCs w:val="24"/>
              </w:rPr>
            </w:pPr>
            <w:r w:rsidRPr="002766A9">
              <w:rPr>
                <w:color w:val="000000"/>
              </w:rPr>
              <w:t xml:space="preserve">Tekst, der udgår, er markeret med </w:t>
            </w:r>
            <w:r w:rsidRPr="002766A9">
              <w:rPr>
                <w:b/>
                <w:i/>
                <w:color w:val="000000"/>
              </w:rPr>
              <w:t>fede typer og kursiv</w:t>
            </w:r>
            <w:r w:rsidRPr="002766A9">
              <w:rPr>
                <w:color w:val="000000"/>
              </w:rPr>
              <w:t xml:space="preserve"> i venstre kolonne. Tekst, der udskiftes, er markeret med </w:t>
            </w:r>
            <w:r w:rsidRPr="002766A9">
              <w:rPr>
                <w:b/>
                <w:i/>
                <w:color w:val="000000"/>
              </w:rPr>
              <w:t>fede typer og kursiv</w:t>
            </w:r>
            <w:r w:rsidRPr="002766A9">
              <w:rPr>
                <w:color w:val="000000"/>
              </w:rPr>
              <w:t xml:space="preserve"> i begge kolonner. Ny tekst er markeret med </w:t>
            </w:r>
            <w:r w:rsidRPr="002766A9">
              <w:rPr>
                <w:b/>
                <w:i/>
                <w:color w:val="000000"/>
              </w:rPr>
              <w:t>fede typer og kursiv</w:t>
            </w:r>
            <w:r w:rsidRPr="002766A9">
              <w:rPr>
                <w:color w:val="000000"/>
              </w:rPr>
              <w:t xml:space="preserve"> i højre kolonne.</w:t>
            </w:r>
          </w:p>
          <w:p w:rsidR="00E311A8" w:rsidRPr="002766A9" w:rsidRDefault="00E311A8" w:rsidP="00AD7480">
            <w:pPr>
              <w:pStyle w:val="Lgendestandard"/>
              <w:rPr>
                <w:color w:val="000000"/>
                <w:szCs w:val="24"/>
              </w:rPr>
            </w:pPr>
          </w:p>
          <w:p w:rsidR="00E311A8" w:rsidRPr="002766A9" w:rsidRDefault="00E311A8" w:rsidP="00AD7480">
            <w:pPr>
              <w:pStyle w:val="Lgendestandard"/>
              <w:rPr>
                <w:color w:val="000000"/>
                <w:szCs w:val="24"/>
              </w:rPr>
            </w:pPr>
            <w:r w:rsidRPr="002766A9">
              <w:rPr>
                <w:color w:val="000000"/>
              </w:rPr>
              <w:t>Den første og den anden linje i informationsblokken til hvert ændringsforslag angiver den relevante passage i det pågældende udkast til retsakt. Hvis et ændringsforslag angår en eksisterende retsakt, som udkastet til retsakt har til formål at ændre, indeholder informationsblokken tillige en tredje og en fjerde linje, hvori det er anført, hvilken eksisterende retsakt og hvilken bestemmelse heri der er berørt.</w:t>
            </w:r>
          </w:p>
          <w:p w:rsidR="00E311A8" w:rsidRPr="002766A9" w:rsidRDefault="00E311A8" w:rsidP="00AD7480">
            <w:pPr>
              <w:pStyle w:val="Lgendestandard"/>
              <w:rPr>
                <w:color w:val="000000"/>
                <w:szCs w:val="24"/>
              </w:rPr>
            </w:pPr>
          </w:p>
          <w:p w:rsidR="00E311A8" w:rsidRPr="002766A9" w:rsidRDefault="00E311A8" w:rsidP="00AD7480">
            <w:pPr>
              <w:pStyle w:val="Lgendestandard"/>
              <w:rPr>
                <w:b/>
                <w:szCs w:val="24"/>
              </w:rPr>
            </w:pPr>
            <w:r w:rsidRPr="002766A9">
              <w:rPr>
                <w:b/>
                <w:color w:val="000000"/>
              </w:rPr>
              <w:t>Ændringsforslag fra Parlamentet i form af en konsolideret tekst</w:t>
            </w:r>
          </w:p>
          <w:p w:rsidR="00E311A8" w:rsidRPr="002766A9" w:rsidRDefault="00E311A8" w:rsidP="00AD7480">
            <w:pPr>
              <w:pStyle w:val="Lgendestandard"/>
              <w:rPr>
                <w:szCs w:val="24"/>
              </w:rPr>
            </w:pPr>
          </w:p>
          <w:p w:rsidR="00E311A8" w:rsidRPr="002766A9" w:rsidRDefault="00E311A8" w:rsidP="00AD7480">
            <w:pPr>
              <w:pStyle w:val="Lgendestandard"/>
              <w:rPr>
                <w:szCs w:val="18"/>
              </w:rPr>
            </w:pPr>
            <w:r w:rsidRPr="002766A9">
              <w:rPr>
                <w:color w:val="000000"/>
              </w:rPr>
              <w:t xml:space="preserve">Ny tekst er markeret med </w:t>
            </w:r>
            <w:r w:rsidRPr="002766A9">
              <w:rPr>
                <w:b/>
                <w:i/>
                <w:color w:val="000000"/>
              </w:rPr>
              <w:t>fede typer og kursiv</w:t>
            </w:r>
            <w:r w:rsidRPr="002766A9">
              <w:rPr>
                <w:color w:val="000000"/>
              </w:rPr>
              <w:t>. Tekst, som er bortfaldet, markeres med symbolet ▌eller med overstregning</w:t>
            </w:r>
            <w:r w:rsidRPr="002766A9">
              <w:t xml:space="preserve">. Ved udskiftninger markeres den nye tekst med </w:t>
            </w:r>
            <w:r w:rsidRPr="002766A9">
              <w:rPr>
                <w:b/>
                <w:i/>
              </w:rPr>
              <w:t>fede typer og kursiv</w:t>
            </w:r>
            <w:r w:rsidRPr="002766A9">
              <w:t>, og den udskiftede tekst slettes eller overstreges.</w:t>
            </w:r>
          </w:p>
          <w:p w:rsidR="00E311A8" w:rsidRPr="002766A9" w:rsidRDefault="00E311A8" w:rsidP="00AD7480">
            <w:pPr>
              <w:pStyle w:val="Lgendestandard"/>
              <w:rPr>
                <w:szCs w:val="24"/>
              </w:rPr>
            </w:pPr>
            <w:r w:rsidRPr="002766A9">
              <w:t>Som en undtagelse bliver rent tekniske justeringer, der er foretaget af de berørte tjenestegrene med henblik på udarbejdelsen af den endelige tekst, ikke markeret.</w:t>
            </w:r>
          </w:p>
          <w:p w:rsidR="00E311A8" w:rsidRPr="002766A9" w:rsidRDefault="00E311A8" w:rsidP="00AD7480">
            <w:pPr>
              <w:pStyle w:val="Lgendestandard"/>
              <w:rPr>
                <w:szCs w:val="24"/>
              </w:rPr>
            </w:pPr>
          </w:p>
        </w:tc>
      </w:tr>
    </w:tbl>
    <w:p w:rsidR="00E311A8" w:rsidRPr="002766A9" w:rsidRDefault="00E311A8" w:rsidP="00AD7480"/>
    <w:p w:rsidR="00E311A8" w:rsidRPr="002766A9" w:rsidRDefault="00E311A8"/>
    <w:p w:rsidR="00793EA9" w:rsidRPr="002766A9" w:rsidRDefault="00793EA9" w:rsidP="00012351">
      <w:pPr>
        <w:widowControl/>
        <w:tabs>
          <w:tab w:val="center" w:pos="4677"/>
        </w:tabs>
      </w:pPr>
    </w:p>
    <w:p w:rsidR="00793EA9" w:rsidRPr="002766A9" w:rsidRDefault="00793EA9">
      <w:pPr>
        <w:pStyle w:val="TOCHeading"/>
      </w:pPr>
      <w:r w:rsidRPr="002766A9">
        <w:br w:type="page"/>
      </w:r>
      <w:r w:rsidRPr="002766A9">
        <w:lastRenderedPageBreak/>
        <w:t>INDHOLD</w:t>
      </w:r>
    </w:p>
    <w:p w:rsidR="00793EA9" w:rsidRPr="002766A9" w:rsidRDefault="00FF5AB4">
      <w:pPr>
        <w:pStyle w:val="TOCPage"/>
      </w:pPr>
      <w:r w:rsidRPr="002766A9">
        <w:t>Side</w:t>
      </w:r>
    </w:p>
    <w:p w:rsidR="005F4914"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2766A9">
        <w:rPr>
          <w:b/>
        </w:rPr>
        <w:fldChar w:fldCharType="begin"/>
      </w:r>
      <w:r w:rsidRPr="002766A9">
        <w:rPr>
          <w:b/>
        </w:rPr>
        <w:instrText xml:space="preserve"> TOC \t "PageHeading</w:instrText>
      </w:r>
      <w:r w:rsidR="00E311A8" w:rsidRPr="002766A9">
        <w:rPr>
          <w:b/>
        </w:rPr>
        <w:instrText>;</w:instrText>
      </w:r>
      <w:r w:rsidRPr="002766A9">
        <w:rPr>
          <w:b/>
        </w:rPr>
        <w:instrText xml:space="preserve">1" </w:instrText>
      </w:r>
      <w:r w:rsidRPr="002766A9">
        <w:rPr>
          <w:b/>
        </w:rPr>
        <w:fldChar w:fldCharType="separate"/>
      </w:r>
      <w:r w:rsidR="005F4914">
        <w:rPr>
          <w:noProof/>
        </w:rPr>
        <w:t>FORSLAG TIL EUROPA-PARLAMENTETS LOVGIVNINGSMÆSSIGE BESLUTNING</w:t>
      </w:r>
      <w:r w:rsidR="005F4914">
        <w:rPr>
          <w:noProof/>
        </w:rPr>
        <w:tab/>
      </w:r>
      <w:r w:rsidR="005F4914">
        <w:rPr>
          <w:noProof/>
        </w:rPr>
        <w:fldChar w:fldCharType="begin"/>
      </w:r>
      <w:r w:rsidR="005F4914">
        <w:rPr>
          <w:noProof/>
        </w:rPr>
        <w:instrText xml:space="preserve"> PAGEREF _Toc465261063 \h </w:instrText>
      </w:r>
      <w:r w:rsidR="005F4914">
        <w:rPr>
          <w:noProof/>
        </w:rPr>
      </w:r>
      <w:r w:rsidR="005F4914">
        <w:rPr>
          <w:noProof/>
        </w:rPr>
        <w:fldChar w:fldCharType="separate"/>
      </w:r>
      <w:r w:rsidR="005F4914">
        <w:rPr>
          <w:noProof/>
        </w:rPr>
        <w:t>5</w:t>
      </w:r>
      <w:r w:rsidR="005F4914">
        <w:rPr>
          <w:noProof/>
        </w:rPr>
        <w:fldChar w:fldCharType="end"/>
      </w:r>
    </w:p>
    <w:p w:rsidR="00E311A8" w:rsidRPr="002766A9" w:rsidRDefault="001767E2">
      <w:pPr>
        <w:pStyle w:val="TOC1"/>
        <w:tabs>
          <w:tab w:val="right" w:leader="dot" w:pos="9060"/>
        </w:tabs>
        <w:rPr>
          <w:rFonts w:asciiTheme="minorHAnsi" w:eastAsiaTheme="minorEastAsia" w:hAnsiTheme="minorHAnsi" w:cstheme="minorBidi"/>
          <w:sz w:val="22"/>
          <w:szCs w:val="22"/>
        </w:rPr>
      </w:pPr>
      <w:r w:rsidRPr="002766A9">
        <w:rPr>
          <w:b/>
        </w:rPr>
        <w:fldChar w:fldCharType="end"/>
      </w:r>
    </w:p>
    <w:p w:rsidR="002346B0" w:rsidRPr="002766A9" w:rsidRDefault="002346B0" w:rsidP="002346B0"/>
    <w:p w:rsidR="002346B0" w:rsidRPr="002766A9" w:rsidRDefault="002346B0">
      <w:pPr>
        <w:pStyle w:val="PageHeading"/>
      </w:pPr>
    </w:p>
    <w:p w:rsidR="00793EA9" w:rsidRPr="002766A9" w:rsidRDefault="00793EA9">
      <w:pPr>
        <w:pStyle w:val="PageHeading"/>
      </w:pPr>
      <w:r w:rsidRPr="002766A9">
        <w:br w:type="page"/>
      </w:r>
      <w:r w:rsidRPr="002766A9">
        <w:lastRenderedPageBreak/>
        <w:br w:type="page"/>
      </w:r>
      <w:bookmarkStart w:id="2" w:name="_Toc464567097"/>
      <w:bookmarkStart w:id="3" w:name="_Toc465261063"/>
      <w:r w:rsidRPr="002766A9">
        <w:lastRenderedPageBreak/>
        <w:t>FORSLAG TIL EUROPA-PARLAMENTETS LOVGIVNINGSMÆSSIGE BESLUTNING</w:t>
      </w:r>
      <w:bookmarkEnd w:id="2"/>
      <w:bookmarkEnd w:id="3"/>
    </w:p>
    <w:p w:rsidR="00E311A8" w:rsidRPr="002766A9" w:rsidRDefault="00FF5AB4">
      <w:pPr>
        <w:pStyle w:val="NormalBold"/>
      </w:pPr>
      <w:r w:rsidRPr="002766A9">
        <w:t xml:space="preserve">om forslag til Europa-Parlamentets og Rådets forordning om visse procedurer for anvendelsen af stabiliserings- og associeringsaftalen mellem </w:t>
      </w:r>
    </w:p>
    <w:p w:rsidR="00793EA9" w:rsidRPr="002766A9" w:rsidRDefault="00E311A8">
      <w:pPr>
        <w:pStyle w:val="NormalBold"/>
      </w:pPr>
      <w:r w:rsidRPr="002766A9">
        <w:t xml:space="preserve">Den Europæiske Union og Det Europæiske Atomenergifællesskab på den ene side og </w:t>
      </w:r>
      <w:r w:rsidR="005F4914" w:rsidRPr="002766A9">
        <w:t>Kosovo på</w:t>
      </w:r>
      <w:r w:rsidRPr="002766A9">
        <w:t xml:space="preserve"> den anden side</w:t>
      </w:r>
    </w:p>
    <w:p w:rsidR="00793EA9" w:rsidRPr="002766A9" w:rsidRDefault="00FF5AB4">
      <w:pPr>
        <w:pStyle w:val="Normal12Bold"/>
      </w:pPr>
      <w:r w:rsidRPr="002766A9">
        <w:t>(COM(2016)0460 – C8-0327/2016 – 2016/0218(COD))</w:t>
      </w:r>
    </w:p>
    <w:p w:rsidR="00793EA9" w:rsidRPr="002766A9" w:rsidRDefault="00FF5AB4">
      <w:pPr>
        <w:pStyle w:val="Normal12Bold"/>
      </w:pPr>
      <w:r w:rsidRPr="002766A9">
        <w:t>(Almindelig lovgivningsprocedure: førstebehandling)</w:t>
      </w:r>
    </w:p>
    <w:p w:rsidR="00793EA9" w:rsidRPr="002766A9" w:rsidRDefault="00FF5AB4">
      <w:pPr>
        <w:pStyle w:val="Normal12"/>
      </w:pPr>
      <w:r w:rsidRPr="002766A9">
        <w:rPr>
          <w:i/>
        </w:rPr>
        <w:t>Europa-Parlamentet</w:t>
      </w:r>
      <w:r w:rsidRPr="002766A9">
        <w:t>,</w:t>
      </w:r>
    </w:p>
    <w:p w:rsidR="00793EA9" w:rsidRPr="002766A9" w:rsidRDefault="00793EA9">
      <w:pPr>
        <w:pStyle w:val="Normal12Hanging"/>
      </w:pPr>
      <w:r w:rsidRPr="002766A9">
        <w:t>–</w:t>
      </w:r>
      <w:r w:rsidRPr="002766A9">
        <w:tab/>
        <w:t>der henviser til Kommissionens forslag til Europa-Parlamentet og Rådet (COM(2016)0460),</w:t>
      </w:r>
    </w:p>
    <w:p w:rsidR="00793EA9" w:rsidRPr="002766A9" w:rsidRDefault="00793EA9">
      <w:pPr>
        <w:pStyle w:val="Normal12Hanging"/>
      </w:pPr>
      <w:r w:rsidRPr="002766A9">
        <w:t>–</w:t>
      </w:r>
      <w:r w:rsidRPr="002766A9">
        <w:tab/>
        <w:t>der henviser til artikel 294, stk. 2, og artikel 207 i traktaten om Den Europæiske Unions funktionsmåde, på grundlag af hvilke Kommissionen har forelagt forslaget for Parlamentet (C8-0327/2016),</w:t>
      </w:r>
    </w:p>
    <w:p w:rsidR="00A26F46" w:rsidRPr="002766A9" w:rsidRDefault="00A26F46" w:rsidP="00A26F46">
      <w:pPr>
        <w:pStyle w:val="Normal12Hanging"/>
      </w:pPr>
      <w:r w:rsidRPr="002766A9">
        <w:t>–</w:t>
      </w:r>
      <w:r w:rsidRPr="002766A9">
        <w:tab/>
        <w:t>der henviser til artikel 294, stk. 3, i traktaten om Den Europæiske Unions funktionsmåde,</w:t>
      </w:r>
    </w:p>
    <w:p w:rsidR="00793EA9" w:rsidRPr="002766A9" w:rsidRDefault="00793EA9">
      <w:pPr>
        <w:pStyle w:val="Normal12Hanging"/>
      </w:pPr>
      <w:r w:rsidRPr="002766A9">
        <w:t>–</w:t>
      </w:r>
      <w:r w:rsidRPr="002766A9">
        <w:tab/>
        <w:t>der henviser til forretningsordenens artikel 59,</w:t>
      </w:r>
    </w:p>
    <w:p w:rsidR="00793EA9" w:rsidRPr="002766A9" w:rsidRDefault="00793EA9">
      <w:pPr>
        <w:pStyle w:val="Normal12Hanging"/>
      </w:pPr>
      <w:r w:rsidRPr="002766A9">
        <w:t>–</w:t>
      </w:r>
      <w:r w:rsidRPr="002766A9">
        <w:tab/>
        <w:t>der henviser til betænkning fra Udvalget om International Handel og udtalelse fra Udenrigsudvalget (A8-0000/2016),</w:t>
      </w:r>
    </w:p>
    <w:p w:rsidR="009F6C2F" w:rsidRPr="002766A9" w:rsidRDefault="009F6C2F" w:rsidP="009F6C2F">
      <w:pPr>
        <w:pStyle w:val="Normal12Hanging"/>
      </w:pPr>
      <w:r w:rsidRPr="002766A9">
        <w:t>1.</w:t>
      </w:r>
      <w:r w:rsidRPr="002766A9">
        <w:tab/>
        <w:t>vedtager nedenstående holdning ved førstebehandling;</w:t>
      </w:r>
    </w:p>
    <w:p w:rsidR="009F6C2F" w:rsidRPr="002766A9" w:rsidRDefault="00E311A8" w:rsidP="009F6C2F">
      <w:pPr>
        <w:pStyle w:val="Normal12Hanging"/>
      </w:pPr>
      <w:r w:rsidRPr="002766A9">
        <w:t>2.</w:t>
      </w:r>
      <w:r w:rsidRPr="002766A9">
        <w:tab/>
        <w:t>anmoder om fornyet forelæggelse, hvis Kommissionen agter at ændre sit forslag i væsentlig grad eller erstatte det med en anden tekst;</w:t>
      </w:r>
    </w:p>
    <w:p w:rsidR="009F6C2F" w:rsidRPr="002766A9" w:rsidRDefault="00E311A8" w:rsidP="009F6C2F">
      <w:pPr>
        <w:pStyle w:val="Normal12Hanging"/>
      </w:pPr>
      <w:r w:rsidRPr="002766A9">
        <w:t>3.</w:t>
      </w:r>
      <w:r w:rsidRPr="002766A9">
        <w:tab/>
        <w:t>pålægger sin formand at sende Parlamentets holdning til Rådet og Kommissionen samt til de nationale parlamenter.</w:t>
      </w:r>
    </w:p>
    <w:p w:rsidR="00E311A8" w:rsidRPr="002766A9" w:rsidRDefault="00E311A8" w:rsidP="00E311A8">
      <w:pPr>
        <w:pStyle w:val="AMNumberTabs"/>
        <w:keepNext/>
      </w:pPr>
      <w:r w:rsidRPr="002766A9">
        <w:br w:type="page"/>
      </w:r>
      <w:r w:rsidRPr="002766A9">
        <w:rPr>
          <w:rStyle w:val="HideTWBExt"/>
          <w:b w:val="0"/>
          <w:noProof w:val="0"/>
        </w:rPr>
        <w:lastRenderedPageBreak/>
        <w:t>&lt;RepeatBlock-Amend&gt;</w:t>
      </w:r>
      <w:bookmarkStart w:id="4" w:name="restart"/>
      <w:r w:rsidRPr="002766A9">
        <w:rPr>
          <w:rStyle w:val="HideTWBExt"/>
          <w:b w:val="0"/>
          <w:noProof w:val="0"/>
        </w:rPr>
        <w:t>&lt;Amend&gt;</w:t>
      </w:r>
      <w:r w:rsidRPr="002766A9">
        <w:t>Ændringsforslag</w:t>
      </w:r>
      <w:r w:rsidRPr="002766A9">
        <w:tab/>
      </w:r>
      <w:r w:rsidRPr="002766A9">
        <w:tab/>
      </w:r>
      <w:r w:rsidRPr="002766A9">
        <w:rPr>
          <w:rStyle w:val="HideTWBExt"/>
          <w:b w:val="0"/>
          <w:noProof w:val="0"/>
        </w:rPr>
        <w:t>&lt;NumAm&gt;</w:t>
      </w:r>
      <w:r w:rsidRPr="002766A9">
        <w:t>1</w:t>
      </w:r>
      <w:r w:rsidRPr="002766A9">
        <w:rPr>
          <w:rStyle w:val="HideTWBExt"/>
          <w:b w:val="0"/>
          <w:noProof w:val="0"/>
        </w:rPr>
        <w:t>&lt;/NumAm&gt;</w:t>
      </w:r>
    </w:p>
    <w:p w:rsidR="00E311A8" w:rsidRPr="002766A9" w:rsidRDefault="00E311A8" w:rsidP="00E311A8">
      <w:pPr>
        <w:pStyle w:val="NormalBold12b"/>
        <w:keepNext/>
      </w:pPr>
      <w:r w:rsidRPr="002766A9">
        <w:rPr>
          <w:rStyle w:val="HideTWBExt"/>
          <w:b w:val="0"/>
          <w:noProof w:val="0"/>
        </w:rPr>
        <w:t>&lt;DocAmend&gt;</w:t>
      </w:r>
      <w:r w:rsidRPr="002766A9">
        <w:t>Forslag til forordning</w:t>
      </w:r>
      <w:r w:rsidRPr="002766A9">
        <w:rPr>
          <w:rStyle w:val="HideTWBExt"/>
          <w:b w:val="0"/>
          <w:noProof w:val="0"/>
        </w:rPr>
        <w:t>&lt;/DocAmend&gt;</w:t>
      </w:r>
    </w:p>
    <w:p w:rsidR="00E311A8" w:rsidRPr="002766A9" w:rsidRDefault="00E311A8" w:rsidP="00E311A8">
      <w:pPr>
        <w:pStyle w:val="NormalBold"/>
        <w:keepNext/>
      </w:pPr>
      <w:r w:rsidRPr="002766A9">
        <w:rPr>
          <w:rStyle w:val="HideTWBExt"/>
          <w:b w:val="0"/>
          <w:noProof w:val="0"/>
        </w:rPr>
        <w:t>&lt;Article&gt;</w:t>
      </w:r>
      <w:r w:rsidRPr="002766A9">
        <w:t>Betragtning 3</w:t>
      </w:r>
      <w:r w:rsidRPr="002766A9">
        <w:rPr>
          <w:rStyle w:val="HideTWBExt"/>
          <w:b w:val="0"/>
          <w:noProof w:val="0"/>
        </w:rPr>
        <w:t>&lt;/Article&gt;</w:t>
      </w:r>
    </w:p>
    <w:p w:rsidR="00E311A8" w:rsidRPr="002766A9" w:rsidRDefault="00E311A8" w:rsidP="00E311A8"/>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311A8" w:rsidRPr="002766A9" w:rsidTr="00E311A8">
        <w:trPr>
          <w:jc w:val="center"/>
        </w:trPr>
        <w:tc>
          <w:tcPr>
            <w:tcW w:w="9752" w:type="dxa"/>
            <w:gridSpan w:val="2"/>
          </w:tcPr>
          <w:p w:rsidR="00E311A8" w:rsidRPr="002766A9" w:rsidRDefault="00E311A8">
            <w:pPr>
              <w:keepNext/>
            </w:pPr>
          </w:p>
        </w:tc>
      </w:tr>
      <w:tr w:rsidR="00E311A8" w:rsidRPr="002766A9" w:rsidTr="00E311A8">
        <w:trPr>
          <w:jc w:val="center"/>
        </w:trPr>
        <w:tc>
          <w:tcPr>
            <w:tcW w:w="4876" w:type="dxa"/>
            <w:hideMark/>
          </w:tcPr>
          <w:p w:rsidR="00E311A8" w:rsidRPr="002766A9" w:rsidRDefault="00E311A8">
            <w:pPr>
              <w:pStyle w:val="ColumnHeading"/>
              <w:keepNext/>
            </w:pPr>
            <w:r w:rsidRPr="002766A9">
              <w:t>Kommissionens forslag</w:t>
            </w:r>
          </w:p>
        </w:tc>
        <w:tc>
          <w:tcPr>
            <w:tcW w:w="4876" w:type="dxa"/>
            <w:hideMark/>
          </w:tcPr>
          <w:p w:rsidR="00E311A8" w:rsidRPr="002766A9" w:rsidRDefault="00E311A8">
            <w:pPr>
              <w:pStyle w:val="ColumnHeading"/>
              <w:keepNext/>
            </w:pPr>
            <w:r w:rsidRPr="002766A9">
              <w:t>Ændringsforslag</w:t>
            </w:r>
          </w:p>
        </w:tc>
      </w:tr>
      <w:tr w:rsidR="00E311A8" w:rsidRPr="002766A9" w:rsidTr="00E311A8">
        <w:trPr>
          <w:jc w:val="center"/>
        </w:trPr>
        <w:tc>
          <w:tcPr>
            <w:tcW w:w="4876" w:type="dxa"/>
            <w:hideMark/>
          </w:tcPr>
          <w:p w:rsidR="00E311A8" w:rsidRPr="002766A9" w:rsidRDefault="00E311A8">
            <w:pPr>
              <w:pStyle w:val="Normal6"/>
              <w:rPr>
                <w:szCs w:val="24"/>
              </w:rPr>
            </w:pPr>
            <w:r w:rsidRPr="002766A9">
              <w:t>(3)</w:t>
            </w:r>
            <w:r w:rsidRPr="002766A9">
              <w:tab/>
              <w:t>For at sikre ensartede betingelser for gennemførelsen af aftalen bør Kommissionen tillægges gennemførelsesbeføjelser. Disse beføjelser bør udøves i overensstemmelse med Europa-Parlamentets og Rådets forordning (EU) nr. 182/2011</w:t>
            </w:r>
            <w:r w:rsidRPr="002766A9">
              <w:rPr>
                <w:rStyle w:val="FootnoteReference"/>
              </w:rPr>
              <w:t>2</w:t>
            </w:r>
            <w:r w:rsidRPr="002766A9">
              <w:t xml:space="preserve">. Da gennemførelsesretsakterne er led i den fælles handelspolitik, bør undersøgelsesproceduren anvendes til vedtagelse af dem. Når aftalen giver mulighed for under ekstraordinære og kritiske omstændigheder at anvende </w:t>
            </w:r>
            <w:r w:rsidRPr="002766A9">
              <w:rPr>
                <w:b/>
                <w:i/>
              </w:rPr>
              <w:t>hastende</w:t>
            </w:r>
            <w:r w:rsidRPr="002766A9">
              <w:t xml:space="preserve"> foranstaltninger, som er nødvendige i den konkrete situation, bør Kommissionen straks vedtage sådanne gennemførelsesretsakter. Kommissionen bør straks vedtage sådanne gennemførelsesretsakter for foranstaltninger vedrørende landbrugsprodukter og fiskevarer i behørigt begrundede tilfælde af særligt hastende karakter. </w:t>
            </w:r>
          </w:p>
        </w:tc>
        <w:tc>
          <w:tcPr>
            <w:tcW w:w="4876" w:type="dxa"/>
            <w:hideMark/>
          </w:tcPr>
          <w:p w:rsidR="00E311A8" w:rsidRPr="002766A9" w:rsidRDefault="00E311A8">
            <w:pPr>
              <w:pStyle w:val="Normal6"/>
              <w:rPr>
                <w:szCs w:val="24"/>
              </w:rPr>
            </w:pPr>
            <w:r w:rsidRPr="002766A9">
              <w:t>(3)</w:t>
            </w:r>
            <w:r w:rsidRPr="002766A9">
              <w:tab/>
              <w:t>For at sikre ensartede betingelser for gennemførelsen af aftalen bør Kommissionen tillægges gennemførelsesbeføjelser. Disse beføjelser bør udøves i overensstemmelse med Europa-Parlamentets og Rådets forordning (EU) nr. 182/2011</w:t>
            </w:r>
            <w:r w:rsidRPr="002766A9">
              <w:rPr>
                <w:vertAlign w:val="superscript"/>
              </w:rPr>
              <w:t>2</w:t>
            </w:r>
            <w:r w:rsidRPr="002766A9">
              <w:t xml:space="preserve">. Da gennemførelsesretsakter er led i den fælles handelspolitik, bør undersøgelsesproceduren </w:t>
            </w:r>
            <w:r w:rsidRPr="002766A9">
              <w:rPr>
                <w:b/>
                <w:i/>
              </w:rPr>
              <w:t>i princippet</w:t>
            </w:r>
            <w:r w:rsidRPr="002766A9">
              <w:t xml:space="preserve"> anvendes til vedtagelse af dem. Når aftalen giver mulighed for under ekstraordinære og kritiske omstændigheder at anvende </w:t>
            </w:r>
            <w:r w:rsidRPr="002766A9">
              <w:rPr>
                <w:b/>
                <w:i/>
              </w:rPr>
              <w:t>øjeblikkelige</w:t>
            </w:r>
            <w:r w:rsidRPr="002766A9">
              <w:t xml:space="preserve"> foranstaltninger, som er nødvendige i den konkrete situation, bør Kommissionen straks vedtage sådanne gennemførelsesretsakter. Kommissionen bør straks vedtage sådanne gennemførelsesretsakter for foranstaltninger vedrørende landbrugsprodukter og fiskevarer i behørigt begrundede tilfælde af særligt hastende karakter. </w:t>
            </w:r>
          </w:p>
        </w:tc>
      </w:tr>
      <w:tr w:rsidR="00E311A8" w:rsidRPr="002766A9" w:rsidTr="00E311A8">
        <w:trPr>
          <w:jc w:val="center"/>
        </w:trPr>
        <w:tc>
          <w:tcPr>
            <w:tcW w:w="4876" w:type="dxa"/>
            <w:hideMark/>
          </w:tcPr>
          <w:p w:rsidR="00E311A8" w:rsidRPr="002766A9" w:rsidRDefault="00E311A8">
            <w:pPr>
              <w:pStyle w:val="Normal6"/>
            </w:pPr>
            <w:r w:rsidRPr="002766A9">
              <w:t>____________________</w:t>
            </w:r>
          </w:p>
        </w:tc>
        <w:tc>
          <w:tcPr>
            <w:tcW w:w="4876" w:type="dxa"/>
            <w:hideMark/>
          </w:tcPr>
          <w:p w:rsidR="00E311A8" w:rsidRPr="002766A9" w:rsidRDefault="00E311A8">
            <w:pPr>
              <w:pStyle w:val="Normal6"/>
            </w:pPr>
            <w:r w:rsidRPr="002766A9">
              <w:t>____________________</w:t>
            </w:r>
          </w:p>
        </w:tc>
      </w:tr>
      <w:tr w:rsidR="00E311A8" w:rsidRPr="002766A9" w:rsidTr="00E311A8">
        <w:trPr>
          <w:jc w:val="center"/>
        </w:trPr>
        <w:tc>
          <w:tcPr>
            <w:tcW w:w="4876" w:type="dxa"/>
            <w:hideMark/>
          </w:tcPr>
          <w:p w:rsidR="00E311A8" w:rsidRPr="002766A9" w:rsidRDefault="00E311A8">
            <w:pPr>
              <w:pStyle w:val="Normal6"/>
            </w:pPr>
            <w:r w:rsidRPr="002766A9">
              <w:rPr>
                <w:vertAlign w:val="superscript"/>
              </w:rPr>
              <w:t>2</w:t>
            </w:r>
            <w:r w:rsidRPr="002766A9">
              <w:t>Europa-Parlamentets og Rådets forordning (EU) nr. 182/2011 af 16. februar 2011 om de generelle regler og principper for, hvordan medlemsstaterne skal kontrollere Kommissionens udøvelse af gennemførelsesbeføjelser (EUT L 55 af 28.2.2011, s. 13).</w:t>
            </w:r>
          </w:p>
        </w:tc>
        <w:tc>
          <w:tcPr>
            <w:tcW w:w="4876" w:type="dxa"/>
            <w:hideMark/>
          </w:tcPr>
          <w:p w:rsidR="00E311A8" w:rsidRPr="002766A9" w:rsidRDefault="00E311A8">
            <w:pPr>
              <w:pStyle w:val="Normal6"/>
            </w:pPr>
            <w:r w:rsidRPr="002766A9">
              <w:t>Europa-Parlamentets og Rådets forordning (EU) nr. 182/2011 af 16. februar 2011 om de generelle regler og principper for, hvordan medlemsstaterne skal kontrollere Kommissionens udøvelse af gennemførelsesbeføjelser (EUT L 55 af 28.2.2011, s. 13).</w:t>
            </w:r>
          </w:p>
        </w:tc>
      </w:tr>
    </w:tbl>
    <w:p w:rsidR="00E311A8" w:rsidRPr="005F4914" w:rsidRDefault="00E311A8" w:rsidP="00457DD3">
      <w:pPr>
        <w:pStyle w:val="Olang"/>
        <w:rPr>
          <w:noProof w:val="0"/>
          <w:lang w:val="en-GB"/>
        </w:rPr>
      </w:pPr>
      <w:r w:rsidRPr="005F4914">
        <w:rPr>
          <w:noProof w:val="0"/>
          <w:lang w:val="en-GB"/>
        </w:rPr>
        <w:t xml:space="preserve">Or. </w:t>
      </w:r>
      <w:r w:rsidRPr="005F4914">
        <w:rPr>
          <w:rStyle w:val="HideTWBExt"/>
          <w:noProof w:val="0"/>
          <w:lang w:val="en-GB"/>
        </w:rPr>
        <w:t>&lt;Original&gt;</w:t>
      </w:r>
      <w:r w:rsidRPr="005F4914">
        <w:rPr>
          <w:rStyle w:val="HideTWBInt"/>
          <w:noProof w:val="0"/>
          <w:lang w:val="en-GB"/>
        </w:rPr>
        <w:t>{EN}</w:t>
      </w:r>
      <w:r w:rsidRPr="005F4914">
        <w:rPr>
          <w:noProof w:val="0"/>
          <w:lang w:val="en-GB"/>
        </w:rPr>
        <w:t>en</w:t>
      </w:r>
      <w:r w:rsidRPr="005F4914">
        <w:rPr>
          <w:rStyle w:val="HideTWBExt"/>
          <w:noProof w:val="0"/>
          <w:lang w:val="en-GB"/>
        </w:rPr>
        <w:t>&lt;/Original&gt;</w:t>
      </w:r>
    </w:p>
    <w:p w:rsidR="00E311A8" w:rsidRPr="005F4914" w:rsidRDefault="00E311A8" w:rsidP="00E311A8">
      <w:pPr>
        <w:rPr>
          <w:lang w:val="en-GB"/>
        </w:rPr>
      </w:pPr>
      <w:r w:rsidRPr="005F4914">
        <w:rPr>
          <w:rStyle w:val="HideTWBExt"/>
          <w:noProof w:val="0"/>
          <w:lang w:val="en-GB"/>
        </w:rPr>
        <w:t>&lt;/Amend&gt;</w:t>
      </w:r>
      <w:bookmarkEnd w:id="4"/>
    </w:p>
    <w:p w:rsidR="00E311A8" w:rsidRPr="002766A9" w:rsidRDefault="00E311A8" w:rsidP="00E311A8">
      <w:pPr>
        <w:pStyle w:val="AMNumberTabs"/>
        <w:keepNext/>
      </w:pPr>
      <w:r w:rsidRPr="002766A9">
        <w:rPr>
          <w:rStyle w:val="HideTWBExt"/>
          <w:b w:val="0"/>
          <w:noProof w:val="0"/>
        </w:rPr>
        <w:lastRenderedPageBreak/>
        <w:t>&lt;Amend&gt;</w:t>
      </w:r>
      <w:r w:rsidRPr="002766A9">
        <w:t>Ændringsforslag</w:t>
      </w:r>
      <w:r w:rsidRPr="002766A9">
        <w:tab/>
      </w:r>
      <w:r w:rsidRPr="002766A9">
        <w:tab/>
      </w:r>
      <w:r w:rsidRPr="002766A9">
        <w:rPr>
          <w:rStyle w:val="HideTWBExt"/>
          <w:b w:val="0"/>
          <w:noProof w:val="0"/>
        </w:rPr>
        <w:t>&lt;NumAm&gt;</w:t>
      </w:r>
      <w:r w:rsidRPr="002766A9">
        <w:t>2</w:t>
      </w:r>
      <w:r w:rsidRPr="002766A9">
        <w:rPr>
          <w:rStyle w:val="HideTWBExt"/>
          <w:b w:val="0"/>
          <w:noProof w:val="0"/>
        </w:rPr>
        <w:t>&lt;/NumAm&gt;</w:t>
      </w:r>
    </w:p>
    <w:p w:rsidR="00E311A8" w:rsidRPr="002766A9" w:rsidRDefault="00E311A8" w:rsidP="00E311A8">
      <w:pPr>
        <w:pStyle w:val="NormalBold12b"/>
        <w:keepNext/>
      </w:pPr>
      <w:r w:rsidRPr="002766A9">
        <w:rPr>
          <w:rStyle w:val="HideTWBExt"/>
          <w:b w:val="0"/>
          <w:noProof w:val="0"/>
        </w:rPr>
        <w:t>&lt;DocAmend&gt;</w:t>
      </w:r>
      <w:r w:rsidRPr="002766A9">
        <w:t>Forslag til forordning</w:t>
      </w:r>
      <w:r w:rsidRPr="002766A9">
        <w:rPr>
          <w:rStyle w:val="HideTWBExt"/>
          <w:b w:val="0"/>
          <w:noProof w:val="0"/>
        </w:rPr>
        <w:t>&lt;/DocAmend&gt;</w:t>
      </w:r>
    </w:p>
    <w:p w:rsidR="00E311A8" w:rsidRPr="002766A9" w:rsidRDefault="00E311A8" w:rsidP="00E311A8">
      <w:pPr>
        <w:pStyle w:val="NormalBold"/>
        <w:keepNext/>
      </w:pPr>
      <w:r w:rsidRPr="002766A9">
        <w:rPr>
          <w:rStyle w:val="HideTWBExt"/>
          <w:b w:val="0"/>
          <w:noProof w:val="0"/>
        </w:rPr>
        <w:t>&lt;Article&gt;</w:t>
      </w:r>
      <w:r w:rsidRPr="002766A9">
        <w:t>Betragtning 8</w:t>
      </w:r>
      <w:r w:rsidRPr="002766A9">
        <w:rPr>
          <w:rStyle w:val="HideTWBExt"/>
          <w:b w:val="0"/>
          <w:noProof w:val="0"/>
        </w:rPr>
        <w:t>&lt;/Article&gt;</w:t>
      </w:r>
    </w:p>
    <w:p w:rsidR="00E311A8" w:rsidRPr="002766A9" w:rsidRDefault="00E311A8" w:rsidP="00E311A8"/>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311A8" w:rsidRPr="002766A9" w:rsidTr="00E311A8">
        <w:trPr>
          <w:jc w:val="center"/>
        </w:trPr>
        <w:tc>
          <w:tcPr>
            <w:tcW w:w="9752" w:type="dxa"/>
            <w:gridSpan w:val="2"/>
          </w:tcPr>
          <w:p w:rsidR="00E311A8" w:rsidRPr="002766A9" w:rsidRDefault="00E311A8">
            <w:pPr>
              <w:keepNext/>
            </w:pPr>
          </w:p>
        </w:tc>
      </w:tr>
      <w:tr w:rsidR="00E311A8" w:rsidRPr="002766A9" w:rsidTr="00E311A8">
        <w:trPr>
          <w:jc w:val="center"/>
        </w:trPr>
        <w:tc>
          <w:tcPr>
            <w:tcW w:w="4876" w:type="dxa"/>
            <w:hideMark/>
          </w:tcPr>
          <w:p w:rsidR="00E311A8" w:rsidRPr="002766A9" w:rsidRDefault="00E311A8">
            <w:pPr>
              <w:pStyle w:val="ColumnHeading"/>
              <w:keepNext/>
            </w:pPr>
            <w:r w:rsidRPr="002766A9">
              <w:t>Kommissionens forslag</w:t>
            </w:r>
          </w:p>
        </w:tc>
        <w:tc>
          <w:tcPr>
            <w:tcW w:w="4876" w:type="dxa"/>
            <w:hideMark/>
          </w:tcPr>
          <w:p w:rsidR="00E311A8" w:rsidRPr="002766A9" w:rsidRDefault="00E311A8">
            <w:pPr>
              <w:pStyle w:val="ColumnHeading"/>
              <w:keepNext/>
            </w:pPr>
            <w:r w:rsidRPr="002766A9">
              <w:t>Ændringsforslag</w:t>
            </w:r>
          </w:p>
        </w:tc>
      </w:tr>
      <w:tr w:rsidR="00E311A8" w:rsidRPr="002766A9" w:rsidTr="00E311A8">
        <w:trPr>
          <w:jc w:val="center"/>
        </w:trPr>
        <w:tc>
          <w:tcPr>
            <w:tcW w:w="4876" w:type="dxa"/>
            <w:hideMark/>
          </w:tcPr>
          <w:p w:rsidR="00E311A8" w:rsidRPr="002766A9" w:rsidRDefault="00E311A8">
            <w:pPr>
              <w:pStyle w:val="Normal6"/>
              <w:rPr>
                <w:b/>
                <w:i/>
              </w:rPr>
            </w:pPr>
            <w:r w:rsidRPr="002766A9">
              <w:rPr>
                <w:b/>
                <w:i/>
              </w:rPr>
              <w:t>(8)</w:t>
            </w:r>
            <w:r w:rsidRPr="002766A9">
              <w:tab/>
            </w:r>
            <w:r w:rsidRPr="002766A9">
              <w:rPr>
                <w:b/>
                <w:i/>
              </w:rPr>
              <w:t>For at sikre en effektiv anvendelse og forvaltning af de toldkontingenter, der er indrømmet i medfør af aftalen, og for at sikre retssikkerhed og ligebehandling med hensyn til opkrævning af told bør visse bestemmelser i denne forordning finde anvendelse fra datoen for aftalens ikrafttræden —</w:t>
            </w:r>
          </w:p>
        </w:tc>
        <w:tc>
          <w:tcPr>
            <w:tcW w:w="4876" w:type="dxa"/>
            <w:hideMark/>
          </w:tcPr>
          <w:p w:rsidR="00E311A8" w:rsidRPr="002766A9" w:rsidRDefault="00E311A8">
            <w:pPr>
              <w:pStyle w:val="Normal6"/>
              <w:rPr>
                <w:szCs w:val="24"/>
              </w:rPr>
            </w:pPr>
            <w:r w:rsidRPr="002766A9">
              <w:rPr>
                <w:b/>
                <w:i/>
              </w:rPr>
              <w:t>udgår</w:t>
            </w:r>
          </w:p>
        </w:tc>
      </w:tr>
    </w:tbl>
    <w:p w:rsidR="00E311A8" w:rsidRPr="002766A9" w:rsidRDefault="00E311A8" w:rsidP="00457DD3">
      <w:pPr>
        <w:pStyle w:val="Olang"/>
        <w:rPr>
          <w:noProof w:val="0"/>
        </w:rPr>
      </w:pPr>
      <w:r w:rsidRPr="002766A9">
        <w:rPr>
          <w:noProof w:val="0"/>
        </w:rPr>
        <w:t xml:space="preserve">Or. </w:t>
      </w:r>
      <w:r w:rsidRPr="002766A9">
        <w:rPr>
          <w:rStyle w:val="HideTWBExt"/>
          <w:noProof w:val="0"/>
        </w:rPr>
        <w:t>&lt;Original&gt;</w:t>
      </w:r>
      <w:r w:rsidRPr="002766A9">
        <w:rPr>
          <w:rStyle w:val="HideTWBInt"/>
          <w:noProof w:val="0"/>
        </w:rPr>
        <w:t>{EN}</w:t>
      </w:r>
      <w:r w:rsidRPr="002766A9">
        <w:rPr>
          <w:noProof w:val="0"/>
        </w:rPr>
        <w:t>en</w:t>
      </w:r>
      <w:r w:rsidRPr="002766A9">
        <w:rPr>
          <w:rStyle w:val="HideTWBExt"/>
          <w:noProof w:val="0"/>
        </w:rPr>
        <w:t>&lt;/Original&gt;</w:t>
      </w:r>
    </w:p>
    <w:p w:rsidR="00E311A8" w:rsidRPr="002766A9" w:rsidRDefault="00E311A8" w:rsidP="00E311A8">
      <w:r w:rsidRPr="002766A9">
        <w:rPr>
          <w:rStyle w:val="HideTWBExt"/>
          <w:noProof w:val="0"/>
        </w:rPr>
        <w:t>&lt;/Amend&gt;</w:t>
      </w:r>
    </w:p>
    <w:p w:rsidR="00E311A8" w:rsidRPr="002766A9" w:rsidRDefault="00E311A8" w:rsidP="00E311A8">
      <w:pPr>
        <w:pStyle w:val="AMNumberTabs"/>
        <w:keepNext/>
      </w:pPr>
      <w:r w:rsidRPr="002766A9">
        <w:rPr>
          <w:rStyle w:val="HideTWBExt"/>
          <w:b w:val="0"/>
          <w:noProof w:val="0"/>
        </w:rPr>
        <w:t>&lt;Amend&gt;</w:t>
      </w:r>
      <w:r w:rsidRPr="002766A9">
        <w:t>Ændringsforslag</w:t>
      </w:r>
      <w:r w:rsidRPr="002766A9">
        <w:tab/>
      </w:r>
      <w:r w:rsidRPr="002766A9">
        <w:tab/>
      </w:r>
      <w:r w:rsidRPr="002766A9">
        <w:rPr>
          <w:rStyle w:val="HideTWBExt"/>
          <w:b w:val="0"/>
          <w:noProof w:val="0"/>
        </w:rPr>
        <w:t>&lt;NumAm&gt;</w:t>
      </w:r>
      <w:r w:rsidRPr="002766A9">
        <w:t>3</w:t>
      </w:r>
      <w:r w:rsidRPr="002766A9">
        <w:rPr>
          <w:rStyle w:val="HideTWBExt"/>
          <w:b w:val="0"/>
          <w:noProof w:val="0"/>
        </w:rPr>
        <w:t>&lt;/NumAm&gt;</w:t>
      </w:r>
    </w:p>
    <w:p w:rsidR="00E311A8" w:rsidRPr="002766A9" w:rsidRDefault="00E311A8" w:rsidP="00E311A8">
      <w:pPr>
        <w:pStyle w:val="NormalBold12b"/>
        <w:keepNext/>
      </w:pPr>
      <w:r w:rsidRPr="002766A9">
        <w:rPr>
          <w:rStyle w:val="HideTWBExt"/>
          <w:b w:val="0"/>
          <w:noProof w:val="0"/>
        </w:rPr>
        <w:t>&lt;DocAmend&gt;</w:t>
      </w:r>
      <w:r w:rsidRPr="002766A9">
        <w:t>Forslag til forordning</w:t>
      </w:r>
      <w:r w:rsidRPr="002766A9">
        <w:rPr>
          <w:rStyle w:val="HideTWBExt"/>
          <w:b w:val="0"/>
          <w:noProof w:val="0"/>
        </w:rPr>
        <w:t>&lt;/DocAmend&gt;</w:t>
      </w:r>
    </w:p>
    <w:p w:rsidR="00E311A8" w:rsidRPr="002766A9" w:rsidRDefault="00E311A8" w:rsidP="00E311A8">
      <w:pPr>
        <w:pStyle w:val="NormalBold"/>
        <w:keepNext/>
      </w:pPr>
      <w:r w:rsidRPr="002766A9">
        <w:rPr>
          <w:rStyle w:val="HideTWBExt"/>
          <w:b w:val="0"/>
          <w:noProof w:val="0"/>
        </w:rPr>
        <w:t>&lt;Article&gt;</w:t>
      </w:r>
      <w:r w:rsidRPr="002766A9">
        <w:t>Artikel 9</w:t>
      </w:r>
      <w:r w:rsidRPr="002766A9">
        <w:rPr>
          <w:rStyle w:val="HideTWBExt"/>
          <w:b w:val="0"/>
          <w:noProof w:val="0"/>
        </w:rPr>
        <w:t>&lt;/Article&gt;</w:t>
      </w:r>
    </w:p>
    <w:p w:rsidR="00E311A8" w:rsidRPr="002766A9" w:rsidRDefault="00E311A8" w:rsidP="00E311A8"/>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311A8" w:rsidRPr="002766A9" w:rsidTr="00E311A8">
        <w:trPr>
          <w:jc w:val="center"/>
        </w:trPr>
        <w:tc>
          <w:tcPr>
            <w:tcW w:w="9752" w:type="dxa"/>
            <w:gridSpan w:val="2"/>
          </w:tcPr>
          <w:p w:rsidR="00E311A8" w:rsidRPr="002766A9" w:rsidRDefault="00E311A8">
            <w:pPr>
              <w:keepNext/>
            </w:pPr>
          </w:p>
        </w:tc>
      </w:tr>
      <w:tr w:rsidR="00E311A8" w:rsidRPr="002766A9" w:rsidTr="00E311A8">
        <w:trPr>
          <w:jc w:val="center"/>
        </w:trPr>
        <w:tc>
          <w:tcPr>
            <w:tcW w:w="4876" w:type="dxa"/>
            <w:hideMark/>
          </w:tcPr>
          <w:p w:rsidR="00E311A8" w:rsidRPr="002766A9" w:rsidRDefault="00E311A8">
            <w:pPr>
              <w:pStyle w:val="ColumnHeading"/>
              <w:keepNext/>
            </w:pPr>
            <w:r w:rsidRPr="002766A9">
              <w:t>Kommissionens forslag</w:t>
            </w:r>
          </w:p>
        </w:tc>
        <w:tc>
          <w:tcPr>
            <w:tcW w:w="4876" w:type="dxa"/>
            <w:hideMark/>
          </w:tcPr>
          <w:p w:rsidR="00E311A8" w:rsidRPr="002766A9" w:rsidRDefault="00E311A8">
            <w:pPr>
              <w:pStyle w:val="ColumnHeading"/>
              <w:keepNext/>
            </w:pPr>
            <w:r w:rsidRPr="002766A9">
              <w:t>Ændringsforslag</w:t>
            </w:r>
          </w:p>
        </w:tc>
      </w:tr>
      <w:tr w:rsidR="00E311A8" w:rsidRPr="002766A9" w:rsidTr="00E311A8">
        <w:trPr>
          <w:jc w:val="center"/>
        </w:trPr>
        <w:tc>
          <w:tcPr>
            <w:tcW w:w="4876" w:type="dxa"/>
            <w:hideMark/>
          </w:tcPr>
          <w:p w:rsidR="00E311A8" w:rsidRPr="002766A9" w:rsidRDefault="00E311A8">
            <w:pPr>
              <w:pStyle w:val="Normal6"/>
              <w:jc w:val="center"/>
              <w:rPr>
                <w:b/>
                <w:bCs/>
                <w:i/>
                <w:iCs/>
              </w:rPr>
            </w:pPr>
            <w:r w:rsidRPr="002766A9">
              <w:rPr>
                <w:b/>
                <w:i/>
              </w:rPr>
              <w:t>Artikel 9</w:t>
            </w:r>
          </w:p>
        </w:tc>
        <w:tc>
          <w:tcPr>
            <w:tcW w:w="4876" w:type="dxa"/>
            <w:hideMark/>
          </w:tcPr>
          <w:p w:rsidR="00E311A8" w:rsidRPr="002766A9" w:rsidRDefault="00E311A8">
            <w:pPr>
              <w:pStyle w:val="Normal6"/>
              <w:rPr>
                <w:b/>
                <w:i/>
              </w:rPr>
            </w:pPr>
            <w:r w:rsidRPr="002766A9">
              <w:rPr>
                <w:b/>
                <w:i/>
              </w:rPr>
              <w:t>udgår</w:t>
            </w:r>
          </w:p>
        </w:tc>
      </w:tr>
      <w:tr w:rsidR="00E311A8" w:rsidRPr="002766A9" w:rsidTr="00E311A8">
        <w:trPr>
          <w:jc w:val="center"/>
        </w:trPr>
        <w:tc>
          <w:tcPr>
            <w:tcW w:w="4876" w:type="dxa"/>
            <w:hideMark/>
          </w:tcPr>
          <w:p w:rsidR="00E311A8" w:rsidRPr="002766A9" w:rsidRDefault="00E311A8">
            <w:pPr>
              <w:pStyle w:val="Normal6"/>
              <w:jc w:val="center"/>
              <w:rPr>
                <w:b/>
                <w:bCs/>
                <w:i/>
                <w:iCs/>
              </w:rPr>
            </w:pPr>
            <w:r w:rsidRPr="002766A9">
              <w:rPr>
                <w:b/>
                <w:i/>
              </w:rPr>
              <w:t>Tilsyn</w:t>
            </w:r>
          </w:p>
        </w:tc>
        <w:tc>
          <w:tcPr>
            <w:tcW w:w="4876" w:type="dxa"/>
          </w:tcPr>
          <w:p w:rsidR="00E311A8" w:rsidRPr="002766A9" w:rsidRDefault="00E311A8">
            <w:pPr>
              <w:pStyle w:val="Normal6"/>
              <w:rPr>
                <w:b/>
                <w:i/>
              </w:rPr>
            </w:pPr>
          </w:p>
        </w:tc>
      </w:tr>
      <w:tr w:rsidR="00E311A8" w:rsidRPr="002766A9" w:rsidTr="00E311A8">
        <w:trPr>
          <w:jc w:val="center"/>
        </w:trPr>
        <w:tc>
          <w:tcPr>
            <w:tcW w:w="4876" w:type="dxa"/>
            <w:hideMark/>
          </w:tcPr>
          <w:p w:rsidR="00E311A8" w:rsidRPr="002766A9" w:rsidRDefault="00E311A8">
            <w:pPr>
              <w:pStyle w:val="Normal6"/>
              <w:rPr>
                <w:b/>
                <w:bCs/>
                <w:i/>
                <w:iCs/>
              </w:rPr>
            </w:pPr>
            <w:r w:rsidRPr="002766A9">
              <w:rPr>
                <w:b/>
                <w:i/>
              </w:rPr>
              <w:t>Med henblik på gennemførelsen af artikel 34 i aftalen oprettes der et EU-tilsyn med import af de varer, der er nævnt i bilag V i protokol 3 til aftalen. Proceduren i artikel 308d i Kommissionens forordning (EØF) nr. 2454/93 7 finder anvendelse.</w:t>
            </w:r>
          </w:p>
        </w:tc>
        <w:tc>
          <w:tcPr>
            <w:tcW w:w="4876" w:type="dxa"/>
          </w:tcPr>
          <w:p w:rsidR="00E311A8" w:rsidRPr="002766A9" w:rsidRDefault="00E311A8">
            <w:pPr>
              <w:pStyle w:val="Normal6"/>
              <w:rPr>
                <w:b/>
                <w:bCs/>
                <w:i/>
                <w:iCs/>
                <w:szCs w:val="24"/>
              </w:rPr>
            </w:pPr>
          </w:p>
        </w:tc>
      </w:tr>
      <w:tr w:rsidR="00E311A8" w:rsidRPr="002766A9" w:rsidTr="00E311A8">
        <w:trPr>
          <w:jc w:val="center"/>
        </w:trPr>
        <w:tc>
          <w:tcPr>
            <w:tcW w:w="4876" w:type="dxa"/>
            <w:hideMark/>
          </w:tcPr>
          <w:p w:rsidR="00E311A8" w:rsidRPr="002766A9" w:rsidRDefault="00E311A8">
            <w:pPr>
              <w:pStyle w:val="Normal6"/>
              <w:rPr>
                <w:b/>
                <w:bCs/>
                <w:i/>
                <w:iCs/>
              </w:rPr>
            </w:pPr>
            <w:r w:rsidRPr="002766A9">
              <w:rPr>
                <w:b/>
                <w:i/>
              </w:rPr>
              <w:t>____________________</w:t>
            </w:r>
          </w:p>
        </w:tc>
        <w:tc>
          <w:tcPr>
            <w:tcW w:w="4876" w:type="dxa"/>
          </w:tcPr>
          <w:p w:rsidR="00E311A8" w:rsidRPr="002766A9" w:rsidRDefault="00E311A8">
            <w:pPr>
              <w:pStyle w:val="Normal6"/>
              <w:rPr>
                <w:b/>
                <w:bCs/>
                <w:i/>
                <w:iCs/>
              </w:rPr>
            </w:pPr>
          </w:p>
        </w:tc>
      </w:tr>
      <w:tr w:rsidR="00E311A8" w:rsidRPr="002766A9" w:rsidTr="00E311A8">
        <w:trPr>
          <w:jc w:val="center"/>
        </w:trPr>
        <w:tc>
          <w:tcPr>
            <w:tcW w:w="4876" w:type="dxa"/>
            <w:hideMark/>
          </w:tcPr>
          <w:p w:rsidR="00E311A8" w:rsidRPr="002766A9" w:rsidRDefault="00E311A8">
            <w:pPr>
              <w:pStyle w:val="Normal6"/>
              <w:rPr>
                <w:b/>
                <w:bCs/>
                <w:i/>
                <w:iCs/>
              </w:rPr>
            </w:pPr>
            <w:r w:rsidRPr="002766A9">
              <w:rPr>
                <w:vertAlign w:val="superscript"/>
              </w:rPr>
              <w:t>7</w:t>
            </w:r>
            <w:r w:rsidRPr="002766A9">
              <w:t>Kommissionens forordning (EØF) nr. 2454/93 af 2. juli 1993 om visse gennemførelsesbestemmelser til Rådets forordning (EØF) nr. 2913/92 om indførelse af en EF-toldkodeks (EFT L 253 af 11.10.1993, s. 1).</w:t>
            </w:r>
          </w:p>
        </w:tc>
        <w:tc>
          <w:tcPr>
            <w:tcW w:w="4876" w:type="dxa"/>
          </w:tcPr>
          <w:p w:rsidR="00E311A8" w:rsidRPr="002766A9" w:rsidRDefault="00E311A8">
            <w:pPr>
              <w:pStyle w:val="Normal6"/>
              <w:rPr>
                <w:b/>
                <w:bCs/>
                <w:i/>
                <w:iCs/>
              </w:rPr>
            </w:pPr>
          </w:p>
        </w:tc>
      </w:tr>
    </w:tbl>
    <w:p w:rsidR="00E311A8" w:rsidRPr="005F4914" w:rsidRDefault="00E311A8" w:rsidP="00457DD3">
      <w:pPr>
        <w:pStyle w:val="Olang"/>
        <w:rPr>
          <w:noProof w:val="0"/>
          <w:lang w:val="en-GB"/>
        </w:rPr>
      </w:pPr>
      <w:r w:rsidRPr="005F4914">
        <w:rPr>
          <w:noProof w:val="0"/>
          <w:lang w:val="en-GB"/>
        </w:rPr>
        <w:t xml:space="preserve">Or. </w:t>
      </w:r>
      <w:r w:rsidRPr="005F4914">
        <w:rPr>
          <w:rStyle w:val="HideTWBExt"/>
          <w:noProof w:val="0"/>
          <w:lang w:val="en-GB"/>
        </w:rPr>
        <w:t>&lt;Original&gt;</w:t>
      </w:r>
      <w:r w:rsidRPr="005F4914">
        <w:rPr>
          <w:rStyle w:val="HideTWBInt"/>
          <w:noProof w:val="0"/>
          <w:lang w:val="en-GB"/>
        </w:rPr>
        <w:t>{EN}</w:t>
      </w:r>
      <w:r w:rsidRPr="005F4914">
        <w:rPr>
          <w:noProof w:val="0"/>
          <w:lang w:val="en-GB"/>
        </w:rPr>
        <w:t>en</w:t>
      </w:r>
      <w:r w:rsidRPr="005F4914">
        <w:rPr>
          <w:rStyle w:val="HideTWBExt"/>
          <w:noProof w:val="0"/>
          <w:lang w:val="en-GB"/>
        </w:rPr>
        <w:t>&lt;/Original&gt;</w:t>
      </w:r>
    </w:p>
    <w:p w:rsidR="00E311A8" w:rsidRPr="005F4914" w:rsidRDefault="00E311A8" w:rsidP="00E311A8">
      <w:pPr>
        <w:rPr>
          <w:lang w:val="en-GB"/>
        </w:rPr>
      </w:pPr>
      <w:r w:rsidRPr="005F4914">
        <w:rPr>
          <w:rStyle w:val="HideTWBExt"/>
          <w:noProof w:val="0"/>
          <w:lang w:val="en-GB"/>
        </w:rPr>
        <w:lastRenderedPageBreak/>
        <w:t>&lt;/Amend&gt;</w:t>
      </w:r>
    </w:p>
    <w:p w:rsidR="00E311A8" w:rsidRPr="002766A9" w:rsidRDefault="00E311A8" w:rsidP="00E311A8">
      <w:r w:rsidRPr="002766A9">
        <w:rPr>
          <w:rStyle w:val="HideTWBExt"/>
          <w:noProof w:val="0"/>
        </w:rPr>
        <w:t>&lt;/RepeatBlock-Amend&gt;</w:t>
      </w:r>
    </w:p>
    <w:p w:rsidR="00E311A8" w:rsidRPr="002766A9" w:rsidRDefault="00E311A8" w:rsidP="00E311A8"/>
    <w:p w:rsidR="002669B6" w:rsidRPr="002766A9" w:rsidRDefault="002669B6" w:rsidP="002669B6"/>
    <w:p w:rsidR="002669B6" w:rsidRPr="002766A9" w:rsidRDefault="002669B6" w:rsidP="002669B6"/>
    <w:sectPr w:rsidR="002669B6" w:rsidRPr="002766A9" w:rsidSect="002766A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B4" w:rsidRPr="002766A9" w:rsidRDefault="00FF5AB4">
      <w:r w:rsidRPr="002766A9">
        <w:separator/>
      </w:r>
    </w:p>
  </w:endnote>
  <w:endnote w:type="continuationSeparator" w:id="0">
    <w:p w:rsidR="00FF5AB4" w:rsidRPr="002766A9" w:rsidRDefault="00FF5AB4">
      <w:r w:rsidRPr="002766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A9" w:rsidRPr="005F4914" w:rsidRDefault="002766A9" w:rsidP="002766A9">
    <w:pPr>
      <w:pStyle w:val="Footer"/>
      <w:rPr>
        <w:lang w:val="fr-FR"/>
      </w:rPr>
    </w:pPr>
    <w:r w:rsidRPr="005F4914">
      <w:rPr>
        <w:lang w:val="fr-FR"/>
      </w:rPr>
      <w:t>PE</w:t>
    </w:r>
    <w:r w:rsidRPr="005F4914">
      <w:rPr>
        <w:rStyle w:val="HideTWBExt"/>
        <w:noProof w:val="0"/>
        <w:lang w:val="fr-FR"/>
      </w:rPr>
      <w:t>&lt;NoPE&gt;</w:t>
    </w:r>
    <w:r w:rsidRPr="005F4914">
      <w:rPr>
        <w:lang w:val="fr-FR"/>
      </w:rPr>
      <w:t>592.155</w:t>
    </w:r>
    <w:r w:rsidRPr="005F4914">
      <w:rPr>
        <w:rStyle w:val="HideTWBExt"/>
        <w:noProof w:val="0"/>
        <w:lang w:val="fr-FR"/>
      </w:rPr>
      <w:t>&lt;/NoPE&gt;&lt;Version&gt;</w:t>
    </w:r>
    <w:r w:rsidRPr="005F4914">
      <w:rPr>
        <w:lang w:val="fr-FR"/>
      </w:rPr>
      <w:t>v01-00</w:t>
    </w:r>
    <w:r w:rsidRPr="005F4914">
      <w:rPr>
        <w:rStyle w:val="HideTWBExt"/>
        <w:noProof w:val="0"/>
        <w:lang w:val="fr-FR"/>
      </w:rPr>
      <w:t>&lt;/Version&gt;</w:t>
    </w:r>
    <w:r w:rsidRPr="005F4914">
      <w:rPr>
        <w:lang w:val="fr-FR"/>
      </w:rPr>
      <w:tab/>
    </w:r>
    <w:r w:rsidRPr="002766A9">
      <w:fldChar w:fldCharType="begin"/>
    </w:r>
    <w:r w:rsidRPr="005F4914">
      <w:rPr>
        <w:lang w:val="fr-FR"/>
      </w:rPr>
      <w:instrText xml:space="preserve"> PAGE  \* MERGEFORMAT </w:instrText>
    </w:r>
    <w:r w:rsidRPr="002766A9">
      <w:fldChar w:fldCharType="separate"/>
    </w:r>
    <w:r w:rsidR="005F4914">
      <w:rPr>
        <w:noProof/>
        <w:lang w:val="fr-FR"/>
      </w:rPr>
      <w:t>2</w:t>
    </w:r>
    <w:r w:rsidRPr="002766A9">
      <w:fldChar w:fldCharType="end"/>
    </w:r>
    <w:r w:rsidRPr="005F4914">
      <w:rPr>
        <w:lang w:val="fr-FR"/>
      </w:rPr>
      <w:t>/</w:t>
    </w:r>
    <w:r w:rsidR="005F4914">
      <w:fldChar w:fldCharType="begin"/>
    </w:r>
    <w:r w:rsidR="005F4914" w:rsidRPr="005F4914">
      <w:rPr>
        <w:lang w:val="fr-FR"/>
      </w:rPr>
      <w:instrText xml:space="preserve"> NUMPAGES  \* MERGEFORMAT </w:instrText>
    </w:r>
    <w:r w:rsidR="005F4914">
      <w:fldChar w:fldCharType="separate"/>
    </w:r>
    <w:r w:rsidR="005F4914">
      <w:rPr>
        <w:noProof/>
        <w:lang w:val="fr-FR"/>
      </w:rPr>
      <w:t>8</w:t>
    </w:r>
    <w:r w:rsidR="005F4914">
      <w:fldChar w:fldCharType="end"/>
    </w:r>
    <w:r w:rsidRPr="005F4914">
      <w:rPr>
        <w:lang w:val="fr-FR"/>
      </w:rPr>
      <w:tab/>
    </w:r>
    <w:r w:rsidRPr="005F4914">
      <w:rPr>
        <w:rStyle w:val="HideTWBExt"/>
        <w:noProof w:val="0"/>
        <w:lang w:val="fr-FR"/>
      </w:rPr>
      <w:t>&lt;PathFdR&gt;</w:t>
    </w:r>
    <w:r w:rsidRPr="005F4914">
      <w:rPr>
        <w:lang w:val="fr-FR"/>
      </w:rPr>
      <w:t>PR\1106568DA.docx</w:t>
    </w:r>
    <w:r w:rsidRPr="005F4914">
      <w:rPr>
        <w:rStyle w:val="HideTWBExt"/>
        <w:noProof w:val="0"/>
        <w:lang w:val="fr-FR"/>
      </w:rPr>
      <w:t>&lt;/PathFdR&gt;</w:t>
    </w:r>
  </w:p>
  <w:p w:rsidR="00FB52FE" w:rsidRPr="002766A9" w:rsidRDefault="002766A9" w:rsidP="002766A9">
    <w:pPr>
      <w:pStyle w:val="Footer2"/>
    </w:pPr>
    <w:r w:rsidRPr="002766A9">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A9" w:rsidRPr="002766A9" w:rsidRDefault="002766A9" w:rsidP="002766A9">
    <w:pPr>
      <w:pStyle w:val="Footer"/>
    </w:pPr>
    <w:r w:rsidRPr="002766A9">
      <w:rPr>
        <w:rStyle w:val="HideTWBExt"/>
        <w:noProof w:val="0"/>
      </w:rPr>
      <w:t>&lt;PathFdR&gt;</w:t>
    </w:r>
    <w:r w:rsidRPr="002766A9">
      <w:t>PR\1106568DA.docx</w:t>
    </w:r>
    <w:r w:rsidRPr="002766A9">
      <w:rPr>
        <w:rStyle w:val="HideTWBExt"/>
        <w:noProof w:val="0"/>
      </w:rPr>
      <w:t>&lt;/PathFdR&gt;</w:t>
    </w:r>
    <w:r w:rsidRPr="002766A9">
      <w:tab/>
    </w:r>
    <w:r w:rsidRPr="002766A9">
      <w:fldChar w:fldCharType="begin"/>
    </w:r>
    <w:r w:rsidRPr="002766A9">
      <w:instrText xml:space="preserve"> PAGE  \* MERGEFORMAT </w:instrText>
    </w:r>
    <w:r w:rsidRPr="002766A9">
      <w:fldChar w:fldCharType="separate"/>
    </w:r>
    <w:r w:rsidR="005F4914">
      <w:rPr>
        <w:noProof/>
      </w:rPr>
      <w:t>7</w:t>
    </w:r>
    <w:r w:rsidRPr="002766A9">
      <w:fldChar w:fldCharType="end"/>
    </w:r>
    <w:r w:rsidRPr="002766A9">
      <w:t>/</w:t>
    </w:r>
    <w:r w:rsidR="005F4914">
      <w:fldChar w:fldCharType="begin"/>
    </w:r>
    <w:r w:rsidR="005F4914">
      <w:instrText xml:space="preserve"> NUMPAGES  \* MERGEFORMAT </w:instrText>
    </w:r>
    <w:r w:rsidR="005F4914">
      <w:fldChar w:fldCharType="separate"/>
    </w:r>
    <w:r w:rsidR="005F4914">
      <w:rPr>
        <w:noProof/>
      </w:rPr>
      <w:t>8</w:t>
    </w:r>
    <w:r w:rsidR="005F4914">
      <w:fldChar w:fldCharType="end"/>
    </w:r>
    <w:r w:rsidRPr="002766A9">
      <w:tab/>
      <w:t>PE</w:t>
    </w:r>
    <w:r w:rsidRPr="002766A9">
      <w:rPr>
        <w:rStyle w:val="HideTWBExt"/>
        <w:noProof w:val="0"/>
      </w:rPr>
      <w:t>&lt;NoPE&gt;</w:t>
    </w:r>
    <w:r w:rsidRPr="002766A9">
      <w:t>592.155</w:t>
    </w:r>
    <w:r w:rsidRPr="002766A9">
      <w:rPr>
        <w:rStyle w:val="HideTWBExt"/>
        <w:noProof w:val="0"/>
      </w:rPr>
      <w:t>&lt;/NoPE&gt;&lt;Version&gt;</w:t>
    </w:r>
    <w:r w:rsidRPr="002766A9">
      <w:t>v01-00</w:t>
    </w:r>
    <w:r w:rsidRPr="002766A9">
      <w:rPr>
        <w:rStyle w:val="HideTWBExt"/>
        <w:noProof w:val="0"/>
      </w:rPr>
      <w:t>&lt;/Version&gt;</w:t>
    </w:r>
  </w:p>
  <w:p w:rsidR="00FB52FE" w:rsidRPr="002766A9" w:rsidRDefault="002766A9" w:rsidP="002766A9">
    <w:pPr>
      <w:pStyle w:val="Footer2"/>
    </w:pPr>
    <w:r w:rsidRPr="002766A9">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A9" w:rsidRPr="002766A9" w:rsidRDefault="002766A9" w:rsidP="002766A9">
    <w:pPr>
      <w:pStyle w:val="Footer"/>
    </w:pPr>
    <w:r w:rsidRPr="002766A9">
      <w:rPr>
        <w:rStyle w:val="HideTWBExt"/>
        <w:noProof w:val="0"/>
      </w:rPr>
      <w:t>&lt;PathFdR&gt;</w:t>
    </w:r>
    <w:r w:rsidRPr="002766A9">
      <w:t>PR\1106568DA.docx</w:t>
    </w:r>
    <w:r w:rsidRPr="002766A9">
      <w:rPr>
        <w:rStyle w:val="HideTWBExt"/>
        <w:noProof w:val="0"/>
      </w:rPr>
      <w:t>&lt;/PathFdR&gt;</w:t>
    </w:r>
    <w:r w:rsidRPr="002766A9">
      <w:tab/>
    </w:r>
    <w:r w:rsidRPr="002766A9">
      <w:tab/>
      <w:t>PE</w:t>
    </w:r>
    <w:r w:rsidRPr="002766A9">
      <w:rPr>
        <w:rStyle w:val="HideTWBExt"/>
        <w:noProof w:val="0"/>
      </w:rPr>
      <w:t>&lt;NoPE&gt;</w:t>
    </w:r>
    <w:r w:rsidRPr="002766A9">
      <w:t>592.155</w:t>
    </w:r>
    <w:r w:rsidRPr="002766A9">
      <w:rPr>
        <w:rStyle w:val="HideTWBExt"/>
        <w:noProof w:val="0"/>
      </w:rPr>
      <w:t>&lt;/NoPE&gt;&lt;Version&gt;</w:t>
    </w:r>
    <w:r w:rsidRPr="002766A9">
      <w:t>v01-00</w:t>
    </w:r>
    <w:r w:rsidRPr="002766A9">
      <w:rPr>
        <w:rStyle w:val="HideTWBExt"/>
        <w:noProof w:val="0"/>
      </w:rPr>
      <w:t>&lt;/Version&gt;</w:t>
    </w:r>
  </w:p>
  <w:p w:rsidR="00FB52FE" w:rsidRPr="002766A9" w:rsidRDefault="002766A9" w:rsidP="002766A9">
    <w:pPr>
      <w:pStyle w:val="Footer2"/>
      <w:tabs>
        <w:tab w:val="center" w:pos="4535"/>
      </w:tabs>
    </w:pPr>
    <w:r w:rsidRPr="002766A9">
      <w:t>DA</w:t>
    </w:r>
    <w:r w:rsidRPr="002766A9">
      <w:tab/>
    </w:r>
    <w:r w:rsidRPr="002766A9">
      <w:rPr>
        <w:b w:val="0"/>
        <w:i/>
        <w:color w:val="C0C0C0"/>
        <w:sz w:val="22"/>
      </w:rPr>
      <w:t>Forenet i mangfoldighed</w:t>
    </w:r>
    <w:r w:rsidRPr="002766A9">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B4" w:rsidRPr="002766A9" w:rsidRDefault="00FF5AB4">
      <w:r w:rsidRPr="002766A9">
        <w:separator/>
      </w:r>
    </w:p>
  </w:footnote>
  <w:footnote w:type="continuationSeparator" w:id="0">
    <w:p w:rsidR="00FF5AB4" w:rsidRPr="002766A9" w:rsidRDefault="00FF5AB4">
      <w:r w:rsidRPr="002766A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14" w:rsidRDefault="005F4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14" w:rsidRDefault="005F4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14" w:rsidRDefault="005F4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NTA"/>
    <w:docVar w:name="CopyToNetwork" w:val="-1"/>
    <w:docVar w:name="DOCMNU" w:val=" 1"/>
    <w:docVar w:name="EPSTATMNU" w:val=" 5"/>
    <w:docVar w:name="INSTITUTIONSMNU" w:val=" 2"/>
    <w:docVar w:name="JURI1MNU" w:val=" 2"/>
    <w:docVar w:name="JURI2MNU" w:val=" 2"/>
    <w:docVar w:name="LastEditedSection" w:val=" 1"/>
    <w:docVar w:name="OTHERSTATMNU" w:val=" 4"/>
    <w:docVar w:name="PARLIAMENTSMNU" w:val=" 2"/>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06"/>
    <w:docVar w:name="TXTAUTHOR" w:val="Adam Szejnfeld"/>
    <w:docVar w:name="TXTLANGUE" w:val="DA"/>
    <w:docVar w:name="TXTLANGUEMIN" w:val="da"/>
    <w:docVar w:name="TXTNRC" w:val="0327/2016"/>
    <w:docVar w:name="TXTNRCOD" w:val="2016/0218"/>
    <w:docVar w:name="TXTNRCOM" w:val="(2016)0460"/>
    <w:docVar w:name="TXTNRPE" w:val="592.155"/>
    <w:docVar w:name="TXTPEorAP" w:val="PE"/>
    <w:docVar w:name="TXTROUTE" w:val="PR\1106568DA.docx"/>
    <w:docVar w:name="TXTTITLE" w:val="visse procedurer for anvendelsen af stabiliserings- og associeringsaftalen mellem _x000d_Den Europæiske Union og Det Europæiske Atomenergifællesskab på den ene side og Kosovo  på den anden side"/>
    <w:docVar w:name="TXTVERSION" w:val="01-00"/>
  </w:docVars>
  <w:rsids>
    <w:rsidRoot w:val="00FF5AB4"/>
    <w:rsid w:val="00011AAB"/>
    <w:rsid w:val="00012351"/>
    <w:rsid w:val="00084E89"/>
    <w:rsid w:val="000F1096"/>
    <w:rsid w:val="00142215"/>
    <w:rsid w:val="001767E2"/>
    <w:rsid w:val="00187008"/>
    <w:rsid w:val="001C5592"/>
    <w:rsid w:val="001C5B44"/>
    <w:rsid w:val="001C6FFC"/>
    <w:rsid w:val="00212B84"/>
    <w:rsid w:val="002346B0"/>
    <w:rsid w:val="002667C3"/>
    <w:rsid w:val="002669B6"/>
    <w:rsid w:val="002766A9"/>
    <w:rsid w:val="00290BED"/>
    <w:rsid w:val="002F40BB"/>
    <w:rsid w:val="002F4B02"/>
    <w:rsid w:val="00323EF8"/>
    <w:rsid w:val="00370AC3"/>
    <w:rsid w:val="003C2068"/>
    <w:rsid w:val="003C37CF"/>
    <w:rsid w:val="004100B1"/>
    <w:rsid w:val="00457DD3"/>
    <w:rsid w:val="00461601"/>
    <w:rsid w:val="004C0915"/>
    <w:rsid w:val="004D424E"/>
    <w:rsid w:val="004E42C8"/>
    <w:rsid w:val="0051271F"/>
    <w:rsid w:val="00521F46"/>
    <w:rsid w:val="00545374"/>
    <w:rsid w:val="00551123"/>
    <w:rsid w:val="00570A6A"/>
    <w:rsid w:val="00586E50"/>
    <w:rsid w:val="005D1A99"/>
    <w:rsid w:val="005D7609"/>
    <w:rsid w:val="005D7EE8"/>
    <w:rsid w:val="005F4914"/>
    <w:rsid w:val="006F7907"/>
    <w:rsid w:val="00743189"/>
    <w:rsid w:val="007932B3"/>
    <w:rsid w:val="00793EA9"/>
    <w:rsid w:val="007D6F68"/>
    <w:rsid w:val="008633CC"/>
    <w:rsid w:val="00865190"/>
    <w:rsid w:val="008719B9"/>
    <w:rsid w:val="00894ECE"/>
    <w:rsid w:val="00896BB4"/>
    <w:rsid w:val="008A7FB8"/>
    <w:rsid w:val="008F19C6"/>
    <w:rsid w:val="009022B8"/>
    <w:rsid w:val="00917CC4"/>
    <w:rsid w:val="009763DA"/>
    <w:rsid w:val="009B4B93"/>
    <w:rsid w:val="009F24BE"/>
    <w:rsid w:val="009F6C2F"/>
    <w:rsid w:val="00A00AC0"/>
    <w:rsid w:val="00A22533"/>
    <w:rsid w:val="00A26F46"/>
    <w:rsid w:val="00A34FD3"/>
    <w:rsid w:val="00A36929"/>
    <w:rsid w:val="00AA35B0"/>
    <w:rsid w:val="00AC6320"/>
    <w:rsid w:val="00AD18C8"/>
    <w:rsid w:val="00AD7FA6"/>
    <w:rsid w:val="00AE4643"/>
    <w:rsid w:val="00AF0416"/>
    <w:rsid w:val="00B10CB4"/>
    <w:rsid w:val="00B23B72"/>
    <w:rsid w:val="00B42702"/>
    <w:rsid w:val="00B85407"/>
    <w:rsid w:val="00B95702"/>
    <w:rsid w:val="00BA42BA"/>
    <w:rsid w:val="00BC6489"/>
    <w:rsid w:val="00BD480C"/>
    <w:rsid w:val="00C73602"/>
    <w:rsid w:val="00CF60C8"/>
    <w:rsid w:val="00D32924"/>
    <w:rsid w:val="00D503A3"/>
    <w:rsid w:val="00DA6ED0"/>
    <w:rsid w:val="00DC5011"/>
    <w:rsid w:val="00E171B6"/>
    <w:rsid w:val="00E311A8"/>
    <w:rsid w:val="00EB1753"/>
    <w:rsid w:val="00EB6CFF"/>
    <w:rsid w:val="00F32F29"/>
    <w:rsid w:val="00F904AE"/>
    <w:rsid w:val="00F934F8"/>
    <w:rsid w:val="00FB52FE"/>
    <w:rsid w:val="00FC0A34"/>
    <w:rsid w:val="00FD1DEF"/>
    <w:rsid w:val="00FE3B3F"/>
    <w:rsid w:val="00FF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0405530-0141-4AE1-81D6-48D37B3D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a-DK" w:eastAsia="da-DK" w:bidi="da-DK"/>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a-DK" w:eastAsia="da-DK" w:bidi="da-DK"/>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signe">
    <w:name w:val="Légende signe"/>
    <w:basedOn w:val="Normal"/>
    <w:rsid w:val="00E311A8"/>
    <w:pPr>
      <w:tabs>
        <w:tab w:val="right" w:pos="454"/>
        <w:tab w:val="left" w:pos="737"/>
      </w:tabs>
      <w:ind w:left="737" w:hanging="737"/>
    </w:pPr>
    <w:rPr>
      <w:snapToGrid w:val="0"/>
      <w:sz w:val="18"/>
    </w:rPr>
  </w:style>
  <w:style w:type="paragraph" w:customStyle="1" w:styleId="Lgendetitre">
    <w:name w:val="Légende titre"/>
    <w:basedOn w:val="Normal"/>
    <w:rsid w:val="00E311A8"/>
    <w:pPr>
      <w:spacing w:before="240" w:after="240"/>
    </w:pPr>
    <w:rPr>
      <w:b/>
      <w:i/>
      <w:snapToGrid w:val="0"/>
    </w:rPr>
  </w:style>
  <w:style w:type="paragraph" w:customStyle="1" w:styleId="Lgendestandard">
    <w:name w:val="Légende standard"/>
    <w:basedOn w:val="Lgendesigne"/>
    <w:rsid w:val="00E311A8"/>
    <w:pPr>
      <w:ind w:left="0" w:firstLine="0"/>
    </w:pPr>
  </w:style>
  <w:style w:type="character" w:styleId="FootnoteReference">
    <w:name w:val="footnote reference"/>
    <w:uiPriority w:val="99"/>
    <w:unhideWhenUsed/>
    <w:rsid w:val="00E311A8"/>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95AB-50DA-4B02-9C06-9BB8E507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DA15C24F.dotm</Template>
  <TotalTime>0</TotalTime>
  <Pages>8</Pages>
  <Words>945</Words>
  <Characters>6304</Characters>
  <Application>Microsoft Office Word</Application>
  <DocSecurity>0</DocSecurity>
  <Lines>252</Lines>
  <Paragraphs>97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JENSEN Stine Kyung</dc:creator>
  <cp:keywords/>
  <dc:description/>
  <cp:lastModifiedBy>McLELLAN Fiona</cp:lastModifiedBy>
  <cp:revision>2</cp:revision>
  <cp:lastPrinted>2004-11-04T08:41:00Z</cp:lastPrinted>
  <dcterms:created xsi:type="dcterms:W3CDTF">2016-10-26T14:02:00Z</dcterms:created>
  <dcterms:modified xsi:type="dcterms:W3CDTF">2016-10-26T14:02:00Z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1106568</vt:lpwstr>
  </property>
  <property fmtid="{D5CDD505-2E9C-101B-9397-08002B2CF9AE}" pid="5" name="&lt;Type&gt;">
    <vt:lpwstr>PR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\\eiciLUXpr1\pdocep$\DocEP\TRANSFIL\DA\PR_COD_1amCom.DA(30/08/2016 11:43:39)</vt:lpwstr>
  </property>
  <property fmtid="{D5CDD505-2E9C-101B-9397-08002B2CF9AE}" pid="8" name="&lt;Model&gt;">
    <vt:lpwstr>PR_COD_1amCom</vt:lpwstr>
  </property>
  <property fmtid="{D5CDD505-2E9C-101B-9397-08002B2CF9AE}" pid="9" name="FooterPath">
    <vt:lpwstr>PR\1106568DA.docx</vt:lpwstr>
  </property>
  <property fmtid="{D5CDD505-2E9C-101B-9397-08002B2CF9AE}" pid="10" name="SubscribeElise">
    <vt:lpwstr/>
  </property>
  <property fmtid="{D5CDD505-2E9C-101B-9397-08002B2CF9AE}" pid="11" name="PE Number">
    <vt:lpwstr>592.155</vt:lpwstr>
  </property>
  <property fmtid="{D5CDD505-2E9C-101B-9397-08002B2CF9AE}" pid="12" name="SDLStudio">
    <vt:lpwstr/>
  </property>
  <property fmtid="{D5CDD505-2E9C-101B-9397-08002B2CF9AE}" pid="13" name="&lt;Extension&gt;">
    <vt:lpwstr>DA</vt:lpwstr>
  </property>
  <property fmtid="{D5CDD505-2E9C-101B-9397-08002B2CF9AE}" pid="14" name="Bookout">
    <vt:lpwstr>OK - 2016/10/26 16:02</vt:lpwstr>
  </property>
</Properties>
</file>