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F7F3F" w:rsidRPr="00E3557F" w:rsidTr="00C85D0F">
        <w:trPr>
          <w:trHeight w:hRule="exact" w:val="1418"/>
        </w:trPr>
        <w:tc>
          <w:tcPr>
            <w:tcW w:w="6804" w:type="dxa"/>
            <w:shd w:val="clear" w:color="auto" w:fill="auto"/>
            <w:vAlign w:val="center"/>
          </w:tcPr>
          <w:p w:rsidR="00310DF8" w:rsidRPr="00E3557F" w:rsidRDefault="00E3557F" w:rsidP="00C85D0F">
            <w:pPr>
              <w:pStyle w:val="EPName"/>
            </w:pPr>
            <w:r w:rsidRPr="00E3557F">
              <w:t>Parlamento Europeo</w:t>
            </w:r>
          </w:p>
          <w:p w:rsidR="00310DF8" w:rsidRPr="00E3557F" w:rsidRDefault="00E3557F" w:rsidP="00C968E8">
            <w:pPr>
              <w:pStyle w:val="EPTerm"/>
            </w:pPr>
            <w:r w:rsidRPr="00E3557F">
              <w:t>2019-2024</w:t>
            </w:r>
          </w:p>
        </w:tc>
        <w:tc>
          <w:tcPr>
            <w:tcW w:w="2268" w:type="dxa"/>
            <w:shd w:val="clear" w:color="auto" w:fill="auto"/>
          </w:tcPr>
          <w:p w:rsidR="00310DF8" w:rsidRPr="00E3557F" w:rsidRDefault="00E3557F" w:rsidP="00C85D0F">
            <w:pPr>
              <w:pStyle w:val="EPLogo"/>
            </w:pPr>
            <w:r w:rsidRPr="00E3557F">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48280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00C7D" w:rsidRPr="00E3557F" w:rsidRDefault="00000C7D" w:rsidP="00000C7D">
      <w:pPr>
        <w:pStyle w:val="LineTop"/>
      </w:pPr>
    </w:p>
    <w:p w:rsidR="00000C7D" w:rsidRPr="00E3557F" w:rsidRDefault="00E3557F" w:rsidP="00000C7D">
      <w:pPr>
        <w:pStyle w:val="EPBody"/>
      </w:pPr>
      <w:r w:rsidRPr="00E3557F">
        <w:rPr>
          <w:rStyle w:val="HideTWBExt"/>
          <w:i w:val="0"/>
          <w:noProof w:val="0"/>
          <w:szCs w:val="20"/>
        </w:rPr>
        <w:t>&lt;</w:t>
      </w:r>
      <w:r w:rsidRPr="00E3557F">
        <w:rPr>
          <w:rStyle w:val="HideTWBExt"/>
          <w:i w:val="0"/>
          <w:noProof w:val="0"/>
          <w:szCs w:val="20"/>
        </w:rPr>
        <w:t>Commission</w:t>
      </w:r>
      <w:r w:rsidRPr="00E3557F">
        <w:rPr>
          <w:rStyle w:val="HideTWBExt"/>
          <w:i w:val="0"/>
          <w:noProof w:val="0"/>
          <w:szCs w:val="20"/>
        </w:rPr>
        <w:t>&gt;</w:t>
      </w:r>
      <w:r w:rsidRPr="00E3557F">
        <w:rPr>
          <w:rStyle w:val="HideTWBInt"/>
          <w:i w:val="0"/>
          <w:noProof w:val="0"/>
          <w:szCs w:val="20"/>
        </w:rPr>
        <w:t>{ITRE}</w:t>
      </w:r>
      <w:r w:rsidRPr="00E3557F">
        <w:t>Comisión de Industria, Investigación y Energía</w:t>
      </w:r>
      <w:r w:rsidRPr="00E3557F">
        <w:rPr>
          <w:rStyle w:val="HideTWBExt"/>
          <w:i w:val="0"/>
          <w:noProof w:val="0"/>
          <w:szCs w:val="20"/>
        </w:rPr>
        <w:t>&lt;/</w:t>
      </w:r>
      <w:r w:rsidRPr="00E3557F">
        <w:rPr>
          <w:rStyle w:val="HideTWBExt"/>
          <w:i w:val="0"/>
          <w:noProof w:val="0"/>
          <w:szCs w:val="20"/>
        </w:rPr>
        <w:t>Commission</w:t>
      </w:r>
      <w:r w:rsidRPr="00E3557F">
        <w:rPr>
          <w:rStyle w:val="HideTWBExt"/>
          <w:i w:val="0"/>
          <w:noProof w:val="0"/>
          <w:szCs w:val="20"/>
        </w:rPr>
        <w:t>&gt;</w:t>
      </w:r>
    </w:p>
    <w:p w:rsidR="00000C7D" w:rsidRPr="00E3557F" w:rsidRDefault="00E3557F" w:rsidP="00000C7D">
      <w:pPr>
        <w:pStyle w:val="EPBody"/>
      </w:pPr>
      <w:r w:rsidRPr="00E3557F">
        <w:t>El presidente</w:t>
      </w:r>
    </w:p>
    <w:p w:rsidR="00000C7D" w:rsidRPr="00E3557F" w:rsidRDefault="00000C7D" w:rsidP="00000C7D">
      <w:pPr>
        <w:pStyle w:val="LineBottom"/>
      </w:pPr>
    </w:p>
    <w:p w:rsidR="00E71F4C" w:rsidRPr="00E3557F" w:rsidRDefault="00E3557F" w:rsidP="007C3F41">
      <w:pPr>
        <w:pStyle w:val="LetterDate"/>
      </w:pPr>
      <w:r w:rsidRPr="00E3557F">
        <w:rPr>
          <w:rStyle w:val="HideTWBExt"/>
          <w:noProof w:val="0"/>
        </w:rPr>
        <w:t>&lt;Date&gt;</w:t>
      </w:r>
      <w:r w:rsidRPr="00E3557F">
        <w:rPr>
          <w:rStyle w:val="HideTWBInt"/>
          <w:noProof w:val="0"/>
        </w:rPr>
        <w:t>{01/02/2021}</w:t>
      </w:r>
      <w:r w:rsidRPr="00E3557F">
        <w:t>1.2.2021</w:t>
      </w:r>
      <w:r w:rsidRPr="00E3557F">
        <w:rPr>
          <w:rStyle w:val="HideTWBExt"/>
          <w:noProof w:val="0"/>
        </w:rPr>
        <w:t>&lt;/Date&gt;</w:t>
      </w:r>
    </w:p>
    <w:p w:rsidR="007179A7" w:rsidRPr="00E3557F" w:rsidRDefault="00E3557F">
      <w:r w:rsidRPr="00E3557F">
        <w:t>Sr. D. David McAllister</w:t>
      </w:r>
    </w:p>
    <w:p w:rsidR="007179A7" w:rsidRPr="00E3557F" w:rsidRDefault="00E3557F">
      <w:r w:rsidRPr="00E3557F">
        <w:t>Presidente</w:t>
      </w:r>
    </w:p>
    <w:p w:rsidR="007179A7" w:rsidRPr="00E3557F" w:rsidRDefault="00E3557F">
      <w:r w:rsidRPr="00E3557F">
        <w:t>Comisión de Asuntos Exteriores</w:t>
      </w:r>
    </w:p>
    <w:p w:rsidR="00C968E8" w:rsidRPr="00E3557F" w:rsidRDefault="00E3557F" w:rsidP="00C968E8">
      <w:pPr>
        <w:spacing w:after="240"/>
      </w:pPr>
      <w:r w:rsidRPr="00E3557F">
        <w:t>BRUSELAS</w:t>
      </w:r>
    </w:p>
    <w:p w:rsidR="00C968E8" w:rsidRPr="00E3557F" w:rsidRDefault="00E3557F" w:rsidP="00C968E8">
      <w:r w:rsidRPr="00E3557F">
        <w:t>Sr. D. Bernd Lange</w:t>
      </w:r>
    </w:p>
    <w:p w:rsidR="00C968E8" w:rsidRPr="00E3557F" w:rsidRDefault="00E3557F" w:rsidP="00C968E8">
      <w:r w:rsidRPr="00E3557F">
        <w:t>Presidente</w:t>
      </w:r>
    </w:p>
    <w:p w:rsidR="00C968E8" w:rsidRPr="00E3557F" w:rsidRDefault="00E3557F" w:rsidP="00C968E8">
      <w:r w:rsidRPr="00E3557F">
        <w:t>Comisión de Comercio Internacional</w:t>
      </w:r>
    </w:p>
    <w:p w:rsidR="00C968E8" w:rsidRPr="00E3557F" w:rsidRDefault="00E3557F">
      <w:r w:rsidRPr="00E3557F">
        <w:t>BRUSELAS</w:t>
      </w:r>
    </w:p>
    <w:p w:rsidR="009F796C" w:rsidRPr="00E3557F" w:rsidRDefault="00E3557F" w:rsidP="009F796C">
      <w:pPr>
        <w:pStyle w:val="LetterSubject"/>
      </w:pPr>
      <w:r w:rsidRPr="00E3557F">
        <w:t>Asunto:</w:t>
      </w:r>
      <w:r w:rsidRPr="00E3557F">
        <w:tab/>
      </w:r>
      <w:r w:rsidRPr="00E3557F">
        <w:rPr>
          <w:rStyle w:val="HideTWBExt"/>
          <w:noProof w:val="0"/>
        </w:rPr>
        <w:t>&lt;Titre&gt;</w:t>
      </w:r>
      <w:r w:rsidRPr="00E3557F">
        <w:t>Opinión sobre la Decisión relativa a la celebración, en nombre de la Unión, del Acuerdo de Comercio y Cooperación entre la Unión Europea y la Comunidad Europea de la Energía Atómica, por</w:t>
      </w:r>
      <w:r w:rsidRPr="00E3557F">
        <w:t xml:space="preserve"> una parte, y el Reino Unido de Gran Bretaña e Irlanda del Norte, por otra, y del Acuerdo entre la Unión Europea y el Reino Unido de Gran Bretaña e Irlanda del Norte sobre procedimientos de seguridad para el intercambio y la protección de información clasi</w:t>
      </w:r>
      <w:r w:rsidRPr="00E3557F">
        <w:t>ficada</w:t>
      </w:r>
      <w:r w:rsidRPr="00E3557F">
        <w:rPr>
          <w:rStyle w:val="HideTWBExt"/>
          <w:noProof w:val="0"/>
        </w:rPr>
        <w:t>&lt;/Titre&gt;</w:t>
      </w:r>
      <w:r w:rsidRPr="00E3557F">
        <w:t xml:space="preserve"> </w:t>
      </w:r>
      <w:r w:rsidRPr="00E3557F">
        <w:rPr>
          <w:rStyle w:val="HideTWBExt"/>
          <w:noProof w:val="0"/>
        </w:rPr>
        <w:t>&lt;DocRef&gt;</w:t>
      </w:r>
      <w:r w:rsidRPr="00E3557F">
        <w:t>(2020/0382(NLE))</w:t>
      </w:r>
      <w:r w:rsidRPr="00E3557F">
        <w:rPr>
          <w:rStyle w:val="HideTWBExt"/>
          <w:noProof w:val="0"/>
        </w:rPr>
        <w:t>&lt;/DocRef&gt;</w:t>
      </w:r>
    </w:p>
    <w:p w:rsidR="007179A7" w:rsidRPr="00E3557F" w:rsidRDefault="00E3557F" w:rsidP="007C3F41">
      <w:pPr>
        <w:pStyle w:val="LetterSalutation"/>
      </w:pPr>
      <w:r w:rsidRPr="00E3557F">
        <w:t>Señores presidentes:</w:t>
      </w:r>
    </w:p>
    <w:p w:rsidR="00C968E8" w:rsidRPr="00E3557F" w:rsidRDefault="00E3557F">
      <w:pPr>
        <w:pStyle w:val="Normal12a"/>
      </w:pPr>
      <w:r w:rsidRPr="00E3557F">
        <w:t>En el marco del procedimiento en cuestión, se encargó a la Comisión de Industria, Investigación y Energía que emitiera una opinión dirigida a sus comisiones.</w:t>
      </w:r>
    </w:p>
    <w:p w:rsidR="00C968E8" w:rsidRPr="00E3557F" w:rsidRDefault="00E3557F" w:rsidP="00C968E8">
      <w:pPr>
        <w:pStyle w:val="Normal12a"/>
      </w:pPr>
      <w:r w:rsidRPr="00E3557F">
        <w:t>La Comisión de Industria, In</w:t>
      </w:r>
      <w:r w:rsidRPr="00E3557F">
        <w:t>vestigación y Energía examinó la cuestión en la reunión del 14 de enero de 2021. Tras un procedimiento escrito en el que participaron sus coordinadores y que concluyó el 29 de enero de 2021, decidió pedir a la Comisión de Asuntos Exteriores y a la Comisión</w:t>
      </w:r>
      <w:r w:rsidRPr="00E3557F">
        <w:t xml:space="preserve"> de Comercio Internacional, competentes para el fondo, que incorporen en la recomendación relativa a la aprobación la siguiente opinión en forma de carta.</w:t>
      </w:r>
    </w:p>
    <w:p w:rsidR="007179A7" w:rsidRPr="00E3557F" w:rsidRDefault="00E3557F" w:rsidP="007C3F41">
      <w:pPr>
        <w:pStyle w:val="Normal12a"/>
      </w:pPr>
      <w:r w:rsidRPr="00E3557F">
        <w:t>Les saluda muy atentamente</w:t>
      </w:r>
    </w:p>
    <w:p w:rsidR="007179A7" w:rsidRPr="00E3557F" w:rsidRDefault="00E3557F">
      <w:pPr>
        <w:pStyle w:val="LetterSignature"/>
      </w:pPr>
      <w:r w:rsidRPr="00E3557F">
        <w:lastRenderedPageBreak/>
        <w:t>Cristian</w:t>
      </w:r>
      <w:r w:rsidRPr="00E3557F">
        <w:noBreakHyphen/>
        <w:t>Silviu Buşoi</w:t>
      </w:r>
    </w:p>
    <w:p w:rsidR="00862D62" w:rsidRPr="00E3557F" w:rsidRDefault="00862D62" w:rsidP="00862D62"/>
    <w:p w:rsidR="00C968E8" w:rsidRPr="00E3557F" w:rsidRDefault="00E3557F" w:rsidP="00F84B4D">
      <w:pPr>
        <w:pStyle w:val="Normal12a"/>
      </w:pPr>
      <w:r w:rsidRPr="00E3557F">
        <w:br w:type="page"/>
      </w:r>
      <w:bookmarkStart w:id="0" w:name="restart"/>
      <w:r w:rsidRPr="00E3557F">
        <w:lastRenderedPageBreak/>
        <w:t xml:space="preserve">La Comisión de Industria, Investigación y Energía </w:t>
      </w:r>
      <w:r w:rsidRPr="00E3557F">
        <w:t>pide a la Comisión de Asuntos Exteriores y a la Comisión de Comercio Internacional, competentes para el fondo, que incorporen la siguiente opinión en la recomendación relativa a la aprobación:</w:t>
      </w:r>
    </w:p>
    <w:p w:rsidR="00C968E8" w:rsidRPr="00E3557F" w:rsidRDefault="00E3557F" w:rsidP="00C968E8">
      <w:pPr>
        <w:pStyle w:val="NormalHanging12a"/>
      </w:pPr>
      <w:r w:rsidRPr="00E3557F">
        <w:t>1.</w:t>
      </w:r>
      <w:r w:rsidRPr="00E3557F">
        <w:tab/>
        <w:t>Acoge con satisfacción que se haya podido alcanzar un acuerd</w:t>
      </w:r>
      <w:r w:rsidRPr="00E3557F">
        <w:t>o sobre las futuras relaciones entre la Unión y el Reino Unido antes del final del período transitorio; lamenta profundamente, no obstante, que el tiempo disponible para el control parlamentario sea extremadamente corto, dado que el acuerdo se alcanzó tard</w:t>
      </w:r>
      <w:r w:rsidRPr="00E3557F">
        <w:t>e y que su aplicación provisional es limitada, puesto que expirará a finales de febrero de 2021;</w:t>
      </w:r>
    </w:p>
    <w:p w:rsidR="00C968E8" w:rsidRPr="00E3557F" w:rsidRDefault="00E3557F" w:rsidP="00C968E8">
      <w:pPr>
        <w:pStyle w:val="NormalHanging12a"/>
      </w:pPr>
      <w:r w:rsidRPr="00E3557F">
        <w:t>2.</w:t>
      </w:r>
      <w:r w:rsidRPr="00E3557F">
        <w:tab/>
        <w:t>Apoya en general los acuerdos alcanzados y subraya la necesidad de estar atentos al pleno respeto de las cláusulas de no regresión; destaca, no obstante, qu</w:t>
      </w:r>
      <w:r w:rsidRPr="00E3557F">
        <w:t>e aún quedan muchas cuestiones por pulir en el Consejo de Asociación y en sus Comités especializados; pide a la Comisión que vele por que el Parlamento y sus comisiones especializadas estén adecuadamente informados y participen desde una fase temprana en l</w:t>
      </w:r>
      <w:r w:rsidRPr="00E3557F">
        <w:t>os trabajos del Consejo de Asociación y sus comités; aboga, además, por una estructura permanente que garantice la participación del Parlamento en las revisiones periódicas del Acuerdo de Comercio y Cooperación;</w:t>
      </w:r>
    </w:p>
    <w:p w:rsidR="00502204" w:rsidRPr="00E3557F" w:rsidRDefault="00E3557F" w:rsidP="00F6116C">
      <w:pPr>
        <w:pStyle w:val="NormalHanging12a"/>
      </w:pPr>
      <w:r w:rsidRPr="00E3557F">
        <w:t>3.</w:t>
      </w:r>
      <w:r w:rsidRPr="00E3557F">
        <w:tab/>
        <w:t xml:space="preserve">Expresa su preocupación por la autonomía </w:t>
      </w:r>
      <w:r w:rsidRPr="00E3557F">
        <w:t>de que gozará el Consejo de Asociación no solo a la hora de revisar, sino también de modificar el Acuerdo en relación con la futura participación en los programas de la Unión, incluidos Horizonte Europa y otros programas que se enmarcan en el ámbito de com</w:t>
      </w:r>
      <w:r w:rsidRPr="00E3557F">
        <w:t>petencias de la Comisión ITRE; pide, por tanto, que se celebre un acuerdo interinstitucional entre el Parlamento y la Comisión para garantizar que las decisiones tomadas en el Consejo de Asociación en relación con la futura participación en los programas d</w:t>
      </w:r>
      <w:r w:rsidRPr="00E3557F">
        <w:t>e la Unión solo puedan adoptarse tras obtener el apoyo del Parlamento;</w:t>
      </w:r>
    </w:p>
    <w:p w:rsidR="00C968E8" w:rsidRPr="00E3557F" w:rsidRDefault="00E3557F" w:rsidP="00C968E8">
      <w:pPr>
        <w:pStyle w:val="NormalHanging12a"/>
        <w:rPr>
          <w:b/>
          <w:i/>
        </w:rPr>
      </w:pPr>
      <w:r w:rsidRPr="00E3557F">
        <w:rPr>
          <w:b/>
          <w:i/>
        </w:rPr>
        <w:t>Investigación</w:t>
      </w:r>
    </w:p>
    <w:p w:rsidR="00C968E8" w:rsidRPr="00E3557F" w:rsidRDefault="00E3557F" w:rsidP="00C968E8">
      <w:pPr>
        <w:pStyle w:val="NormalHanging12a"/>
      </w:pPr>
      <w:r w:rsidRPr="00E3557F">
        <w:t>4.</w:t>
      </w:r>
      <w:r w:rsidRPr="00E3557F">
        <w:tab/>
        <w:t>Celebra que se prosiga la cooperación europea con el Reino Unido en los ámbitos de la ciencia, la investigación y la innovación; subraya la importancia de apoyar la mo</w:t>
      </w:r>
      <w:r w:rsidRPr="00E3557F">
        <w:t>vilidad de los investigadores para garantizar la libre circulación de los conocimientos científicos y la tecnología; lamenta, no obstante, la participación selectiva del Reino Unido en este ámbito; considera que el programa Erasmus+ es una parte indispensa</w:t>
      </w:r>
      <w:r w:rsidRPr="00E3557F">
        <w:t>ble del sistema educativo europeo, que forma a investigadores excelentes y ofrece oportunidades únicas a los investigadores; señala que los beneficios de Horizonte Europa no pueden existir sin una educación excelente; considera, por tanto, que la participa</w:t>
      </w:r>
      <w:r w:rsidRPr="00E3557F">
        <w:t xml:space="preserve">ción del Reino Unido en Horizonte Europa no debería desvincularse de su participación en Erasmus+, y que deberían realizarse esfuerzos adicionales para convencer al Reino Unido de que se adhiera también a Erasmus+; considera que la participación del Reino </w:t>
      </w:r>
      <w:r w:rsidRPr="00E3557F">
        <w:t xml:space="preserve">Unido en ambos programas beneficiará a ambas partes y contribuirá aún más al éxito de Europa en el ámbito de la ciencia y la tecnología; </w:t>
      </w:r>
    </w:p>
    <w:p w:rsidR="00C968E8" w:rsidRPr="00E3557F" w:rsidRDefault="00E3557F" w:rsidP="00C968E8">
      <w:pPr>
        <w:pStyle w:val="NormalHanging12a"/>
      </w:pPr>
      <w:r w:rsidRPr="00E3557F">
        <w:t>5.</w:t>
      </w:r>
      <w:r w:rsidRPr="00E3557F">
        <w:tab/>
        <w:t>Acoge con satisfacción que el Reino Unido se haya asociado a Horizonte Europa; destaca que se trata de una asociaci</w:t>
      </w:r>
      <w:r w:rsidRPr="00E3557F">
        <w:t xml:space="preserve">ón histórica, ya que nunca antes una asociación había tenido unas repercusiones presupuestarias tan importantes para la Unión; recuerda que las condiciones pertinentes para la participación de terceros países establecidas en los programas correspondientes </w:t>
      </w:r>
      <w:r w:rsidRPr="00E3557F">
        <w:t xml:space="preserve">sientan la base para las negociaciones sobre la </w:t>
      </w:r>
      <w:r w:rsidRPr="00E3557F">
        <w:lastRenderedPageBreak/>
        <w:t>participación en los programas; destaca que en el pasado se han celebrado acuerdos de asociación con terceros países en virtud del artículo 218, apartado 6, del TFUE, tras un procedimiento de aprobación; pide</w:t>
      </w:r>
      <w:r w:rsidRPr="00E3557F">
        <w:t>, por tanto, que la adopción del Protocolo I («Programas y actividades en los que participa el Reino Unido») sea objeto de un control parlamentario pleno, incluida la aprobación por el Parlamento;</w:t>
      </w:r>
    </w:p>
    <w:p w:rsidR="00C968E8" w:rsidRPr="00E3557F" w:rsidRDefault="00E3557F" w:rsidP="00C968E8">
      <w:pPr>
        <w:pStyle w:val="NormalHanging12a"/>
      </w:pPr>
      <w:r w:rsidRPr="00E3557F">
        <w:t>6.</w:t>
      </w:r>
      <w:r w:rsidRPr="00E3557F">
        <w:tab/>
        <w:t>Insta al Reino Unido y a la Comisión a que prosigan el d</w:t>
      </w:r>
      <w:r w:rsidRPr="00E3557F">
        <w:t>iálogo con vistas a establecer un marco eficaz para el reconocimiento mutuo de las cualificaciones académicas y profesionales;</w:t>
      </w:r>
    </w:p>
    <w:p w:rsidR="00C968E8" w:rsidRPr="00E3557F" w:rsidRDefault="00E3557F" w:rsidP="00C968E8">
      <w:pPr>
        <w:pStyle w:val="NormalHanging12a"/>
        <w:rPr>
          <w:b/>
          <w:i/>
        </w:rPr>
      </w:pPr>
      <w:r w:rsidRPr="00E3557F">
        <w:rPr>
          <w:b/>
          <w:i/>
        </w:rPr>
        <w:t>Espacio</w:t>
      </w:r>
    </w:p>
    <w:p w:rsidR="00C968E8" w:rsidRPr="00E3557F" w:rsidRDefault="00E3557F" w:rsidP="00C968E8">
      <w:pPr>
        <w:pStyle w:val="NormalHanging12a"/>
      </w:pPr>
      <w:r w:rsidRPr="00E3557F">
        <w:t>7.</w:t>
      </w:r>
      <w:r w:rsidRPr="00E3557F">
        <w:tab/>
        <w:t>Acoge con satisfacción la participación del Reino Unido en el componente Copernicus del Programa Espacial de la Unión,</w:t>
      </w:r>
      <w:r w:rsidRPr="00E3557F">
        <w:t xml:space="preserve"> así como que los usuarios del Reino Unido puedan seguir accediendo a los servicios de vigilancia y seguimiento espacial de la Unión; considera que la Unión y el Reino Unido deberían cooperar estrechamente en el ámbito espacial; señala, a este respecto, qu</w:t>
      </w:r>
      <w:r w:rsidRPr="00E3557F">
        <w:t>e el Reino Unido podría participar en otros componentes del Programa Espacial, sobre la base de acuerdos similares con terceros países sujetos a negociaciones para cada programa o componente, y de un equilibrio adecuado entre obligaciones y derechos, respe</w:t>
      </w:r>
      <w:r w:rsidRPr="00E3557F">
        <w:t>tando al mismo tiempo la autonomía estratégica de la Unión en el sector espacial;</w:t>
      </w:r>
    </w:p>
    <w:p w:rsidR="00C968E8" w:rsidRPr="00E3557F" w:rsidRDefault="00E3557F" w:rsidP="00C968E8">
      <w:pPr>
        <w:pStyle w:val="NormalHanging12a"/>
        <w:rPr>
          <w:b/>
          <w:i/>
        </w:rPr>
      </w:pPr>
      <w:r w:rsidRPr="00E3557F">
        <w:rPr>
          <w:b/>
          <w:i/>
        </w:rPr>
        <w:t>Industria y pymes</w:t>
      </w:r>
    </w:p>
    <w:p w:rsidR="00C968E8" w:rsidRPr="00E3557F" w:rsidRDefault="00E3557F" w:rsidP="00C968E8">
      <w:pPr>
        <w:pStyle w:val="NormalHanging12a"/>
      </w:pPr>
      <w:r w:rsidRPr="00E3557F">
        <w:t>8.</w:t>
      </w:r>
      <w:r w:rsidRPr="00E3557F">
        <w:tab/>
        <w:t>Apoya las disposiciones relativas a la igualdad de condiciones para una competencia abierta y leal y un desarrollo sostenible, cuyo objetivo es establece</w:t>
      </w:r>
      <w:r w:rsidRPr="00E3557F">
        <w:t>r condiciones equitativas para las industrias europeas; acoge con satisfacción las disposiciones especiales para las pequeñas y medianas empresas (pymes), con las que se pretende mejorar la capacidad de estas para aprovechar plenamente las disposiciones co</w:t>
      </w:r>
      <w:r w:rsidRPr="00E3557F">
        <w:t>merciales del Acuerdo, como la creación de puntos de contacto específicos para las pymes; insta a la Comisión a que no baje la guardia en lo relativo a la protección de las cadenas de suministro de la industria europea frente a los efectos directos e indir</w:t>
      </w:r>
      <w:r w:rsidRPr="00E3557F">
        <w:t xml:space="preserve">ectos del </w:t>
      </w:r>
      <w:r w:rsidRPr="00E3557F">
        <w:rPr>
          <w:i/>
        </w:rPr>
        <w:t>Brexit</w:t>
      </w:r>
      <w:r w:rsidRPr="00E3557F">
        <w:t>; pide, en particular, que, durante este proceso de transición, se preste asistencia a las pymes integradas en las cadenas de valor de grandes empresas;</w:t>
      </w:r>
    </w:p>
    <w:p w:rsidR="00C968E8" w:rsidRPr="00E3557F" w:rsidRDefault="00E3557F" w:rsidP="00C968E8">
      <w:pPr>
        <w:pStyle w:val="NormalHanging12a"/>
      </w:pPr>
      <w:r w:rsidRPr="00E3557F">
        <w:t>9.</w:t>
      </w:r>
      <w:r w:rsidRPr="00E3557F">
        <w:tab/>
        <w:t xml:space="preserve">Hace hincapié en la importancia de evitar la incertidumbre jurídica, las cargas </w:t>
      </w:r>
      <w:r w:rsidRPr="00E3557F">
        <w:t>administrativas y la complejidad de los procedimientos, en particular en lo que se refiere a la resolución de litigios, el aumento de los requisitos de certificación y los ensayos para cumplir las normas tanto de la Unión como del Reino Unido, lo que aumen</w:t>
      </w:r>
      <w:r w:rsidRPr="00E3557F">
        <w:t>tará la complejidad y los costes; pide, por tanto, al Consejo de Asociación que supervise de cerca los riesgos de dumping, así como la carga administrativa para las empresas y las comunidades de energía e investigación, y que vele por que los trámites se r</w:t>
      </w:r>
      <w:r w:rsidRPr="00E3557F">
        <w:t xml:space="preserve">eduzcan al mínimo cuando se exporten bienes o presten servicios; expresa su preocupación, no obstante, por que las pymes tengan dificultades para cumplir rápidamente la nueva normativa, y considera que es necesario redoblar los esfuerzos para apoyar a las </w:t>
      </w:r>
      <w:r w:rsidRPr="00E3557F">
        <w:t>pymes a este respecto;</w:t>
      </w:r>
    </w:p>
    <w:p w:rsidR="00C968E8" w:rsidRPr="00E3557F" w:rsidRDefault="00E3557F" w:rsidP="00C968E8">
      <w:pPr>
        <w:pStyle w:val="NormalHanging12a"/>
      </w:pPr>
      <w:r w:rsidRPr="00E3557F">
        <w:t>10.</w:t>
      </w:r>
      <w:r w:rsidRPr="00E3557F">
        <w:tab/>
        <w:t xml:space="preserve">Acoge con satisfacción, en particular, las garantías en materia de protección del medio ambiente, además de las disposiciones de no regresión aplicables al medio ambiente, el </w:t>
      </w:r>
      <w:r w:rsidRPr="00E3557F">
        <w:lastRenderedPageBreak/>
        <w:t>clima y la protección laboral; hace hincapié en que es</w:t>
      </w:r>
      <w:r w:rsidRPr="00E3557F">
        <w:t>tas medidas deberían supervisarse y respetarse para garantizar unas condiciones de competencia equitativas entre las Partes en el futuro, y para evitar que las empresas deslocalicen sus actividades al territorio en el que los costes de producción sean meno</w:t>
      </w:r>
      <w:r w:rsidRPr="00E3557F">
        <w:t>res debido a una relajación de las normas medioambientales o sociales, mermando así la competitividad de una de las Partes;</w:t>
      </w:r>
    </w:p>
    <w:p w:rsidR="00C968E8" w:rsidRPr="00E3557F" w:rsidRDefault="00E3557F" w:rsidP="00C968E8">
      <w:pPr>
        <w:pStyle w:val="NormalHanging12a"/>
        <w:rPr>
          <w:b/>
          <w:i/>
        </w:rPr>
      </w:pPr>
      <w:r w:rsidRPr="00E3557F">
        <w:rPr>
          <w:b/>
          <w:i/>
        </w:rPr>
        <w:t>TIC</w:t>
      </w:r>
    </w:p>
    <w:p w:rsidR="00C968E8" w:rsidRPr="00E3557F" w:rsidRDefault="00E3557F" w:rsidP="00C968E8">
      <w:pPr>
        <w:pStyle w:val="NormalHanging12a"/>
      </w:pPr>
      <w:r w:rsidRPr="00E3557F">
        <w:t>11.</w:t>
      </w:r>
      <w:r w:rsidRPr="00E3557F">
        <w:tab/>
        <w:t>Apoya el acuerdo alcanzado sobre el suministro de redes y servicios de telecomunicaciones, que preserva en gran medida el a</w:t>
      </w:r>
      <w:r w:rsidRPr="00E3557F">
        <w:t>cervo existente; lamenta, no obstante, que no se haya podido acordar la transposición del Reglamento sobre la itinerancia; pide, por tanto, a los operadores de servicios móviles que sigan aplicando el principio de «itinerancia como en casa» tanto en la Uni</w:t>
      </w:r>
      <w:r w:rsidRPr="00E3557F">
        <w:t>ón como en el Reino Unido;</w:t>
      </w:r>
    </w:p>
    <w:p w:rsidR="00C968E8" w:rsidRPr="00E3557F" w:rsidRDefault="00E3557F" w:rsidP="00C968E8">
      <w:pPr>
        <w:pStyle w:val="NormalHanging12a"/>
      </w:pPr>
      <w:r w:rsidRPr="00E3557F">
        <w:t>12.</w:t>
      </w:r>
      <w:r w:rsidRPr="00E3557F">
        <w:tab/>
        <w:t>Subraya la importancia de la libre circulación de datos tanto para los ciudadanos como para las empresas; se congratula, por tanto, de las disposiciones que garantizan los flujos de datos transfronterizos para facilitar el co</w:t>
      </w:r>
      <w:r w:rsidRPr="00E3557F">
        <w:t>mercio en la economía digital, garantizando al mismo tiempo la correcta aplicación del acervo de la Unión; hace hincapié en la necesidad de una cooperación intensa para garantizar la interoperabilidad de los datos; destaca la necesidad de estructurar un di</w:t>
      </w:r>
      <w:r w:rsidRPr="00E3557F">
        <w:t>álogo periódico sobre los retos y las oportunidades de la inteligencia artificial; pide que estas disposiciones sean objeto de un seguimiento periódico debido a la rápida evolución del entorno tecnológico y normativo, y pide al Consejo de Asociación que ga</w:t>
      </w:r>
      <w:r w:rsidRPr="00E3557F">
        <w:t>rantice la continua adaptación del Reino Unido al Reglamento General de Protección de Datos (RGPD);</w:t>
      </w:r>
    </w:p>
    <w:p w:rsidR="00C968E8" w:rsidRPr="00E3557F" w:rsidRDefault="00E3557F" w:rsidP="00C968E8">
      <w:pPr>
        <w:pStyle w:val="NormalHanging12a"/>
      </w:pPr>
      <w:r w:rsidRPr="00E3557F">
        <w:t>13.</w:t>
      </w:r>
      <w:r w:rsidRPr="00E3557F">
        <w:tab/>
        <w:t xml:space="preserve">Acoge con satisfacción las disposiciones sobre ciberseguridad, que prevén un diálogo periódico entre la Unión y el Reino Unido, el intercambio continuo </w:t>
      </w:r>
      <w:r w:rsidRPr="00E3557F">
        <w:t>de información entre los equipos de respuesta a emergencias informáticas (CERT), la participación del Reino Unido en actividades específicas del Grupo de Cooperación sobre Redes y Sistemas de Información (SRI) y la cooperación del Reino Unido con la Agenci</w:t>
      </w:r>
      <w:r w:rsidRPr="00E3557F">
        <w:t>a de la Unión Europea para la Ciberseguridad (ENISA), y señala la necesidad de una mayor cooperación en este ámbito;</w:t>
      </w:r>
    </w:p>
    <w:p w:rsidR="00C968E8" w:rsidRPr="00E3557F" w:rsidRDefault="00E3557F" w:rsidP="00C968E8">
      <w:pPr>
        <w:pStyle w:val="NormalHanging12a"/>
        <w:rPr>
          <w:b/>
          <w:i/>
        </w:rPr>
      </w:pPr>
      <w:r w:rsidRPr="00E3557F">
        <w:rPr>
          <w:b/>
          <w:i/>
        </w:rPr>
        <w:t>Energía</w:t>
      </w:r>
    </w:p>
    <w:p w:rsidR="00C968E8" w:rsidRPr="00E3557F" w:rsidRDefault="00E3557F" w:rsidP="00C968E8">
      <w:pPr>
        <w:pStyle w:val="NormalHanging12a"/>
      </w:pPr>
      <w:r w:rsidRPr="00E3557F">
        <w:t>14.</w:t>
      </w:r>
      <w:r w:rsidRPr="00E3557F">
        <w:tab/>
        <w:t>Señala que el capítulo sobre energía expira el 30 de junio de 2026, a menos que la Unión y el Reino Unido acuerden prorrogar el</w:t>
      </w:r>
      <w:r w:rsidRPr="00E3557F">
        <w:t xml:space="preserve"> acuerdo sobre una base anual; subraya la necesidad de continuar cooperando en todas las cuestiones energéticas más allá de esa fecha, habida cuenta de la interconexión de ambos mercados de la energía y de que Irlanda del Norte seguirá estando dentro del m</w:t>
      </w:r>
      <w:r w:rsidRPr="00E3557F">
        <w:t>ercado interior de la energía de la Unión; pide que el Parlamento Europeo asuma un papel importante a la hora de decidir sobre esta prórroga;</w:t>
      </w:r>
    </w:p>
    <w:p w:rsidR="00C968E8" w:rsidRPr="00E3557F" w:rsidRDefault="00E3557F" w:rsidP="00C968E8">
      <w:pPr>
        <w:pStyle w:val="NormalHanging12a"/>
      </w:pPr>
      <w:r w:rsidRPr="00E3557F">
        <w:t>15.</w:t>
      </w:r>
      <w:r w:rsidRPr="00E3557F">
        <w:tab/>
        <w:t>Pide que los proyectos de interés común (PIC) y las orientaciones sobre las infraestructuras energéticas trans</w:t>
      </w:r>
      <w:r w:rsidRPr="00E3557F">
        <w:t>europeas (orientaciones RTE-E) tengan en cuenta los problemas específicos a los que se enfrenta Irlanda;</w:t>
      </w:r>
    </w:p>
    <w:p w:rsidR="00C968E8" w:rsidRPr="00E3557F" w:rsidRDefault="00E3557F" w:rsidP="00C968E8">
      <w:pPr>
        <w:pStyle w:val="NormalHanging12a"/>
      </w:pPr>
      <w:r w:rsidRPr="00E3557F">
        <w:t>16.</w:t>
      </w:r>
      <w:r w:rsidRPr="00E3557F">
        <w:tab/>
        <w:t xml:space="preserve">Pide al Reino Unido que busque acuerdos de cooperación con la Red Europea de </w:t>
      </w:r>
      <w:r w:rsidRPr="00E3557F">
        <w:lastRenderedPageBreak/>
        <w:t>Gestores de Redes de Transporte de Electricidad y Gas (REGRT de Electr</w:t>
      </w:r>
      <w:r w:rsidRPr="00E3557F">
        <w:t>icidad y REGRT de Gas) y la Agencia de la Unión Europea para la Cooperación de los Reguladores de la Energía (ACER); pide a la Comisión que adopte una práctica de cooperación energética, también con el objetivo de evitar un aumento de los precios finales d</w:t>
      </w:r>
      <w:r w:rsidRPr="00E3557F">
        <w:t>e la energía;</w:t>
      </w:r>
    </w:p>
    <w:p w:rsidR="00C968E8" w:rsidRPr="00E3557F" w:rsidRDefault="00E3557F" w:rsidP="00C968E8">
      <w:pPr>
        <w:pStyle w:val="NormalHanging12a"/>
      </w:pPr>
      <w:r w:rsidRPr="00E3557F">
        <w:t>17.</w:t>
      </w:r>
      <w:r w:rsidRPr="00E3557F">
        <w:tab/>
        <w:t>Acoge con satisfacción la integración en el Acuerdo de algunos principios relativos al diseño del mercado de la electricidad de la Unión; subraya que la inclusión de todos los principios clave sería mutuamente beneficiosa para la futura c</w:t>
      </w:r>
      <w:r w:rsidRPr="00E3557F">
        <w:t>ooperación; pide, además, que se prosiga con los proyectos en curso en el ámbito de la energía;</w:t>
      </w:r>
    </w:p>
    <w:p w:rsidR="00C968E8" w:rsidRPr="00E3557F" w:rsidRDefault="00E3557F" w:rsidP="00C968E8">
      <w:pPr>
        <w:pStyle w:val="NormalHanging12a"/>
      </w:pPr>
      <w:r w:rsidRPr="00E3557F">
        <w:t>18.</w:t>
      </w:r>
      <w:r w:rsidRPr="00E3557F">
        <w:tab/>
        <w:t xml:space="preserve">Apoya los esfuerzos por vincular el régimen de comercio de derechos de emisión de la Unión con el futuro régimen nacional del Reino Unido a fin de trabajar </w:t>
      </w:r>
      <w:r w:rsidRPr="00E3557F">
        <w:t>conjuntamente en la reducción de las emisiones de gases de efecto invernadero y respetar el Acuerdo de París, y considera esencial que se establezca dicho vínculo;</w:t>
      </w:r>
    </w:p>
    <w:p w:rsidR="00C968E8" w:rsidRPr="00E3557F" w:rsidRDefault="00E3557F" w:rsidP="00C968E8">
      <w:pPr>
        <w:pStyle w:val="NormalHanging12a"/>
      </w:pPr>
      <w:r w:rsidRPr="00E3557F">
        <w:t>19.</w:t>
      </w:r>
      <w:r w:rsidRPr="00E3557F">
        <w:tab/>
        <w:t xml:space="preserve">Aboga por un memorando de entendimiento, basado en la cooperación en materia de energía </w:t>
      </w:r>
      <w:r w:rsidRPr="00E3557F">
        <w:t>en los mares septentrionales (NSEC), que incluya al menos proyectos conjuntos, la ordenación del espacio marítimo, la integración de la energía en alta mar en los mercados de la energía, incluidas las mejores prácticas en materia de planificación de las re</w:t>
      </w:r>
      <w:r w:rsidRPr="00E3557F">
        <w:t>des marítimas y terrestres de cada Parte, el marco de apoyo y la financiación, con un control adecuado por ambas Partes;</w:t>
      </w:r>
    </w:p>
    <w:p w:rsidR="007732C5" w:rsidRPr="00E3557F" w:rsidRDefault="00E3557F" w:rsidP="00C968E8">
      <w:pPr>
        <w:pStyle w:val="NormalHanging12a"/>
      </w:pPr>
      <w:r w:rsidRPr="00E3557F">
        <w:t>20.</w:t>
      </w:r>
      <w:r w:rsidRPr="00E3557F">
        <w:tab/>
        <w:t xml:space="preserve">Toma nota del Acuerdo entre la Unión Europea y el Reino Unido para la cooperación sobre los usos seguros y pacíficos de la energía </w:t>
      </w:r>
      <w:r w:rsidRPr="00E3557F">
        <w:t>nuclear, y lamenta que este no forme parte del procedimiento de aprobación, ya que el Tratado Euratom no prevé la intervención del Parlamento Europeo; alienta a que se adopte rápidamente el Protocolo I («Programas y activida</w:t>
      </w:r>
      <w:bookmarkStart w:id="1" w:name="_GoBack"/>
      <w:bookmarkEnd w:id="1"/>
      <w:r w:rsidRPr="00E3557F">
        <w:t>des en los que participa el Rein</w:t>
      </w:r>
      <w:r w:rsidRPr="00E3557F">
        <w:t>o Unido»), que prevé la participación del Reino Unido en las actividades del ITER como tercer país asociado a Fusion for Energy.</w:t>
      </w:r>
    </w:p>
    <w:bookmarkEnd w:id="0"/>
    <w:p w:rsidR="009D564F" w:rsidRPr="00E3557F" w:rsidRDefault="00E3557F" w:rsidP="00C968E8">
      <w:pPr>
        <w:widowControl/>
        <w:tabs>
          <w:tab w:val="left" w:pos="-720"/>
        </w:tabs>
      </w:pPr>
      <w:r w:rsidRPr="00E3557F">
        <w:t>La Comisión de Industria, Investigación y Energía pide, por consiguiente, a la Comisión de Asuntos Exteriores y a la Comisión d</w:t>
      </w:r>
      <w:r w:rsidRPr="00E3557F">
        <w:t>e Comercio Internacional, competentes para el fondo, que recomienden que el Parlamento conceda su aprobación al Acuerdo de Comercio y Cooperación entre la Unión Europea y el Reino Unido.</w:t>
      </w:r>
    </w:p>
    <w:sectPr w:rsidR="009D564F" w:rsidRPr="00E3557F" w:rsidSect="00E2789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E2789F" w:rsidRDefault="00E3557F">
      <w:r w:rsidRPr="00E2789F">
        <w:separator/>
      </w:r>
    </w:p>
  </w:endnote>
  <w:endnote w:type="continuationSeparator" w:id="0">
    <w:p w:rsidR="00000000" w:rsidRPr="00E2789F" w:rsidRDefault="00E3557F">
      <w:r w:rsidRPr="00E278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9F" w:rsidRPr="00E2789F" w:rsidRDefault="00E2789F" w:rsidP="00E2789F">
    <w:pPr>
      <w:pStyle w:val="EPFooter"/>
    </w:pPr>
    <w:r w:rsidRPr="00E2789F">
      <w:t>PE</w:t>
    </w:r>
    <w:r w:rsidRPr="00E3557F">
      <w:rPr>
        <w:rStyle w:val="HideTWBExt"/>
      </w:rPr>
      <w:t>&lt;NoPE&gt;</w:t>
    </w:r>
    <w:r w:rsidRPr="00E2789F">
      <w:t>680.745</w:t>
    </w:r>
    <w:r w:rsidRPr="00E3557F">
      <w:rPr>
        <w:rStyle w:val="HideTWBExt"/>
      </w:rPr>
      <w:t>&lt;/NoPE&gt;&lt;Version&gt;</w:t>
    </w:r>
    <w:r w:rsidRPr="00E2789F">
      <w:t>v02-00</w:t>
    </w:r>
    <w:r w:rsidRPr="00E3557F">
      <w:rPr>
        <w:rStyle w:val="HideTWBExt"/>
      </w:rPr>
      <w:t>&lt;/Version&gt;</w:t>
    </w:r>
    <w:r w:rsidRPr="00E2789F">
      <w:tab/>
    </w:r>
    <w:r w:rsidRPr="00E2789F">
      <w:fldChar w:fldCharType="begin"/>
    </w:r>
    <w:r w:rsidRPr="00E2789F">
      <w:instrText xml:space="preserve"> PAGE  \* MERGEFORMAT </w:instrText>
    </w:r>
    <w:r w:rsidRPr="00E2789F">
      <w:fldChar w:fldCharType="separate"/>
    </w:r>
    <w:r w:rsidR="00E3557F">
      <w:rPr>
        <w:noProof/>
      </w:rPr>
      <w:t>6</w:t>
    </w:r>
    <w:r w:rsidRPr="00E2789F">
      <w:fldChar w:fldCharType="end"/>
    </w:r>
    <w:r w:rsidRPr="00E2789F">
      <w:t>/</w:t>
    </w:r>
    <w:fldSimple w:instr=" NUMPAGES  \* MERGEFORMAT ">
      <w:r w:rsidR="00E3557F">
        <w:rPr>
          <w:noProof/>
        </w:rPr>
        <w:t>6</w:t>
      </w:r>
    </w:fldSimple>
    <w:r w:rsidRPr="00E2789F">
      <w:tab/>
    </w:r>
    <w:r w:rsidRPr="00E3557F">
      <w:rPr>
        <w:rStyle w:val="HideTWBExt"/>
      </w:rPr>
      <w:t>&lt;PathFdR&gt;</w:t>
    </w:r>
    <w:r w:rsidRPr="00E2789F">
      <w:t>AL\1223656ES.docx</w:t>
    </w:r>
    <w:r w:rsidRPr="00E3557F">
      <w:rPr>
        <w:rStyle w:val="HideTWBExt"/>
      </w:rPr>
      <w:t>&lt;/PathFdR&gt;</w:t>
    </w:r>
  </w:p>
  <w:p w:rsidR="00000C7D" w:rsidRPr="00E2789F" w:rsidRDefault="00E2789F" w:rsidP="00E2789F">
    <w:pPr>
      <w:pStyle w:val="EPFooter2"/>
    </w:pPr>
    <w:r w:rsidRPr="00E2789F">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9F" w:rsidRPr="00E2789F" w:rsidRDefault="00E2789F" w:rsidP="00E2789F">
    <w:pPr>
      <w:pStyle w:val="EPFooter"/>
    </w:pPr>
    <w:r w:rsidRPr="00E3557F">
      <w:rPr>
        <w:rStyle w:val="HideTWBExt"/>
      </w:rPr>
      <w:t>&lt;PathFdR&gt;</w:t>
    </w:r>
    <w:r w:rsidRPr="00E2789F">
      <w:t>AL\1223656ES.docx</w:t>
    </w:r>
    <w:r w:rsidRPr="00E3557F">
      <w:rPr>
        <w:rStyle w:val="HideTWBExt"/>
      </w:rPr>
      <w:t>&lt;/PathFdR&gt;</w:t>
    </w:r>
    <w:r w:rsidRPr="00E2789F">
      <w:tab/>
    </w:r>
    <w:r w:rsidRPr="00E2789F">
      <w:fldChar w:fldCharType="begin"/>
    </w:r>
    <w:r w:rsidRPr="00E2789F">
      <w:instrText xml:space="preserve"> PAGE  \* MERGEFORMAT </w:instrText>
    </w:r>
    <w:r w:rsidRPr="00E2789F">
      <w:fldChar w:fldCharType="separate"/>
    </w:r>
    <w:r w:rsidR="00E3557F">
      <w:rPr>
        <w:noProof/>
      </w:rPr>
      <w:t>5</w:t>
    </w:r>
    <w:r w:rsidRPr="00E2789F">
      <w:fldChar w:fldCharType="end"/>
    </w:r>
    <w:r w:rsidRPr="00E2789F">
      <w:t>/</w:t>
    </w:r>
    <w:fldSimple w:instr=" NUMPAGES  \* MERGEFORMAT ">
      <w:r w:rsidR="00E3557F">
        <w:rPr>
          <w:noProof/>
        </w:rPr>
        <w:t>6</w:t>
      </w:r>
    </w:fldSimple>
    <w:r w:rsidRPr="00E2789F">
      <w:tab/>
      <w:t>PE</w:t>
    </w:r>
    <w:r w:rsidRPr="00E3557F">
      <w:rPr>
        <w:rStyle w:val="HideTWBExt"/>
      </w:rPr>
      <w:t>&lt;NoPE&gt;</w:t>
    </w:r>
    <w:r w:rsidRPr="00E2789F">
      <w:t>680.745</w:t>
    </w:r>
    <w:r w:rsidRPr="00E3557F">
      <w:rPr>
        <w:rStyle w:val="HideTWBExt"/>
      </w:rPr>
      <w:t>&lt;/NoPE&gt;&lt;Version&gt;</w:t>
    </w:r>
    <w:r w:rsidRPr="00E2789F">
      <w:t>v02-00</w:t>
    </w:r>
    <w:r w:rsidRPr="00E3557F">
      <w:rPr>
        <w:rStyle w:val="HideTWBExt"/>
      </w:rPr>
      <w:t>&lt;/Version&gt;</w:t>
    </w:r>
  </w:p>
  <w:p w:rsidR="00000C7D" w:rsidRPr="00E2789F" w:rsidRDefault="00E2789F" w:rsidP="00E2789F">
    <w:pPr>
      <w:pStyle w:val="EPFooter2"/>
    </w:pPr>
    <w:r w:rsidRPr="00E2789F">
      <w:tab/>
    </w:r>
    <w:r w:rsidRPr="00E2789F">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9F" w:rsidRPr="00E2789F" w:rsidRDefault="00E2789F" w:rsidP="00E2789F">
    <w:pPr>
      <w:pStyle w:val="EPFooter"/>
    </w:pPr>
    <w:r w:rsidRPr="00E3557F">
      <w:rPr>
        <w:rStyle w:val="HideTWBExt"/>
      </w:rPr>
      <w:t>&lt;PathFdR&gt;</w:t>
    </w:r>
    <w:r w:rsidRPr="00E2789F">
      <w:t>AL\1223656ES.docx</w:t>
    </w:r>
    <w:r w:rsidRPr="00E3557F">
      <w:rPr>
        <w:rStyle w:val="HideTWBExt"/>
      </w:rPr>
      <w:t>&lt;/PathFdR&gt;</w:t>
    </w:r>
    <w:r w:rsidRPr="00E2789F">
      <w:tab/>
    </w:r>
    <w:r w:rsidRPr="00E2789F">
      <w:tab/>
      <w:t>PE</w:t>
    </w:r>
    <w:r w:rsidRPr="00E3557F">
      <w:rPr>
        <w:rStyle w:val="HideTWBExt"/>
      </w:rPr>
      <w:t>&lt;NoPE&gt;</w:t>
    </w:r>
    <w:r w:rsidRPr="00E2789F">
      <w:t>680.745</w:t>
    </w:r>
    <w:r w:rsidRPr="00E3557F">
      <w:rPr>
        <w:rStyle w:val="HideTWBExt"/>
      </w:rPr>
      <w:t>&lt;/NoPE&gt;&lt;Version&gt;</w:t>
    </w:r>
    <w:r w:rsidRPr="00E2789F">
      <w:t>v02-00</w:t>
    </w:r>
    <w:r w:rsidRPr="00E3557F">
      <w:rPr>
        <w:rStyle w:val="HideTWBExt"/>
      </w:rPr>
      <w:t>&lt;/Version&gt;</w:t>
    </w:r>
  </w:p>
  <w:p w:rsidR="00000C7D" w:rsidRPr="00E2789F" w:rsidRDefault="00E2789F" w:rsidP="00E2789F">
    <w:pPr>
      <w:pStyle w:val="EPFooter2"/>
    </w:pPr>
    <w:r w:rsidRPr="00E2789F">
      <w:t>ES</w:t>
    </w:r>
    <w:r w:rsidRPr="00E2789F">
      <w:tab/>
    </w:r>
    <w:r w:rsidRPr="00E2789F">
      <w:rPr>
        <w:b w:val="0"/>
        <w:i/>
        <w:color w:val="C0C0C0"/>
        <w:sz w:val="22"/>
      </w:rPr>
      <w:t>Unida en la diversidad</w:t>
    </w:r>
    <w:r w:rsidRPr="00E2789F">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E2789F" w:rsidRDefault="00E3557F">
      <w:r w:rsidRPr="00E2789F">
        <w:separator/>
      </w:r>
    </w:p>
  </w:footnote>
  <w:footnote w:type="continuationSeparator" w:id="0">
    <w:p w:rsidR="00000000" w:rsidRPr="00E2789F" w:rsidRDefault="00E3557F">
      <w:r w:rsidRPr="00E2789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8" w:rsidRDefault="00210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8" w:rsidRDefault="00210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8" w:rsidRDefault="0021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CJMNU" w:val=" 1"/>
    <w:docVar w:name="COM2KEY" w:val="AFET"/>
    <w:docVar w:name="COMKEY" w:val="ITRE"/>
    <w:docVar w:name="LastEditedSection" w:val=" 1"/>
    <w:docVar w:name="MEE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2833638 HideTWBInt;}{_x000d__x000a_\s18\ql \fi-567\li567\ri0\sa240\nowidctlpar\wrapdefault\aspalpha\aspnum\faauto\adjustright\rin0\lin567\itap0 \rtlch\fcs1 \af0\afs20\alang1025 \ltrch\fcs0 \fs24\lang2057\langfe2057\cgrid\langnp2057\langfenp2057 _x000d__x000a_\sbasedon0 \snext18 \spriority0 \styrsid2833638 NormalHanging12a;}}{\*\rsidtbl \rsid24658\rsid223860\rsid735077\rsid1718133\rsid2833638\rsid2892074\rsid3565327\rsid4666813\rsid6641733\rsid7823322\rsid9636012\rsid10377208\rsid11215221\rsid11549030_x000d__x000a_\rsid12154954\rsid14034132\rsid14382809\rsid14424199\rsid15204470\rsid15285974\rsid15950462\rsid16324206\rsid16662270}{\mmathPr\mmathFont34\mbrkBin0\mbrkBinSub0\msmallFrac0\mdispDef1\mlMargin0\mrMargin0\mdefJc1\mwrapIndent1440\mintLim0\mnaryLim1}{\info_x000d__x000a_{\author BROCCA Monica }{\operator BROCCA Monica }{\creatim\yr2021\mo1\dy28\hr9\min23}{\revtim\yr2021\mo1\dy28\hr9\min23}{\version1}{\edmins0}{\nofpages1}{\nofwords1}{\nofchars12}{\nofcharsws12}{\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833638\newtblstyruls\nogrowautofit\usenormstyforlist\noindnmbrts\felnbrelev\nocxsptable\indrlsweleven\noafcnsttbl\afelev\utinl\hwelev\spltpgpar\notcvasp\notbrkcnstfrctbl\notvatxbx\krnprsnet\cachedcolbal _x000d__x000a_\nouicompat \fet0{\*\wgrffmtfilter 013f}\nofeaturethrottle1\ilfomacatclnup0{\*\template C:\\Users\\mbrocca\\AppData\\Local\\Temp\\Blank1.dotx}{\*\ftnsep \ltrpar \pard\plain \ltrpar_x000d__x000a_\ql \li0\ri0\widctlpar\wrapdefault\aspalpha\aspnum\faauto\adjustright\rin0\lin0\itap0 \rtlch\fcs1 \af0\afs20\alang1025 \ltrch\fcs0 \fs24\lang2057\langfe2057\cgrid\langnp2057\langfenp2057 {\rtlch\fcs1 \af0 \ltrch\fcs0 \insrsid14034132 \chftnsep _x000d__x000a_\par }}{\*\ftnsepc \ltrpar \pard\plain \ltrpar\ql \li0\ri0\widctlpar\wrapdefault\aspalpha\aspnum\faauto\adjustright\rin0\lin0\itap0 \rtlch\fcs1 \af0\afs20\alang1025 \ltrch\fcs0 \fs24\lang2057\langfe2057\cgrid\langnp2057\langfenp2057 {\rtlch\fcs1 \af0 _x000d__x000a_\ltrch\fcs0 \insrsid14034132 \chftnsepc _x000d__x000a_\par }}{\*\aftnsep \ltrpar \pard\plain \ltrpar\ql \li0\ri0\widctlpar\wrapdefault\aspalpha\aspnum\faauto\adjustright\rin0\lin0\itap0 \rtlch\fcs1 \af0\afs20\alang1025 \ltrch\fcs0 \fs24\lang2057\langfe2057\cgrid\langnp2057\langfenp2057 {\rtlch\fcs1 \af0 _x000d__x000a_\ltrch\fcs0 \insrsid14034132 \chftnsep _x000d__x000a_\par }}{\*\aftnsepc \ltrpar \pard\plain \ltrpar\ql \li0\ri0\widctlpar\wrapdefault\aspalpha\aspnum\faauto\adjustright\rin0\lin0\itap0 \rtlch\fcs1 \af0\afs20\alang1025 \ltrch\fcs0 \fs24\lang2057\langfe2057\cgrid\langnp2057\langfenp2057 {\rtlch\fcs1 \af0 _x000d__x000a_\ltrch\fcs0 \insrsid1403413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2833638 \rtlch\fcs1 \af0\afs20\alang1025 \ltrch\fcs0 \fs24\lang2057\langfe2057\cgrid\langnp2057\langfenp2057 {\rtlch\fcs1 \af0 _x000d__x000a_\ltrch\fcs0 \insrsid2833638\charrsid5324597 {\*\bkmkstart restart}#}{\rtlch\fcs1 \af1 \ltrch\fcs0 \cs17\v\f1\fs20\cf15\insrsid2833638\charrsid5324597 NRMSG}{\rtlch\fcs1 \af0 \ltrch\fcs0 \insrsid2833638\charrsid5324597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9_x000d__x000a_1fce4ef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3"/>
    <w:docVar w:name="TXTLANGUE" w:val="EN"/>
    <w:docVar w:name="TXTLANGUEMIN" w:val="en"/>
    <w:docVar w:name="TXTNRPE" w:val="680.745"/>
    <w:docVar w:name="TXTNRPROC" w:val="2020/0382"/>
    <w:docVar w:name="TXTPEorAP" w:val="PE"/>
    <w:docVar w:name="TXTROUTE" w:val="AL\1223656EN.docx"/>
    <w:docVar w:name="TXTVERSION" w:val="02-00"/>
  </w:docVars>
  <w:rsids>
    <w:rsidRoot w:val="00513F35"/>
    <w:rsid w:val="00000C7D"/>
    <w:rsid w:val="00035402"/>
    <w:rsid w:val="00081186"/>
    <w:rsid w:val="000823E1"/>
    <w:rsid w:val="000923BD"/>
    <w:rsid w:val="000F5AD9"/>
    <w:rsid w:val="000F5F67"/>
    <w:rsid w:val="000F75A5"/>
    <w:rsid w:val="00140049"/>
    <w:rsid w:val="001924F0"/>
    <w:rsid w:val="001C6BA4"/>
    <w:rsid w:val="001D1646"/>
    <w:rsid w:val="001E1ECB"/>
    <w:rsid w:val="00210958"/>
    <w:rsid w:val="002F3C5F"/>
    <w:rsid w:val="00310DF8"/>
    <w:rsid w:val="00343971"/>
    <w:rsid w:val="003740E8"/>
    <w:rsid w:val="003763A3"/>
    <w:rsid w:val="003A1F48"/>
    <w:rsid w:val="003C6D88"/>
    <w:rsid w:val="00482DA5"/>
    <w:rsid w:val="00493031"/>
    <w:rsid w:val="004D0D33"/>
    <w:rsid w:val="004F676F"/>
    <w:rsid w:val="00501E47"/>
    <w:rsid w:val="00502204"/>
    <w:rsid w:val="00513F35"/>
    <w:rsid w:val="00567234"/>
    <w:rsid w:val="00604B0E"/>
    <w:rsid w:val="0062481A"/>
    <w:rsid w:val="0066622A"/>
    <w:rsid w:val="00671FB6"/>
    <w:rsid w:val="006759A7"/>
    <w:rsid w:val="006F076D"/>
    <w:rsid w:val="007179A7"/>
    <w:rsid w:val="00722A49"/>
    <w:rsid w:val="00762E5E"/>
    <w:rsid w:val="007732C5"/>
    <w:rsid w:val="007805DD"/>
    <w:rsid w:val="007829F6"/>
    <w:rsid w:val="00791ABA"/>
    <w:rsid w:val="007B162F"/>
    <w:rsid w:val="007B5A4E"/>
    <w:rsid w:val="007C3F41"/>
    <w:rsid w:val="007E0F60"/>
    <w:rsid w:val="0080636E"/>
    <w:rsid w:val="008249C6"/>
    <w:rsid w:val="00853AFA"/>
    <w:rsid w:val="00862D62"/>
    <w:rsid w:val="00876C33"/>
    <w:rsid w:val="0088709D"/>
    <w:rsid w:val="008C0B68"/>
    <w:rsid w:val="0095781F"/>
    <w:rsid w:val="009D564F"/>
    <w:rsid w:val="009F796C"/>
    <w:rsid w:val="00A02156"/>
    <w:rsid w:val="00A10666"/>
    <w:rsid w:val="00A31FC7"/>
    <w:rsid w:val="00A61B6A"/>
    <w:rsid w:val="00AC0580"/>
    <w:rsid w:val="00AD7B78"/>
    <w:rsid w:val="00AF585B"/>
    <w:rsid w:val="00B07197"/>
    <w:rsid w:val="00B454AC"/>
    <w:rsid w:val="00B61A16"/>
    <w:rsid w:val="00B633D8"/>
    <w:rsid w:val="00BA70A3"/>
    <w:rsid w:val="00BB7240"/>
    <w:rsid w:val="00C127ED"/>
    <w:rsid w:val="00C51B2D"/>
    <w:rsid w:val="00C85D0F"/>
    <w:rsid w:val="00C968E8"/>
    <w:rsid w:val="00CE1655"/>
    <w:rsid w:val="00D51DAB"/>
    <w:rsid w:val="00D557EB"/>
    <w:rsid w:val="00D6173A"/>
    <w:rsid w:val="00D77EF1"/>
    <w:rsid w:val="00D92A83"/>
    <w:rsid w:val="00DB0EE7"/>
    <w:rsid w:val="00E148FC"/>
    <w:rsid w:val="00E1550F"/>
    <w:rsid w:val="00E2452A"/>
    <w:rsid w:val="00E2789F"/>
    <w:rsid w:val="00E3557F"/>
    <w:rsid w:val="00E56898"/>
    <w:rsid w:val="00E6385C"/>
    <w:rsid w:val="00E71F4C"/>
    <w:rsid w:val="00E771D1"/>
    <w:rsid w:val="00EE1A53"/>
    <w:rsid w:val="00EF7F3F"/>
    <w:rsid w:val="00F22C57"/>
    <w:rsid w:val="00F6116C"/>
    <w:rsid w:val="00F70D50"/>
    <w:rsid w:val="00F84B4D"/>
    <w:rsid w:val="00F96EAB"/>
    <w:rsid w:val="00FC705F"/>
    <w:rsid w:val="00FC778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D9EEBC-6BD0-422C-AEDD-2D9F189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basedOn w:val="DefaultParagraphFont"/>
    <w:rPr>
      <w:rFonts w:ascii="Arial" w:hAnsi="Arial" w:cs="Arial"/>
      <w:noProof/>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762E5E"/>
    <w:pPr>
      <w:tabs>
        <w:tab w:val="center" w:pos="4513"/>
        <w:tab w:val="right" w:pos="9026"/>
      </w:tabs>
    </w:pPr>
  </w:style>
  <w:style w:type="character" w:customStyle="1" w:styleId="FooterChar">
    <w:name w:val="Footer Char"/>
    <w:basedOn w:val="DefaultParagraphFont"/>
    <w:link w:val="Footer"/>
    <w:semiHidden/>
    <w:rsid w:val="00762E5E"/>
    <w:rPr>
      <w:sz w:val="24"/>
    </w:rPr>
  </w:style>
  <w:style w:type="paragraph" w:styleId="BalloonText">
    <w:name w:val="Balloon Text"/>
    <w:basedOn w:val="Normal"/>
    <w:link w:val="BalloonTextChar"/>
    <w:semiHidden/>
    <w:unhideWhenUsed/>
    <w:rsid w:val="00AD7B78"/>
    <w:rPr>
      <w:rFonts w:ascii="Segoe UI" w:hAnsi="Segoe UI" w:cs="Segoe UI"/>
      <w:sz w:val="18"/>
      <w:szCs w:val="18"/>
    </w:rPr>
  </w:style>
  <w:style w:type="character" w:customStyle="1" w:styleId="BalloonTextChar">
    <w:name w:val="Balloon Text Char"/>
    <w:basedOn w:val="DefaultParagraphFont"/>
    <w:link w:val="BalloonText"/>
    <w:semiHidden/>
    <w:rsid w:val="00AD7B78"/>
    <w:rPr>
      <w:rFonts w:ascii="Segoe UI" w:hAnsi="Segoe UI" w:cs="Segoe UI"/>
      <w:sz w:val="18"/>
      <w:szCs w:val="18"/>
    </w:rPr>
  </w:style>
  <w:style w:type="character" w:styleId="CommentReference">
    <w:name w:val="annotation reference"/>
    <w:basedOn w:val="DefaultParagraphFont"/>
    <w:rsid w:val="00E1550F"/>
    <w:rPr>
      <w:sz w:val="16"/>
      <w:szCs w:val="16"/>
    </w:rPr>
  </w:style>
  <w:style w:type="paragraph" w:styleId="CommentText">
    <w:name w:val="annotation text"/>
    <w:basedOn w:val="Normal"/>
    <w:link w:val="CommentTextChar"/>
    <w:rsid w:val="00E1550F"/>
    <w:rPr>
      <w:sz w:val="20"/>
    </w:rPr>
  </w:style>
  <w:style w:type="character" w:customStyle="1" w:styleId="CommentTextChar">
    <w:name w:val="Comment Text Char"/>
    <w:basedOn w:val="DefaultParagraphFont"/>
    <w:link w:val="CommentText"/>
    <w:rsid w:val="00E1550F"/>
  </w:style>
  <w:style w:type="paragraph" w:styleId="CommentSubject">
    <w:name w:val="annotation subject"/>
    <w:basedOn w:val="CommentText"/>
    <w:next w:val="CommentText"/>
    <w:link w:val="CommentSubjectChar"/>
    <w:semiHidden/>
    <w:unhideWhenUsed/>
    <w:rsid w:val="00E1550F"/>
    <w:rPr>
      <w:b/>
      <w:bCs/>
    </w:rPr>
  </w:style>
  <w:style w:type="character" w:customStyle="1" w:styleId="CommentSubjectChar">
    <w:name w:val="Comment Subject Char"/>
    <w:basedOn w:val="CommentTextChar"/>
    <w:link w:val="CommentSubject"/>
    <w:semiHidden/>
    <w:rsid w:val="00E1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FF0-BE24-407B-B36E-3B2036C5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11347</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creator>BROCCA Monica</dc:creator>
  <cp:lastModifiedBy>JIMENEZ MORALES Ana Maria</cp:lastModifiedBy>
  <cp:revision>2</cp:revision>
  <cp:lastPrinted>2021-01-28T13:45:00Z</cp:lastPrinted>
  <dcterms:created xsi:type="dcterms:W3CDTF">2021-02-09T11:21:00Z</dcterms:created>
  <dcterms:modified xsi:type="dcterms:W3CDTF">2021-02-09T11:21:00Z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1223656</vt:lpwstr>
  </property>
  <property fmtid="{D5CDD505-2E9C-101B-9397-08002B2CF9AE}" pid="4" name="&lt;Model&gt;">
    <vt:lpwstr>AL_Com</vt:lpwstr>
  </property>
  <property fmtid="{D5CDD505-2E9C-101B-9397-08002B2CF9AE}" pid="5" name="&lt;ModelCod&gt;">
    <vt:lpwstr>\\eiciLUXpr1\pdocep$\DocEP\DOCS\General\AL\AL_Com.dotx(17/04/2020 18:25:04)</vt:lpwstr>
  </property>
  <property fmtid="{D5CDD505-2E9C-101B-9397-08002B2CF9AE}" pid="6" name="&lt;ModelTra&gt;">
    <vt:lpwstr>\\eiciLUXpr1\pdocep$\DocEP\TRANSFIL\EN\AL_Com.EN(02/07/2020 15:25:00)</vt:lpwstr>
  </property>
  <property fmtid="{D5CDD505-2E9C-101B-9397-08002B2CF9AE}" pid="7" name="&lt;Type&gt;">
    <vt:lpwstr>AL</vt:lpwstr>
  </property>
  <property fmtid="{D5CDD505-2E9C-101B-9397-08002B2CF9AE}" pid="8" name="Bookout">
    <vt:lpwstr>OK - 2021/02/09 12:21</vt:lpwstr>
  </property>
  <property fmtid="{D5CDD505-2E9C-101B-9397-08002B2CF9AE}" pid="9" name="Created with">
    <vt:lpwstr>9.9.1 Build [20200705]</vt:lpwstr>
  </property>
  <property fmtid="{D5CDD505-2E9C-101B-9397-08002B2CF9AE}" pid="10" name="FooterPath">
    <vt:lpwstr>AL\1223656ES.docx</vt:lpwstr>
  </property>
  <property fmtid="{D5CDD505-2E9C-101B-9397-08002B2CF9AE}" pid="11" name="LastEdited with">
    <vt:lpwstr>9.9.1 Build [20200705]</vt:lpwstr>
  </property>
  <property fmtid="{D5CDD505-2E9C-101B-9397-08002B2CF9AE}" pid="12" name="PE number">
    <vt:lpwstr>680.745</vt:lpwstr>
  </property>
  <property fmtid="{D5CDD505-2E9C-101B-9397-08002B2CF9AE}" pid="13" name="SDLStudio">
    <vt:lpwstr/>
  </property>
  <property fmtid="{D5CDD505-2E9C-101B-9397-08002B2CF9AE}" pid="14" name="SendToEpades">
    <vt:lpwstr>OK - 2021/02/01 11:05</vt:lpwstr>
  </property>
</Properties>
</file>