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European Parliament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6945"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{ITRE}</w:t>
      </w:r>
      <w:r>
        <w:t>Committee on Industry, Research and Energy</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2019/0152</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376 - 409</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report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Maria da Graça Carvalho</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PE641.138v02-00</w:t>
      </w:r>
      <w:r>
        <w:t>)</w:t>
      </w:r>
      <w:r>
        <w:rPr>
          <w:rStyle w:val="HideTWBExt"/>
        </w:rPr>
        <w:t>&lt;/</w:t>
      </w:r>
      <w:r>
        <w:rPr>
          <w:rStyle w:val="HideTWBExt"/>
        </w:rPr>
        <w:t>DocRefPE</w:t>
      </w:r>
      <w:r>
        <w:rPr>
          <w:rStyle w:val="HideTWBExt"/>
        </w:rPr>
        <w:t>&gt;</w:t>
      </w:r>
    </w:p>
    <w:p>
      <w:pPr>
        <w:pStyle w:val="CoverNormal24a"/>
      </w:pPr>
      <w:r>
        <w:rPr>
          <w:rStyle w:val="HideTWBExt"/>
        </w:rPr>
        <w:t>&lt;</w:t>
      </w:r>
      <w:r>
        <w:rPr>
          <w:rStyle w:val="HideTWBExt"/>
        </w:rPr>
        <w:t>Titre</w:t>
      </w:r>
      <w:r>
        <w:rPr>
          <w:rStyle w:val="HideTWBExt"/>
        </w:rPr>
        <w:t>&gt;</w:t>
      </w:r>
      <w:r>
        <w:t>Strategic Innovation Agenda of the European Institute of Innovation and Technology (EIT) 2021-2027: Boosting the Innovation Talent and Capacity of Europe</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CoverNormal24a"/>
      </w:pPr>
      <w:r>
        <w:rPr>
          <w:rStyle w:val="HideTWBExt"/>
        </w:rPr>
        <w:t>&lt;</w:t>
      </w:r>
      <w:r>
        <w:rPr>
          <w:rStyle w:val="HideTWBExt"/>
        </w:rPr>
        <w:t>DocRef</w:t>
      </w:r>
      <w:r>
        <w:rPr>
          <w:rStyle w:val="HideTWBExt"/>
        </w:rPr>
        <w:t>&gt;</w:t>
      </w:r>
      <w:r>
        <w:t>(</w:t>
      </w:r>
      <w:r>
        <w:t>COM(2019)0330</w:t>
      </w:r>
      <w:r>
        <w:t xml:space="preserve"> – </w:t>
      </w:r>
      <w:r>
        <w:t>C9-0043/2019</w:t>
      </w:r>
      <w:r>
        <w:t xml:space="preserve"> – </w:t>
      </w:r>
      <w:r>
        <w:t>2019/0152(COD)</w:t>
      </w:r>
      <w:r>
        <w:t>)</w:t>
      </w:r>
      <w:r>
        <w:rPr>
          <w:rStyle w:val="HideTWBExt"/>
        </w:rPr>
        <w:t>&lt;/</w:t>
      </w:r>
      <w:r>
        <w:rPr>
          <w:rStyle w:val="HideTWBExt"/>
        </w:rPr>
        <w:t>DocRef</w:t>
      </w:r>
      <w:r>
        <w:rPr>
          <w:rStyle w:val="HideTWBExt"/>
        </w:rPr>
        <w:t>&gt;</w:t>
      </w:r>
    </w:p>
    <w:p>
      <w:r>
        <w:br w:type="page"/>
      </w:r>
      <w:r>
        <w:t>AM_Com_LegReport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5 – paragraph 1 – point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Cultural and Creative </w:t>
            </w:r>
            <w:r>
              <w:rPr>
                <w:rFonts w:ascii="Times New Roman" w:eastAsia="Times New Roman" w:hAnsi="Times New Roman" w:cs="Times New Roman"/>
                <w:b/>
                <w:i/>
                <w:strike w:val="0"/>
                <w:color w:val="auto"/>
                <w:sz w:val="24"/>
                <w:highlight w:val="none"/>
                <w:u w:val="none" w:color="auto"/>
                <w:vertAlign w:val="baseline"/>
              </w:rPr>
              <w:t>Industries</w:t>
            </w:r>
          </w:p>
        </w:tc>
        <w:tc>
          <w:tcPr>
            <w:tcW w:w="4876" w:type="dxa"/>
            <w:vAlign w:val="top"/>
          </w:tcPr>
          <w:p>
            <w:pPr>
              <w:pStyle w:val="Normal6a"/>
            </w:pPr>
            <w:r>
              <w:t>1.</w:t>
            </w:r>
            <w:r>
              <w:tab/>
            </w:r>
            <w:r>
              <w:t xml:space="preserve">Cultural and Creative </w:t>
            </w:r>
            <w:r>
              <w:rPr>
                <w:rFonts w:ascii="Times New Roman" w:eastAsia="Times New Roman" w:hAnsi="Times New Roman" w:cs="Times New Roman"/>
                <w:b/>
                <w:i/>
                <w:strike w:val="0"/>
                <w:color w:val="auto"/>
                <w:sz w:val="24"/>
                <w:highlight w:val="none"/>
                <w:u w:val="none" w:color="auto"/>
                <w:vertAlign w:val="baseline"/>
              </w:rPr>
              <w:t>Sectors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Just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AmJustText"/>
      </w:pPr>
      <w:r>
        <w:t>This amendment should be applied throughout the text replacing "Cultural and Creative Industries"/ "CCI"  by "Cultural and Creative Sectors"/ "CCS"</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5 – paragraph 1 – point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Cultural and Creative </w:t>
            </w:r>
            <w:r>
              <w:rPr>
                <w:rFonts w:ascii="Times New Roman" w:eastAsia="Times New Roman" w:hAnsi="Times New Roman" w:cs="Times New Roman"/>
                <w:b/>
                <w:i/>
                <w:strike w:val="0"/>
                <w:color w:val="auto"/>
                <w:sz w:val="24"/>
                <w:highlight w:val="none"/>
                <w:u w:val="none" w:color="auto"/>
                <w:vertAlign w:val="baseline"/>
              </w:rPr>
              <w:t>Industries</w:t>
            </w:r>
          </w:p>
        </w:tc>
        <w:tc>
          <w:tcPr>
            <w:tcW w:w="4876" w:type="dxa"/>
            <w:vAlign w:val="top"/>
          </w:tcPr>
          <w:p>
            <w:pPr>
              <w:pStyle w:val="Normal6a"/>
            </w:pPr>
            <w:r>
              <w:t>1.</w:t>
            </w:r>
            <w:r>
              <w:tab/>
            </w:r>
            <w:r>
              <w:t xml:space="preserve">Cultural and Creative </w:t>
            </w:r>
            <w:r>
              <w:rPr>
                <w:rFonts w:ascii="Times New Roman" w:eastAsia="Times New Roman" w:hAnsi="Times New Roman" w:cs="Times New Roman"/>
                <w:b/>
                <w:i/>
                <w:strike w:val="0"/>
                <w:color w:val="auto"/>
                <w:sz w:val="24"/>
                <w:highlight w:val="none"/>
                <w:u w:val="none" w:color="auto"/>
                <w:vertAlign w:val="baseline"/>
              </w:rPr>
              <w:t>Sectors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Factsheet on the Knowledge and Innovation Community “Cultural and Creative </w:t>
            </w:r>
            <w:r>
              <w:rPr>
                <w:rFonts w:ascii="Times New Roman" w:eastAsia="Times New Roman" w:hAnsi="Times New Roman" w:cs="Times New Roman"/>
                <w:b/>
                <w:i/>
                <w:strike w:val="0"/>
                <w:color w:val="auto"/>
                <w:sz w:val="24"/>
                <w:highlight w:val="none"/>
                <w:u w:val="none" w:color="auto"/>
                <w:vertAlign w:val="baseline"/>
              </w:rPr>
              <w:t>Industries</w:t>
            </w:r>
            <w:r>
              <w:t>”</w:t>
            </w:r>
          </w:p>
        </w:tc>
        <w:tc>
          <w:tcPr>
            <w:tcW w:w="4876" w:type="dxa"/>
            <w:vAlign w:val="top"/>
          </w:tcPr>
          <w:p>
            <w:pPr>
              <w:pStyle w:val="Normal6a"/>
            </w:pPr>
            <w:r>
              <w:t xml:space="preserve">Factsheet on the Knowledge and Innovation Community “Cultural and Creative </w:t>
            </w:r>
            <w:r>
              <w:rPr>
                <w:rFonts w:ascii="Times New Roman" w:eastAsia="Times New Roman" w:hAnsi="Times New Roman" w:cs="Times New Roman"/>
                <w:b/>
                <w:i/>
                <w:strike w:val="0"/>
                <w:color w:val="auto"/>
                <w:sz w:val="24"/>
                <w:highlight w:val="none"/>
                <w:u w:val="none" w:color="auto"/>
                <w:vertAlign w:val="baseline"/>
              </w:rPr>
              <w:t>Sectors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t xml:space="preserve">, </w:t>
      </w:r>
      <w:r>
        <w:t>Patrizia Toia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Cultural and Creative </w:t>
            </w:r>
            <w:r>
              <w:rPr>
                <w:rFonts w:ascii="Times New Roman" w:eastAsia="Times New Roman" w:hAnsi="Times New Roman" w:cs="Times New Roman"/>
                <w:b/>
                <w:i/>
                <w:strike w:val="0"/>
                <w:color w:val="auto"/>
                <w:sz w:val="24"/>
                <w:highlight w:val="none"/>
                <w:u w:val="none" w:color="auto"/>
                <w:vertAlign w:val="baseline"/>
              </w:rPr>
              <w:t>Industries (CCI</w:t>
            </w:r>
            <w:r>
              <w:t>) can bring a horizontal solution to an array of rising challenges, which are of a permanent nature, and can be addressed through research and innovation activities. These challenges can be grouped into four pillars: 1) Europeans' creativity, cultural diversity and values; 2) European identity and cohesion; 3) European employment, economic resilience, and smart growth; and 4) Europe as a global actor.</w:t>
            </w:r>
          </w:p>
        </w:tc>
        <w:tc>
          <w:tcPr>
            <w:tcW w:w="4876" w:type="dxa"/>
            <w:vAlign w:val="top"/>
          </w:tcPr>
          <w:p>
            <w:pPr>
              <w:pStyle w:val="Normal6a"/>
            </w:pPr>
            <w:r>
              <w:t xml:space="preserve">Cultural and Creative </w:t>
            </w:r>
            <w:r>
              <w:rPr>
                <w:rFonts w:ascii="Times New Roman" w:eastAsia="Times New Roman" w:hAnsi="Times New Roman" w:cs="Times New Roman"/>
                <w:b/>
                <w:i/>
                <w:strike w:val="0"/>
                <w:color w:val="auto"/>
                <w:sz w:val="24"/>
                <w:highlight w:val="none"/>
                <w:u w:val="none" w:color="auto"/>
                <w:vertAlign w:val="baseline"/>
              </w:rPr>
              <w:t>Sectors (CCS</w:t>
            </w:r>
            <w:r>
              <w:t>)</w:t>
            </w:r>
            <w:r>
              <w:rPr>
                <w:rStyle w:val="SupBoldItalic"/>
              </w:rPr>
              <w:t>1a</w:t>
            </w:r>
            <w:r>
              <w:t xml:space="preserve"> can bring a horizontal solution to an array of rising challenges, which are of a permanent nature, and can be addressed through </w:t>
            </w:r>
            <w:r>
              <w:rPr>
                <w:rFonts w:ascii="Times New Roman" w:eastAsia="Times New Roman" w:hAnsi="Times New Roman" w:cs="Times New Roman"/>
                <w:b/>
                <w:i/>
                <w:strike w:val="0"/>
                <w:color w:val="auto"/>
                <w:sz w:val="24"/>
                <w:highlight w:val="none"/>
                <w:u w:val="none" w:color="auto"/>
                <w:vertAlign w:val="baseline"/>
              </w:rPr>
              <w:t>education,</w:t>
            </w:r>
            <w:r>
              <w:t xml:space="preserve"> research and innovation activities. These challenges can be grouped into four pillars: 1) Europeans' creativity, cultural diversity and values; 2) European identity and cohesion; 3) European employment, economic resilience, and smart growth; and 4) Europe as a global actor.</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1a</w:t>
            </w:r>
            <w:r>
              <w:t xml:space="preserve"> </w:t>
            </w:r>
            <w:r>
              <w:rPr>
                <w:rFonts w:ascii="Times New Roman" w:eastAsia="Times New Roman" w:hAnsi="Times New Roman" w:cs="Times New Roman"/>
                <w:b/>
                <w:i/>
                <w:strike w:val="0"/>
                <w:color w:val="auto"/>
                <w:sz w:val="24"/>
                <w:highlight w:val="none"/>
                <w:u w:val="none" w:color="auto"/>
                <w:vertAlign w:val="baseline"/>
              </w:rPr>
              <w:t>The cultural and creative sectors include all sectors whose activities are based on cultural values and/or artistic and other creative expressions, whether those activities are market- or non-market-oriented, regardless of the type of structure that carries them out, and irrespective of how that structure is financed. Those activities include the development, the creation, the production, the dissemination and the preservation of goods and services which embody cultural, artistic and/or other creative expressions, as well as related functions such as education and management. The cultural and creative sectors include, inter alia, architecture, archives, libraries and museums, artistic crafts, audiovisual (including film, television, video games and multimedia), tangible and intangible cultural heritage, design, festivals, music, literature, performing arts, publishing, radio and visual arts. Regulation 1295/2013 of 11 December 2013 establishing the Creative Europe Programme (2014 to 2020), Article 2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Ivars Ijabs</w:t>
      </w:r>
      <w:r>
        <w:t xml:space="preserve">, </w:t>
      </w:r>
      <w:r>
        <w:t>Susana Solís Pérez</w:t>
      </w:r>
      <w:r>
        <w:t xml:space="preserve">, </w:t>
      </w:r>
      <w:r>
        <w:t>Izaskun Bilbao Barandica</w:t>
      </w:r>
      <w:r>
        <w:t xml:space="preserve">, </w:t>
      </w:r>
      <w:r>
        <w:t>Klemen Grošelj</w:t>
      </w:r>
      <w:r>
        <w:t xml:space="preserve">, </w:t>
      </w:r>
      <w:r>
        <w:t>Dragoș Pîslaru</w:t>
      </w:r>
      <w:r>
        <w:t xml:space="preserve">, </w:t>
      </w:r>
      <w:r>
        <w:t>Nils Torvalds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Cultural and Creative Industries (CCI) can bring a horizontal solution to an array of rising challenges, which are of a permanent nature, and can be addressed through research and innovation activities. These challenges can be grouped into four pillars: 1) Europeans' creativity, cultural diversity and values; 2) European identity and cohesion; 3) European employment, economic resilience, and smart growth; and 4) Europe as a global actor.</w:t>
            </w:r>
          </w:p>
        </w:tc>
        <w:tc>
          <w:tcPr>
            <w:tcW w:w="4876" w:type="dxa"/>
            <w:vAlign w:val="top"/>
          </w:tcPr>
          <w:p>
            <w:pPr>
              <w:pStyle w:val="Normal6a"/>
            </w:pPr>
            <w:r>
              <w:t xml:space="preserve">Cultural and Creative Industries (CCI) can bring a horizontal solution to an array of rising challenges, which are of a permanent nature, and can be addressed through research and innovation activities. These challenges can be grouped into four pillars: 1) Europeans' creativity, cultural </w:t>
            </w:r>
            <w:r>
              <w:rPr>
                <w:rFonts w:ascii="Times New Roman" w:eastAsia="Times New Roman" w:hAnsi="Times New Roman" w:cs="Times New Roman"/>
                <w:b/>
                <w:i/>
                <w:strike w:val="0"/>
                <w:color w:val="auto"/>
                <w:sz w:val="24"/>
                <w:highlight w:val="none"/>
                <w:u w:val="none" w:color="auto"/>
                <w:vertAlign w:val="baseline"/>
              </w:rPr>
              <w:t>and linguistic</w:t>
            </w:r>
            <w:r>
              <w:t xml:space="preserve"> diversity and values; 2) European identity and cohesion; 3) European employment, economic resilience, and smart growth; and 4) Europe as a global actor.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Elena Lizzi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Cultural and Creative Industries (CCI) can bring a horizontal solution to an array of rising challenges, which are of a permanent nature, and can be addressed through research and innovation activities. These challenges can be grouped into four pillars: 1) Europeans' creativity</w:t>
            </w:r>
            <w:r>
              <w:rPr>
                <w:rFonts w:ascii="Times New Roman" w:eastAsia="Times New Roman" w:hAnsi="Times New Roman" w:cs="Times New Roman"/>
                <w:b/>
                <w:i/>
                <w:strike w:val="0"/>
                <w:color w:val="auto"/>
                <w:sz w:val="24"/>
                <w:highlight w:val="none"/>
                <w:u w:val="none" w:color="auto"/>
                <w:vertAlign w:val="baseline"/>
              </w:rPr>
              <w:t>, cultural diversity and values</w:t>
            </w:r>
            <w:r>
              <w:t xml:space="preserve">; 2) European </w:t>
            </w:r>
            <w:r>
              <w:rPr>
                <w:rFonts w:ascii="Times New Roman" w:eastAsia="Times New Roman" w:hAnsi="Times New Roman" w:cs="Times New Roman"/>
                <w:b/>
                <w:i/>
                <w:strike w:val="0"/>
                <w:color w:val="auto"/>
                <w:sz w:val="24"/>
                <w:highlight w:val="none"/>
                <w:u w:val="none" w:color="auto"/>
                <w:vertAlign w:val="baseline"/>
              </w:rPr>
              <w:t>identity and</w:t>
            </w:r>
            <w:r>
              <w:t xml:space="preserve"> cohesion; 3) European employment, economic resilience, and smart growth; and 4) Europe as a global actor.</w:t>
            </w:r>
          </w:p>
        </w:tc>
        <w:tc>
          <w:tcPr>
            <w:tcW w:w="4876" w:type="dxa"/>
            <w:vAlign w:val="top"/>
          </w:tcPr>
          <w:p>
            <w:pPr>
              <w:pStyle w:val="Normal6a"/>
            </w:pPr>
            <w:r>
              <w:t>Cultural and Creative Industries (CCI) can bring a horizontal solution to an array of rising challenges, which are of a permanent nature, and can be addressed through research and innovation activities. These challenges can be grouped into four pillars: 1) Europeans' creativity; 2) European cohesion; 3) European employment, economic resilience, and smart growth; and 4) Europe as a global actor.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Europeans’ creativity and cultural diversity depends on resilient and robust cultural and creative sectors. However those sectors, notably the audio-visual </w:t>
            </w:r>
            <w:r>
              <w:rPr>
                <w:rFonts w:ascii="Times New Roman" w:eastAsia="Times New Roman" w:hAnsi="Times New Roman" w:cs="Times New Roman"/>
                <w:b/>
                <w:i/>
                <w:strike w:val="0"/>
                <w:color w:val="auto"/>
                <w:sz w:val="24"/>
                <w:highlight w:val="none"/>
                <w:u w:val="none" w:color="auto"/>
                <w:vertAlign w:val="baseline"/>
              </w:rPr>
              <w:t>or</w:t>
            </w:r>
            <w:r>
              <w:t xml:space="preserve"> music sector, are facing a number of challenges as a result of the increased competition from global players and the digital shift.</w:t>
            </w:r>
          </w:p>
        </w:tc>
        <w:tc>
          <w:tcPr>
            <w:tcW w:w="4876" w:type="dxa"/>
            <w:vAlign w:val="top"/>
          </w:tcPr>
          <w:p>
            <w:pPr>
              <w:pStyle w:val="Normal6a"/>
            </w:pPr>
            <w:r>
              <w:t>Europeans’ creativity and cultural diversity depends on resilient and robust cultural and creative sectors</w:t>
            </w:r>
            <w:r>
              <w:rPr>
                <w:rFonts w:ascii="Times New Roman" w:eastAsia="Times New Roman" w:hAnsi="Times New Roman" w:cs="Times New Roman"/>
                <w:b/>
                <w:i/>
                <w:strike w:val="0"/>
                <w:color w:val="auto"/>
                <w:sz w:val="24"/>
                <w:highlight w:val="none"/>
                <w:u w:val="none" w:color="auto"/>
                <w:vertAlign w:val="baseline"/>
              </w:rPr>
              <w:t>, particularly creators who are the backbone of the CCS</w:t>
            </w:r>
            <w:r>
              <w:t xml:space="preserve">. However those sectors, notably the audio-visual </w:t>
            </w:r>
            <w:r>
              <w:rPr>
                <w:rFonts w:ascii="Times New Roman" w:eastAsia="Times New Roman" w:hAnsi="Times New Roman" w:cs="Times New Roman"/>
                <w:b/>
                <w:i/>
                <w:strike w:val="0"/>
                <w:color w:val="auto"/>
                <w:sz w:val="24"/>
                <w:highlight w:val="none"/>
                <w:u w:val="none" w:color="auto"/>
                <w:vertAlign w:val="baseline"/>
              </w:rPr>
              <w:t>and</w:t>
            </w:r>
            <w:r>
              <w:t xml:space="preserve"> music sector, are facing a number of challenges as a result of the increased competition from global players and the digital shift.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Ivars Ijabs</w:t>
      </w:r>
      <w:r>
        <w:t xml:space="preserve">, </w:t>
      </w:r>
      <w:r>
        <w:t>Susana Solís Pérez</w:t>
      </w:r>
      <w:r>
        <w:t xml:space="preserve">, </w:t>
      </w:r>
      <w:r>
        <w:t>Izaskun Bilbao Barandica</w:t>
      </w:r>
      <w:r>
        <w:t xml:space="preserve">, </w:t>
      </w:r>
      <w:r>
        <w:t>Klemen Grošelj</w:t>
      </w:r>
      <w:r>
        <w:t xml:space="preserve">, </w:t>
      </w:r>
      <w:r>
        <w:t>Dragoș Pîslaru</w:t>
      </w:r>
      <w:r>
        <w:t xml:space="preserve">, </w:t>
      </w:r>
      <w:r>
        <w:t>Nils Torvalds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Europeans’ creativity and cultural diversity depends on resilient and robust cultural and creative sectors. However those sectors, notably the audio-visual or music sector, are facing a number of challenges as a result of the increased competition from global players and the digital shift.</w:t>
            </w:r>
          </w:p>
        </w:tc>
        <w:tc>
          <w:tcPr>
            <w:tcW w:w="4876" w:type="dxa"/>
            <w:vAlign w:val="top"/>
          </w:tcPr>
          <w:p>
            <w:pPr>
              <w:pStyle w:val="Normal6a"/>
            </w:pPr>
            <w:r>
              <w:t xml:space="preserve">Europeans’ creativity and cultural </w:t>
            </w:r>
            <w:r>
              <w:rPr>
                <w:rFonts w:ascii="Times New Roman" w:eastAsia="Times New Roman" w:hAnsi="Times New Roman" w:cs="Times New Roman"/>
                <w:b/>
                <w:i/>
                <w:strike w:val="0"/>
                <w:color w:val="auto"/>
                <w:sz w:val="24"/>
                <w:highlight w:val="none"/>
                <w:u w:val="none" w:color="auto"/>
                <w:vertAlign w:val="baseline"/>
              </w:rPr>
              <w:t>and linguistic</w:t>
            </w:r>
            <w:r>
              <w:t xml:space="preserve"> diversity depends on resilient and robust cultural and creative sectors. However those sectors, notably the audio-visual or music sector, are facing a number of challenges as a result of the increased competition from global players and the digital shift.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Elena Lizzi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2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Europeans’ creativity </w:t>
            </w:r>
            <w:r>
              <w:rPr>
                <w:rFonts w:ascii="Times New Roman" w:eastAsia="Times New Roman" w:hAnsi="Times New Roman" w:cs="Times New Roman"/>
                <w:b/>
                <w:i/>
                <w:strike w:val="0"/>
                <w:color w:val="auto"/>
                <w:sz w:val="24"/>
                <w:highlight w:val="none"/>
                <w:u w:val="none" w:color="auto"/>
                <w:vertAlign w:val="baseline"/>
              </w:rPr>
              <w:t>and cultural diversity</w:t>
            </w:r>
            <w:r>
              <w:t xml:space="preserve"> depends on resilient and robust cultural and creative sectors. However those sectors, notably the audio-visual or music sector, are facing a number of challenges as a result of the increased competition from global players and the digital shift.</w:t>
            </w:r>
          </w:p>
        </w:tc>
        <w:tc>
          <w:tcPr>
            <w:tcW w:w="4876" w:type="dxa"/>
            <w:vAlign w:val="top"/>
          </w:tcPr>
          <w:p>
            <w:pPr>
              <w:pStyle w:val="Normal6a"/>
            </w:pPr>
            <w:r>
              <w:t>Europeans’ creativity depends on resilient and robust cultural and creative sectors. However those sectors, notably the audio-visual or music sector, are facing a number of challenges as a result of the increased competition from global players and the digital shift.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2 – indent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Producers, distributors, broadcasters, cinema theatres and all types of cultural organizations need to innovate in order to attract new </w:t>
            </w:r>
            <w:r>
              <w:rPr>
                <w:rFonts w:ascii="Times New Roman" w:eastAsia="Times New Roman" w:hAnsi="Times New Roman" w:cs="Times New Roman"/>
                <w:b/>
                <w:i/>
                <w:strike w:val="0"/>
                <w:color w:val="auto"/>
                <w:sz w:val="24"/>
                <w:highlight w:val="none"/>
                <w:u w:val="none" w:color="auto"/>
                <w:vertAlign w:val="baseline"/>
              </w:rPr>
              <w:t>generations of</w:t>
            </w:r>
            <w:r>
              <w:t xml:space="preserve"> audiences.</w:t>
            </w:r>
          </w:p>
        </w:tc>
        <w:tc>
          <w:tcPr>
            <w:tcW w:w="4876" w:type="dxa"/>
            <w:vAlign w:val="top"/>
          </w:tcPr>
          <w:p>
            <w:pPr>
              <w:pStyle w:val="Normal6a"/>
            </w:pPr>
            <w:r>
              <w:t>—</w:t>
            </w:r>
            <w:r>
              <w:tab/>
            </w:r>
            <w:r>
              <w:t>Producers</w:t>
            </w:r>
            <w:r>
              <w:rPr>
                <w:rFonts w:ascii="Times New Roman" w:eastAsia="Times New Roman" w:hAnsi="Times New Roman" w:cs="Times New Roman"/>
                <w:b/>
                <w:i/>
                <w:strike w:val="0"/>
                <w:color w:val="auto"/>
                <w:sz w:val="24"/>
                <w:highlight w:val="none"/>
                <w:u w:val="none" w:color="auto"/>
                <w:vertAlign w:val="baseline"/>
              </w:rPr>
              <w:t>, creators</w:t>
            </w:r>
            <w:r>
              <w:t xml:space="preserve">, distributors, broadcasters, cinema theatres and all types of cultural organizations </w:t>
            </w:r>
            <w:r>
              <w:rPr>
                <w:rFonts w:ascii="Times New Roman" w:eastAsia="Times New Roman" w:hAnsi="Times New Roman" w:cs="Times New Roman"/>
                <w:b/>
                <w:i/>
                <w:strike w:val="0"/>
                <w:color w:val="auto"/>
                <w:sz w:val="24"/>
                <w:highlight w:val="none"/>
                <w:u w:val="none" w:color="auto"/>
                <w:vertAlign w:val="baseline"/>
              </w:rPr>
              <w:t>and businesses</w:t>
            </w:r>
            <w:r>
              <w:t xml:space="preserve"> need to innovate in order to attract </w:t>
            </w:r>
            <w:r>
              <w:rPr>
                <w:rFonts w:ascii="Times New Roman" w:eastAsia="Times New Roman" w:hAnsi="Times New Roman" w:cs="Times New Roman"/>
                <w:b/>
                <w:i/>
                <w:strike w:val="0"/>
                <w:color w:val="auto"/>
                <w:sz w:val="24"/>
                <w:highlight w:val="none"/>
                <w:u w:val="none" w:color="auto"/>
                <w:vertAlign w:val="baseline"/>
              </w:rPr>
              <w:t>and expand their</w:t>
            </w:r>
            <w:r>
              <w:t xml:space="preserve"> new audiences </w:t>
            </w:r>
            <w:r>
              <w:rPr>
                <w:rFonts w:ascii="Times New Roman" w:eastAsia="Times New Roman" w:hAnsi="Times New Roman" w:cs="Times New Roman"/>
                <w:b/>
                <w:i/>
                <w:strike w:val="0"/>
                <w:color w:val="auto"/>
                <w:sz w:val="24"/>
                <w:highlight w:val="none"/>
                <w:u w:val="none" w:color="auto"/>
                <w:vertAlign w:val="baseline"/>
              </w:rPr>
              <w:t>and to develop new processes, services, cultural content and new forms of creative practices that provide societal value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2 – indent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The shortage of entrepreneurship and cross-cutting skills in </w:t>
            </w:r>
            <w:r>
              <w:rPr>
                <w:rFonts w:ascii="Times New Roman" w:eastAsia="Times New Roman" w:hAnsi="Times New Roman" w:cs="Times New Roman"/>
                <w:b/>
                <w:i/>
                <w:strike w:val="0"/>
                <w:color w:val="auto"/>
                <w:sz w:val="24"/>
                <w:highlight w:val="none"/>
                <w:u w:val="none" w:color="auto"/>
                <w:vertAlign w:val="baseline"/>
              </w:rPr>
              <w:t>CCI</w:t>
            </w:r>
            <w:r>
              <w:rPr>
                <w:rStyle w:val="Sup"/>
              </w:rPr>
              <w:t>28</w:t>
            </w:r>
            <w:r>
              <w:t xml:space="preserve"> concerns both emerging sub-sectors as well as very mature ones that undergo a profound digital transformation. These skills are needed for innovation and crucial in light of labour market changes that the sector is facing.</w:t>
            </w:r>
          </w:p>
        </w:tc>
        <w:tc>
          <w:tcPr>
            <w:tcW w:w="4876" w:type="dxa"/>
            <w:vAlign w:val="top"/>
          </w:tcPr>
          <w:p>
            <w:pPr>
              <w:pStyle w:val="Normal6a"/>
            </w:pPr>
            <w:r>
              <w:t>—</w:t>
            </w:r>
            <w:r>
              <w:tab/>
            </w:r>
            <w:r>
              <w:t xml:space="preserve">The shortage of entrepreneurship and cross-cutting skills in </w:t>
            </w:r>
            <w:r>
              <w:rPr>
                <w:rFonts w:ascii="Times New Roman" w:eastAsia="Times New Roman" w:hAnsi="Times New Roman" w:cs="Times New Roman"/>
                <w:b/>
                <w:i/>
                <w:strike w:val="0"/>
                <w:color w:val="auto"/>
                <w:sz w:val="24"/>
                <w:highlight w:val="none"/>
                <w:u w:val="none" w:color="auto"/>
                <w:vertAlign w:val="baseline"/>
              </w:rPr>
              <w:t>CCS</w:t>
            </w:r>
            <w:r>
              <w:rPr>
                <w:rStyle w:val="Sup"/>
              </w:rPr>
              <w:t>28</w:t>
            </w:r>
            <w:r>
              <w:t xml:space="preserve"> concerns both emerging sub-sectors as well as very mature ones that undergo a profound digital transformation. These skills are needed for innovation and crucial in light of labour market changes that the sector is facing.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28</w:t>
            </w:r>
            <w:r>
              <w:t xml:space="preserve"> </w:t>
            </w:r>
            <w:r>
              <w:t>Cultural and creative studies in European universities are mostly focused on the “creative part” and their graduates are not always ready to enter the modern labour market as they lack cross-sectoral (entrepreneurial, digital, financial management) skills. With regards to HEIs, the EU is trailing behind the USA in Communication &amp; Media studies (while EU universities are performing better in more traditional disciplines such as Art &amp; Design or Performing arts).</w:t>
            </w:r>
          </w:p>
        </w:tc>
        <w:tc>
          <w:tcPr>
            <w:tcW w:w="4876" w:type="dxa"/>
            <w:vAlign w:val="top"/>
          </w:tcPr>
          <w:p>
            <w:pPr>
              <w:pStyle w:val="Normal6a"/>
            </w:pPr>
            <w:r>
              <w:rPr>
                <w:rStyle w:val="Sup"/>
              </w:rPr>
              <w:t>28</w:t>
            </w:r>
            <w:r>
              <w:t xml:space="preserve"> </w:t>
            </w:r>
            <w:r>
              <w:t>Cultural and creative studies in European universities are mostly focused on the “creative part” and their graduates are not always ready to enter the modern labour market as they lack cross-sectoral (entrepreneurial, digital, financial management) skills. With regards to HEIs, the EU is trailing behind the USA in Communication &amp; Media studies (while EU universities are performing better in more traditional disciplines such as Art &amp; Design or Performing arts).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Elena Lizzi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3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Societal challenges related to the European </w:t>
            </w:r>
            <w:r>
              <w:rPr>
                <w:rFonts w:ascii="Times New Roman" w:eastAsia="Times New Roman" w:hAnsi="Times New Roman" w:cs="Times New Roman"/>
                <w:b/>
                <w:i/>
                <w:strike w:val="0"/>
                <w:color w:val="auto"/>
                <w:sz w:val="24"/>
                <w:highlight w:val="none"/>
                <w:u w:val="none" w:color="auto"/>
                <w:vertAlign w:val="baseline"/>
              </w:rPr>
              <w:t>identity and</w:t>
            </w:r>
            <w:r>
              <w:t xml:space="preserve"> cohesion can generally be described in terms of lack of ‘bridges’ connecting different parts of the society including different territories. </w:t>
            </w:r>
            <w:r>
              <w:rPr>
                <w:rFonts w:ascii="Times New Roman" w:eastAsia="Times New Roman" w:hAnsi="Times New Roman" w:cs="Times New Roman"/>
                <w:b/>
                <w:i/>
                <w:strike w:val="0"/>
                <w:color w:val="auto"/>
                <w:sz w:val="24"/>
                <w:highlight w:val="none"/>
                <w:u w:val="none" w:color="auto"/>
                <w:vertAlign w:val="baseline"/>
              </w:rPr>
              <w:t>They include issues related to social exclusion, the need to build closer intercultural links and developing a sense of common belonging based on our</w:t>
            </w:r>
            <w:r>
              <w:t xml:space="preserve"> cultural diversity and common heritage </w:t>
            </w:r>
            <w:r>
              <w:rPr>
                <w:rFonts w:ascii="Times New Roman" w:eastAsia="Times New Roman" w:hAnsi="Times New Roman" w:cs="Times New Roman"/>
                <w:b/>
                <w:i/>
                <w:strike w:val="0"/>
                <w:color w:val="auto"/>
                <w:sz w:val="24"/>
                <w:highlight w:val="none"/>
                <w:u w:val="none" w:color="auto"/>
                <w:vertAlign w:val="baseline"/>
              </w:rPr>
              <w:t>that could</w:t>
            </w:r>
            <w:r>
              <w:t xml:space="preserve"> be addressed through more community participation, innovations in design, architecture and the use of public spaces, as well as culture-led </w:t>
            </w:r>
            <w:r>
              <w:rPr>
                <w:rFonts w:ascii="Times New Roman" w:eastAsia="Times New Roman" w:hAnsi="Times New Roman" w:cs="Times New Roman"/>
                <w:b/>
                <w:i/>
                <w:strike w:val="0"/>
                <w:color w:val="auto"/>
                <w:sz w:val="24"/>
                <w:highlight w:val="none"/>
                <w:u w:val="none" w:color="auto"/>
                <w:vertAlign w:val="baseline"/>
              </w:rPr>
              <w:t>social</w:t>
            </w:r>
            <w:r>
              <w:t xml:space="preserve"> innovation. In particular:</w:t>
            </w:r>
          </w:p>
        </w:tc>
        <w:tc>
          <w:tcPr>
            <w:tcW w:w="4876" w:type="dxa"/>
            <w:vAlign w:val="top"/>
          </w:tcPr>
          <w:p>
            <w:pPr>
              <w:pStyle w:val="Normal6a"/>
            </w:pPr>
            <w:r>
              <w:t xml:space="preserve">Societal challenges related to the European cohesion can generally be described in terms of lack of ‘bridges’ connecting different parts of the society including different </w:t>
            </w:r>
            <w:r>
              <w:rPr>
                <w:rFonts w:ascii="Times New Roman" w:eastAsia="Times New Roman" w:hAnsi="Times New Roman" w:cs="Times New Roman"/>
                <w:b/>
                <w:i/>
                <w:strike w:val="0"/>
                <w:color w:val="auto"/>
                <w:sz w:val="24"/>
                <w:highlight w:val="none"/>
                <w:u w:val="none" w:color="auto"/>
                <w:vertAlign w:val="baseline"/>
              </w:rPr>
              <w:t>minority languages and</w:t>
            </w:r>
            <w:r>
              <w:t xml:space="preserve"> territories. Cultural diversity and common heritage </w:t>
            </w:r>
            <w:r>
              <w:rPr>
                <w:rFonts w:ascii="Times New Roman" w:eastAsia="Times New Roman" w:hAnsi="Times New Roman" w:cs="Times New Roman"/>
                <w:b/>
                <w:i/>
                <w:strike w:val="0"/>
                <w:color w:val="auto"/>
                <w:sz w:val="24"/>
                <w:highlight w:val="none"/>
                <w:u w:val="none" w:color="auto"/>
                <w:vertAlign w:val="baseline"/>
              </w:rPr>
              <w:t>will have to</w:t>
            </w:r>
            <w:r>
              <w:t xml:space="preserve"> be addressed through more community participation, innovations in design, architecture and the use of public spaces, as well as culture-led </w:t>
            </w:r>
            <w:r>
              <w:rPr>
                <w:rFonts w:ascii="Times New Roman" w:eastAsia="Times New Roman" w:hAnsi="Times New Roman" w:cs="Times New Roman"/>
                <w:b/>
                <w:i/>
                <w:strike w:val="0"/>
                <w:color w:val="auto"/>
                <w:sz w:val="24"/>
                <w:highlight w:val="none"/>
                <w:u w:val="none" w:color="auto"/>
                <w:vertAlign w:val="baseline"/>
              </w:rPr>
              <w:t>societal</w:t>
            </w:r>
            <w:r>
              <w:t xml:space="preserve"> innovation. In particular: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3 – indent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There is limited cooperation between researchers and between research and industry as well as insufficient coordination of R&amp;D efforts, sharing of methods, results, and best practices. Additionally, most of the research in CCI have not been translated which leads to repetition, as researchers are often unaware of similar projects.</w:t>
            </w:r>
          </w:p>
        </w:tc>
        <w:tc>
          <w:tcPr>
            <w:tcW w:w="4876" w:type="dxa"/>
            <w:vAlign w:val="top"/>
          </w:tcPr>
          <w:p>
            <w:pPr>
              <w:pStyle w:val="Normal6a"/>
            </w:pPr>
            <w:r>
              <w:t>—</w:t>
            </w:r>
            <w:r>
              <w:tab/>
            </w:r>
            <w:r>
              <w:t>There is limited cooperation between researchers and between research and industry</w:t>
            </w:r>
            <w:r>
              <w:rPr>
                <w:rFonts w:ascii="Times New Roman" w:eastAsia="Times New Roman" w:hAnsi="Times New Roman" w:cs="Times New Roman"/>
                <w:b/>
                <w:i/>
                <w:strike w:val="0"/>
                <w:color w:val="auto"/>
                <w:sz w:val="24"/>
                <w:highlight w:val="none"/>
                <w:u w:val="none" w:color="auto"/>
                <w:vertAlign w:val="baseline"/>
              </w:rPr>
              <w:t>, public and third sector organisations,</w:t>
            </w:r>
            <w:r>
              <w:t xml:space="preserve"> as well as insufficient coordination of R&amp;D efforts, sharing of methods, results, and best practices. Additionally, most of the research in CCI </w:t>
            </w:r>
            <w:r>
              <w:rPr>
                <w:rFonts w:ascii="Times New Roman" w:eastAsia="Times New Roman" w:hAnsi="Times New Roman" w:cs="Times New Roman"/>
                <w:b/>
                <w:i/>
                <w:strike w:val="0"/>
                <w:color w:val="auto"/>
                <w:sz w:val="24"/>
                <w:highlight w:val="none"/>
                <w:u w:val="none" w:color="auto"/>
                <w:vertAlign w:val="baseline"/>
              </w:rPr>
              <w:t>and CCS</w:t>
            </w:r>
            <w:r>
              <w:t xml:space="preserve"> have not been translated which leads to repetition, as researchers are often unaware of similar projects.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3 – indent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There is limited cooperation between researchers and between research and industry as well as insufficient coordination of R&amp;D efforts, sharing of methods, results, and best practices. Additionally, most of the research in </w:t>
            </w:r>
            <w:r>
              <w:rPr>
                <w:rFonts w:ascii="Times New Roman" w:eastAsia="Times New Roman" w:hAnsi="Times New Roman" w:cs="Times New Roman"/>
                <w:b/>
                <w:i/>
                <w:strike w:val="0"/>
                <w:color w:val="auto"/>
                <w:sz w:val="24"/>
                <w:highlight w:val="none"/>
                <w:u w:val="none" w:color="auto"/>
                <w:vertAlign w:val="baseline"/>
              </w:rPr>
              <w:t>CCI</w:t>
            </w:r>
            <w:r>
              <w:t xml:space="preserve"> have not been translated which leads to repetition, as researchers are often unaware of similar projects.</w:t>
            </w:r>
          </w:p>
        </w:tc>
        <w:tc>
          <w:tcPr>
            <w:tcW w:w="4876" w:type="dxa"/>
            <w:vAlign w:val="top"/>
          </w:tcPr>
          <w:p>
            <w:pPr>
              <w:pStyle w:val="Normal6a"/>
            </w:pPr>
            <w:r>
              <w:t>—</w:t>
            </w:r>
            <w:r>
              <w:tab/>
            </w:r>
            <w:r>
              <w:t xml:space="preserve">There is limited cooperation between researchers and between research and industry as well as insufficient coordination of R&amp;D efforts, sharing of methods, results, and best practices. Additionally, most of the research in </w:t>
            </w:r>
            <w:r>
              <w:rPr>
                <w:rFonts w:ascii="Times New Roman" w:eastAsia="Times New Roman" w:hAnsi="Times New Roman" w:cs="Times New Roman"/>
                <w:b/>
                <w:i/>
                <w:strike w:val="0"/>
                <w:color w:val="auto"/>
                <w:sz w:val="24"/>
                <w:highlight w:val="none"/>
                <w:u w:val="none" w:color="auto"/>
                <w:vertAlign w:val="baseline"/>
              </w:rPr>
              <w:t>CCS</w:t>
            </w:r>
            <w:r>
              <w:t xml:space="preserve"> have not been translated which leads to repetition, as researchers are often unaware of similar projects.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3 – indent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A significant share of regional smart specialization priorities in Europe refer to culture under different angles (e.g. cultural heritage, creative industries, etc.). Given the important role of culture and creativity for the economic and social development of cities and regions and their ability to further help address disparity issues across Europe, the potential of the </w:t>
            </w:r>
            <w:r>
              <w:rPr>
                <w:rFonts w:ascii="Times New Roman" w:eastAsia="Times New Roman" w:hAnsi="Times New Roman" w:cs="Times New Roman"/>
                <w:b/>
                <w:i/>
                <w:strike w:val="0"/>
                <w:color w:val="auto"/>
                <w:sz w:val="24"/>
                <w:highlight w:val="none"/>
                <w:u w:val="none" w:color="auto"/>
                <w:vertAlign w:val="baseline"/>
              </w:rPr>
              <w:t>CCI</w:t>
            </w:r>
            <w:r>
              <w:t xml:space="preserve"> KIC is high.</w:t>
            </w:r>
          </w:p>
        </w:tc>
        <w:tc>
          <w:tcPr>
            <w:tcW w:w="4876" w:type="dxa"/>
            <w:vAlign w:val="top"/>
          </w:tcPr>
          <w:p>
            <w:pPr>
              <w:pStyle w:val="Normal6a"/>
            </w:pPr>
            <w:r>
              <w:t>—</w:t>
            </w:r>
            <w:r>
              <w:tab/>
            </w:r>
            <w:r>
              <w:t xml:space="preserve">A significant share of regional smart specialization priorities in Europe refer to culture under different angles (e.g. cultural heritage, creative industries, etc.). Given the important role of culture and creativity for the economic and social development of cities and regions and their ability to further help address disparity issues across Europe, the potential of the </w:t>
            </w:r>
            <w:r>
              <w:rPr>
                <w:rFonts w:ascii="Times New Roman" w:eastAsia="Times New Roman" w:hAnsi="Times New Roman" w:cs="Times New Roman"/>
                <w:b/>
                <w:i/>
                <w:strike w:val="0"/>
                <w:color w:val="auto"/>
                <w:sz w:val="24"/>
                <w:highlight w:val="none"/>
                <w:u w:val="none" w:color="auto"/>
                <w:vertAlign w:val="baseline"/>
              </w:rPr>
              <w:t>CCS</w:t>
            </w:r>
            <w:r>
              <w:t xml:space="preserve"> KIC is high.</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4 – introductory part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Challenges related to European employment, economic resilience, and smart growth, include economic issues such as unemployment (especially youth unemployment) </w:t>
            </w:r>
            <w:r>
              <w:rPr>
                <w:rFonts w:ascii="Times New Roman" w:eastAsia="Times New Roman" w:hAnsi="Times New Roman" w:cs="Times New Roman"/>
                <w:b/>
                <w:i/>
                <w:strike w:val="0"/>
                <w:color w:val="auto"/>
                <w:sz w:val="24"/>
                <w:highlight w:val="none"/>
                <w:u w:val="none" w:color="auto"/>
                <w:vertAlign w:val="baseline"/>
              </w:rPr>
              <w:t>and</w:t>
            </w:r>
            <w:r>
              <w:t xml:space="preserve"> global competition.</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Current</w:t>
            </w:r>
            <w:r>
              <w:t xml:space="preserve"> challenges related to European employment, economic resilience, and smart growth, include </w:t>
            </w:r>
            <w:r>
              <w:rPr>
                <w:rFonts w:ascii="Times New Roman" w:eastAsia="Times New Roman" w:hAnsi="Times New Roman" w:cs="Times New Roman"/>
                <w:b/>
                <w:i/>
                <w:strike w:val="0"/>
                <w:color w:val="auto"/>
                <w:sz w:val="24"/>
                <w:highlight w:val="none"/>
                <w:u w:val="none" w:color="auto"/>
                <w:vertAlign w:val="baseline"/>
              </w:rPr>
              <w:t>social and</w:t>
            </w:r>
            <w:r>
              <w:t xml:space="preserve"> economic issues such as unemployment (especially youth unemployment)</w:t>
            </w:r>
            <w:r>
              <w:rPr>
                <w:rFonts w:ascii="Times New Roman" w:eastAsia="Times New Roman" w:hAnsi="Times New Roman" w:cs="Times New Roman"/>
                <w:b/>
                <w:i/>
                <w:strike w:val="0"/>
                <w:color w:val="auto"/>
                <w:sz w:val="24"/>
                <w:highlight w:val="none"/>
                <w:u w:val="none" w:color="auto"/>
                <w:vertAlign w:val="baseline"/>
              </w:rPr>
              <w:t>,</w:t>
            </w:r>
            <w:r>
              <w:rPr>
                <w:rFonts w:ascii="Times New Roman" w:eastAsia="Times New Roman" w:hAnsi="Times New Roman" w:cs="Times New Roman"/>
                <w:b/>
                <w:i/>
                <w:strike w:val="0"/>
                <w:color w:val="auto"/>
                <w:sz w:val="24"/>
                <w:highlight w:val="none"/>
                <w:u w:val="none" w:color="auto"/>
                <w:vertAlign w:val="baseline"/>
              </w:rPr>
              <w:t xml:space="preserve"> </w:t>
            </w:r>
            <w:r>
              <w:rPr>
                <w:rFonts w:ascii="Times New Roman" w:eastAsia="Times New Roman" w:hAnsi="Times New Roman" w:cs="Times New Roman"/>
                <w:b/>
                <w:i/>
                <w:strike w:val="0"/>
                <w:color w:val="auto"/>
                <w:sz w:val="24"/>
                <w:highlight w:val="none"/>
                <w:u w:val="none" w:color="auto"/>
                <w:vertAlign w:val="baseline"/>
              </w:rPr>
              <w:t>insufficient working conditions, lack of skills (especially digital skills) and increasing</w:t>
            </w:r>
            <w:r>
              <w:rPr>
                <w:rFonts w:ascii="Times New Roman" w:eastAsia="Times New Roman" w:hAnsi="Times New Roman" w:cs="Times New Roman"/>
                <w:b/>
                <w:i/>
                <w:strike w:val="0"/>
                <w:color w:val="auto"/>
                <w:sz w:val="24"/>
                <w:highlight w:val="none"/>
                <w:u w:val="none" w:color="auto"/>
                <w:vertAlign w:val="baseline"/>
              </w:rPr>
              <w:t xml:space="preserve"> global competition.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4 – indent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European </w:t>
            </w:r>
            <w:r>
              <w:rPr>
                <w:rFonts w:ascii="Times New Roman" w:eastAsia="Times New Roman" w:hAnsi="Times New Roman" w:cs="Times New Roman"/>
                <w:b/>
                <w:i/>
                <w:strike w:val="0"/>
                <w:color w:val="auto"/>
                <w:sz w:val="24"/>
                <w:highlight w:val="none"/>
                <w:u w:val="none" w:color="auto"/>
                <w:vertAlign w:val="baseline"/>
              </w:rPr>
              <w:t>industries are challenged by digitization and globalization and their powerful impact on</w:t>
            </w:r>
            <w:r>
              <w:t xml:space="preserve"> the way artists produce and distribute their works and relate to their audiences</w:t>
            </w:r>
            <w:r>
              <w:rPr>
                <w:rFonts w:ascii="Times New Roman" w:eastAsia="Times New Roman" w:hAnsi="Times New Roman" w:cs="Times New Roman"/>
                <w:b/>
                <w:i/>
                <w:strike w:val="0"/>
                <w:color w:val="auto"/>
                <w:sz w:val="24"/>
                <w:highlight w:val="none"/>
                <w:u w:val="none" w:color="auto"/>
                <w:vertAlign w:val="baseline"/>
              </w:rPr>
              <w:t>. The collapse of DVD markets, new consumer</w:t>
            </w:r>
            <w:r>
              <w:t xml:space="preserve"> expectations and </w:t>
            </w:r>
            <w:r>
              <w:rPr>
                <w:rFonts w:ascii="Times New Roman" w:eastAsia="Times New Roman" w:hAnsi="Times New Roman" w:cs="Times New Roman"/>
                <w:b/>
                <w:i/>
                <w:strike w:val="0"/>
                <w:color w:val="auto"/>
                <w:sz w:val="24"/>
                <w:highlight w:val="none"/>
                <w:u w:val="none" w:color="auto"/>
                <w:vertAlign w:val="baseline"/>
              </w:rPr>
              <w:t>the continued power of US studios</w:t>
            </w:r>
            <w:r>
              <w:t xml:space="preserve"> together with the rise of global digital </w:t>
            </w:r>
            <w:r>
              <w:rPr>
                <w:rFonts w:ascii="Times New Roman" w:eastAsia="Times New Roman" w:hAnsi="Times New Roman" w:cs="Times New Roman"/>
                <w:b/>
                <w:i/>
                <w:strike w:val="0"/>
                <w:color w:val="auto"/>
                <w:sz w:val="24"/>
                <w:highlight w:val="none"/>
                <w:u w:val="none" w:color="auto"/>
                <w:vertAlign w:val="baseline"/>
              </w:rPr>
              <w:t>giants</w:t>
            </w:r>
            <w:r>
              <w:t xml:space="preserve"> like Amazon, </w:t>
            </w:r>
            <w:r>
              <w:rPr>
                <w:rFonts w:ascii="Times New Roman" w:eastAsia="Times New Roman" w:hAnsi="Times New Roman" w:cs="Times New Roman"/>
                <w:b/>
                <w:i/>
                <w:strike w:val="0"/>
                <w:color w:val="auto"/>
                <w:sz w:val="24"/>
                <w:highlight w:val="none"/>
                <w:u w:val="none" w:color="auto"/>
                <w:vertAlign w:val="baseline"/>
              </w:rPr>
              <w:t>ITunes</w:t>
            </w:r>
            <w:r>
              <w:t xml:space="preserve">, Google </w:t>
            </w:r>
            <w:r>
              <w:rPr>
                <w:rFonts w:ascii="Times New Roman" w:eastAsia="Times New Roman" w:hAnsi="Times New Roman" w:cs="Times New Roman"/>
                <w:b/>
                <w:i/>
                <w:strike w:val="0"/>
                <w:color w:val="auto"/>
                <w:sz w:val="24"/>
                <w:highlight w:val="none"/>
                <w:u w:val="none" w:color="auto"/>
                <w:vertAlign w:val="baseline"/>
              </w:rPr>
              <w:t>and Netflix have impacted</w:t>
            </w:r>
            <w:r>
              <w:t xml:space="preserve"> the traditional value chain.</w:t>
            </w:r>
          </w:p>
        </w:tc>
        <w:tc>
          <w:tcPr>
            <w:tcW w:w="4876" w:type="dxa"/>
            <w:vAlign w:val="top"/>
          </w:tcPr>
          <w:p>
            <w:pPr>
              <w:pStyle w:val="Normal6a"/>
            </w:pPr>
            <w:r>
              <w:t>—</w:t>
            </w:r>
            <w:r>
              <w:tab/>
            </w:r>
            <w:r>
              <w:rPr>
                <w:rFonts w:ascii="Times New Roman" w:eastAsia="Times New Roman" w:hAnsi="Times New Roman" w:cs="Times New Roman"/>
                <w:b/>
                <w:i/>
                <w:strike w:val="0"/>
                <w:color w:val="auto"/>
                <w:sz w:val="24"/>
                <w:highlight w:val="none"/>
                <w:u w:val="none" w:color="auto"/>
                <w:vertAlign w:val="baseline"/>
              </w:rPr>
              <w:t>The</w:t>
            </w:r>
            <w:r>
              <w:t xml:space="preserve"> European </w:t>
            </w:r>
            <w:r>
              <w:rPr>
                <w:rFonts w:ascii="Times New Roman" w:eastAsia="Times New Roman" w:hAnsi="Times New Roman" w:cs="Times New Roman"/>
                <w:b/>
                <w:i/>
                <w:strike w:val="0"/>
                <w:color w:val="auto"/>
                <w:sz w:val="24"/>
                <w:highlight w:val="none"/>
                <w:u w:val="none" w:color="auto"/>
                <w:vertAlign w:val="baseline"/>
              </w:rPr>
              <w:t>cultural and creative sectors are strongly impacted by digitalisation and technological innovation in a globalised world. Those developments have changed</w:t>
            </w:r>
            <w:r>
              <w:t xml:space="preserve"> the way artists produce and distribute their works and relate to their audiences</w:t>
            </w:r>
            <w:r>
              <w:rPr>
                <w:rFonts w:ascii="Times New Roman" w:eastAsia="Times New Roman" w:hAnsi="Times New Roman" w:cs="Times New Roman"/>
                <w:b/>
                <w:i/>
                <w:strike w:val="0"/>
                <w:color w:val="auto"/>
                <w:sz w:val="24"/>
                <w:highlight w:val="none"/>
                <w:u w:val="none" w:color="auto"/>
                <w:vertAlign w:val="baseline"/>
              </w:rPr>
              <w:t>, they are challenging the traditional business models of the cultural and creative industries, and they have fundamentally shifted consumers'</w:t>
            </w:r>
            <w:r>
              <w:t xml:space="preserve"> expectations and </w:t>
            </w:r>
            <w:r>
              <w:rPr>
                <w:rFonts w:ascii="Times New Roman" w:eastAsia="Times New Roman" w:hAnsi="Times New Roman" w:cs="Times New Roman"/>
                <w:b/>
                <w:i/>
                <w:strike w:val="0"/>
                <w:color w:val="auto"/>
                <w:sz w:val="24"/>
                <w:highlight w:val="none"/>
                <w:u w:val="none" w:color="auto"/>
                <w:vertAlign w:val="baseline"/>
              </w:rPr>
              <w:t>behaviour. The collapse of markets selling physical goods such as CDs and DVDs,</w:t>
            </w:r>
            <w:r>
              <w:t xml:space="preserve"> together with the rise of global digital </w:t>
            </w:r>
            <w:r>
              <w:rPr>
                <w:rFonts w:ascii="Times New Roman" w:eastAsia="Times New Roman" w:hAnsi="Times New Roman" w:cs="Times New Roman"/>
                <w:b/>
                <w:i/>
                <w:strike w:val="0"/>
                <w:color w:val="auto"/>
                <w:sz w:val="24"/>
                <w:highlight w:val="none"/>
                <w:u w:val="none" w:color="auto"/>
                <w:vertAlign w:val="baseline"/>
              </w:rPr>
              <w:t>content providers such as Alibaba,</w:t>
            </w:r>
            <w:r>
              <w:t xml:space="preserve"> like Amazon, </w:t>
            </w:r>
            <w:r>
              <w:rPr>
                <w:rFonts w:ascii="Times New Roman" w:eastAsia="Times New Roman" w:hAnsi="Times New Roman" w:cs="Times New Roman"/>
                <w:b/>
                <w:i/>
                <w:strike w:val="0"/>
                <w:color w:val="auto"/>
                <w:sz w:val="24"/>
                <w:highlight w:val="none"/>
                <w:u w:val="none" w:color="auto"/>
                <w:vertAlign w:val="baseline"/>
              </w:rPr>
              <w:t>Apple</w:t>
            </w:r>
            <w:r>
              <w:t xml:space="preserve">, </w:t>
            </w:r>
            <w:r>
              <w:rPr>
                <w:rFonts w:ascii="Times New Roman" w:eastAsia="Times New Roman" w:hAnsi="Times New Roman" w:cs="Times New Roman"/>
                <w:b/>
                <w:i/>
                <w:strike w:val="0"/>
                <w:color w:val="auto"/>
                <w:sz w:val="24"/>
                <w:highlight w:val="none"/>
                <w:u w:val="none" w:color="auto"/>
                <w:vertAlign w:val="baseline"/>
              </w:rPr>
              <w:t>Facebook and</w:t>
            </w:r>
            <w:r>
              <w:t xml:space="preserve"> Google</w:t>
            </w:r>
            <w:r>
              <w:rPr>
                <w:rFonts w:ascii="Times New Roman" w:eastAsia="Times New Roman" w:hAnsi="Times New Roman" w:cs="Times New Roman"/>
                <w:b/>
                <w:i/>
                <w:strike w:val="0"/>
                <w:color w:val="auto"/>
                <w:sz w:val="24"/>
                <w:highlight w:val="none"/>
                <w:u w:val="none" w:color="auto"/>
                <w:vertAlign w:val="baseline"/>
              </w:rPr>
              <w:t>, as well as the increasing power of non-European content production companies, has had a massive impact on</w:t>
            </w:r>
            <w:r>
              <w:t xml:space="preserve"> the traditional value chain.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Finally, the role of </w:t>
            </w:r>
            <w:r>
              <w:rPr>
                <w:rFonts w:ascii="Times New Roman" w:eastAsia="Times New Roman" w:hAnsi="Times New Roman" w:cs="Times New Roman"/>
                <w:b/>
                <w:i/>
                <w:strike w:val="0"/>
                <w:color w:val="auto"/>
                <w:sz w:val="24"/>
                <w:highlight w:val="none"/>
                <w:u w:val="none" w:color="auto"/>
                <w:vertAlign w:val="baseline"/>
              </w:rPr>
              <w:t>Europe</w:t>
            </w:r>
            <w:r>
              <w:t xml:space="preserve"> as a global actor includes the need to enhance the dissemination of </w:t>
            </w:r>
            <w:r>
              <w:rPr>
                <w:rFonts w:ascii="Times New Roman" w:eastAsia="Times New Roman" w:hAnsi="Times New Roman" w:cs="Times New Roman"/>
                <w:b/>
                <w:i/>
                <w:strike w:val="0"/>
                <w:color w:val="auto"/>
                <w:sz w:val="24"/>
                <w:highlight w:val="none"/>
                <w:u w:val="none" w:color="auto"/>
                <w:vertAlign w:val="baseline"/>
              </w:rPr>
              <w:t>the</w:t>
            </w:r>
            <w:r>
              <w:t xml:space="preserve"> cultural content </w:t>
            </w:r>
            <w:r>
              <w:rPr>
                <w:rFonts w:ascii="Times New Roman" w:eastAsia="Times New Roman" w:hAnsi="Times New Roman" w:cs="Times New Roman"/>
                <w:b/>
                <w:i/>
                <w:strike w:val="0"/>
                <w:color w:val="auto"/>
                <w:sz w:val="24"/>
                <w:highlight w:val="none"/>
                <w:u w:val="none" w:color="auto"/>
                <w:vertAlign w:val="baseline"/>
              </w:rPr>
              <w:t>created in Europe</w:t>
            </w:r>
            <w:r>
              <w:t xml:space="preserve">. Europe needs to remain competitive in the global digital race for creation of new technologies </w:t>
            </w:r>
            <w:r>
              <w:rPr>
                <w:rFonts w:ascii="Times New Roman" w:eastAsia="Times New Roman" w:hAnsi="Times New Roman" w:cs="Times New Roman"/>
                <w:b/>
                <w:i/>
                <w:strike w:val="0"/>
                <w:color w:val="auto"/>
                <w:sz w:val="24"/>
                <w:highlight w:val="none"/>
                <w:u w:val="none" w:color="auto"/>
                <w:vertAlign w:val="baseline"/>
              </w:rPr>
              <w:t>(e.g. AI, IoT, blockchain)</w:t>
            </w:r>
            <w:r>
              <w:t xml:space="preserve"> for which </w:t>
            </w:r>
            <w:r>
              <w:rPr>
                <w:rFonts w:ascii="Times New Roman" w:eastAsia="Times New Roman" w:hAnsi="Times New Roman" w:cs="Times New Roman"/>
                <w:b/>
                <w:i/>
                <w:strike w:val="0"/>
                <w:color w:val="auto"/>
                <w:sz w:val="24"/>
                <w:highlight w:val="none"/>
                <w:u w:val="none" w:color="auto"/>
                <w:vertAlign w:val="baseline"/>
              </w:rPr>
              <w:t>CCI</w:t>
            </w:r>
            <w:r>
              <w:t xml:space="preserve"> are important generators of content, products and services </w:t>
            </w:r>
            <w:r>
              <w:rPr>
                <w:rFonts w:ascii="Times New Roman" w:eastAsia="Times New Roman" w:hAnsi="Times New Roman" w:cs="Times New Roman"/>
                <w:b/>
                <w:i/>
                <w:strike w:val="0"/>
                <w:color w:val="auto"/>
                <w:sz w:val="24"/>
                <w:highlight w:val="none"/>
                <w:u w:val="none" w:color="auto"/>
                <w:vertAlign w:val="baseline"/>
              </w:rPr>
              <w:t>globally</w:t>
            </w:r>
            <w:r>
              <w:t xml:space="preserve">. Moreover, on a global scale, </w:t>
            </w:r>
            <w:r>
              <w:rPr>
                <w:rFonts w:ascii="Times New Roman" w:eastAsia="Times New Roman" w:hAnsi="Times New Roman" w:cs="Times New Roman"/>
                <w:b/>
                <w:i/>
                <w:strike w:val="0"/>
                <w:color w:val="auto"/>
                <w:sz w:val="24"/>
                <w:highlight w:val="none"/>
                <w:u w:val="none" w:color="auto"/>
                <w:vertAlign w:val="baseline"/>
              </w:rPr>
              <w:t>CCI (e.g. design, architecture, etc.)</w:t>
            </w:r>
            <w:r>
              <w:t xml:space="preserve"> contribute actively to the sustainable development and drive green innovation, while cultural content </w:t>
            </w:r>
            <w:r>
              <w:rPr>
                <w:rFonts w:ascii="Times New Roman" w:eastAsia="Times New Roman" w:hAnsi="Times New Roman" w:cs="Times New Roman"/>
                <w:b/>
                <w:i/>
                <w:strike w:val="0"/>
                <w:color w:val="auto"/>
                <w:sz w:val="24"/>
                <w:highlight w:val="none"/>
                <w:u w:val="none" w:color="auto"/>
                <w:vertAlign w:val="baseline"/>
              </w:rPr>
              <w:t>(literature, film and the arts)</w:t>
            </w:r>
            <w:r>
              <w:t xml:space="preserve"> can raise awareness of ecological problems and inform public opinion.</w:t>
            </w:r>
          </w:p>
        </w:tc>
        <w:tc>
          <w:tcPr>
            <w:tcW w:w="4876" w:type="dxa"/>
            <w:vAlign w:val="top"/>
          </w:tcPr>
          <w:p>
            <w:pPr>
              <w:pStyle w:val="Normal6a"/>
            </w:pPr>
            <w:r>
              <w:t xml:space="preserve">Finally, the role of </w:t>
            </w:r>
            <w:r>
              <w:rPr>
                <w:rFonts w:ascii="Times New Roman" w:eastAsia="Times New Roman" w:hAnsi="Times New Roman" w:cs="Times New Roman"/>
                <w:b/>
                <w:i/>
                <w:strike w:val="0"/>
                <w:color w:val="auto"/>
                <w:sz w:val="24"/>
                <w:highlight w:val="none"/>
                <w:u w:val="none" w:color="auto"/>
                <w:vertAlign w:val="baseline"/>
              </w:rPr>
              <w:t>the EU</w:t>
            </w:r>
            <w:r>
              <w:t xml:space="preserve"> as a global actor includes the need to enhance the dissemination of </w:t>
            </w:r>
            <w:r>
              <w:rPr>
                <w:rFonts w:ascii="Times New Roman" w:eastAsia="Times New Roman" w:hAnsi="Times New Roman" w:cs="Times New Roman"/>
                <w:b/>
                <w:i/>
                <w:strike w:val="0"/>
                <w:color w:val="auto"/>
                <w:sz w:val="24"/>
                <w:highlight w:val="none"/>
                <w:u w:val="none" w:color="auto"/>
                <w:vertAlign w:val="baseline"/>
              </w:rPr>
              <w:t>European</w:t>
            </w:r>
            <w:r>
              <w:t xml:space="preserve"> cultural content. Europe needs to remain competitive in the global digital race for creation of new technologies for which </w:t>
            </w:r>
            <w:r>
              <w:rPr>
                <w:rFonts w:ascii="Times New Roman" w:eastAsia="Times New Roman" w:hAnsi="Times New Roman" w:cs="Times New Roman"/>
                <w:b/>
                <w:i/>
                <w:strike w:val="0"/>
                <w:color w:val="auto"/>
                <w:sz w:val="24"/>
                <w:highlight w:val="none"/>
                <w:u w:val="none" w:color="auto"/>
                <w:vertAlign w:val="baseline"/>
              </w:rPr>
              <w:t>CCS</w:t>
            </w:r>
            <w:r>
              <w:t xml:space="preserve"> are important generators of content, products and services. Moreover, on a global scale, </w:t>
            </w:r>
            <w:r>
              <w:rPr>
                <w:rFonts w:ascii="Times New Roman" w:eastAsia="Times New Roman" w:hAnsi="Times New Roman" w:cs="Times New Roman"/>
                <w:b/>
                <w:i/>
                <w:strike w:val="0"/>
                <w:color w:val="auto"/>
                <w:sz w:val="24"/>
                <w:highlight w:val="none"/>
                <w:u w:val="none" w:color="auto"/>
                <w:vertAlign w:val="baseline"/>
              </w:rPr>
              <w:t>CCS</w:t>
            </w:r>
            <w:r>
              <w:t xml:space="preserve"> contribute actively to the sustainable development and drive green innovation, while cultural content can raise awareness of ecological problems and inform </w:t>
            </w:r>
            <w:r>
              <w:rPr>
                <w:rFonts w:ascii="Times New Roman" w:eastAsia="Times New Roman" w:hAnsi="Times New Roman" w:cs="Times New Roman"/>
                <w:b/>
                <w:i/>
                <w:strike w:val="0"/>
                <w:color w:val="auto"/>
                <w:sz w:val="24"/>
                <w:highlight w:val="none"/>
                <w:u w:val="none" w:color="auto"/>
                <w:vertAlign w:val="baseline"/>
              </w:rPr>
              <w:t>and influence</w:t>
            </w:r>
            <w:r>
              <w:t xml:space="preserve"> public opinion.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7 – 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Finally, the role of Europe as a global actor includes the need to enhance the dissemination of the cultural content created in Europe. Europe needs to remain competitive in the global digital race for creation of new technologies (e.g. AI, IoT, blockchain) for which </w:t>
            </w:r>
            <w:r>
              <w:rPr>
                <w:rFonts w:ascii="Times New Roman" w:eastAsia="Times New Roman" w:hAnsi="Times New Roman" w:cs="Times New Roman"/>
                <w:b/>
                <w:i/>
                <w:strike w:val="0"/>
                <w:color w:val="auto"/>
                <w:sz w:val="24"/>
                <w:highlight w:val="none"/>
                <w:u w:val="none" w:color="auto"/>
                <w:vertAlign w:val="baseline"/>
              </w:rPr>
              <w:t>CCI</w:t>
            </w:r>
            <w:r>
              <w:t xml:space="preserve"> are important generators of content, products and services globally. Moreover, on a global scale, </w:t>
            </w:r>
            <w:r>
              <w:rPr>
                <w:rFonts w:ascii="Times New Roman" w:eastAsia="Times New Roman" w:hAnsi="Times New Roman" w:cs="Times New Roman"/>
                <w:b/>
                <w:i/>
                <w:strike w:val="0"/>
                <w:color w:val="auto"/>
                <w:sz w:val="24"/>
                <w:highlight w:val="none"/>
                <w:u w:val="none" w:color="auto"/>
                <w:vertAlign w:val="baseline"/>
              </w:rPr>
              <w:t>CCI</w:t>
            </w:r>
            <w:r>
              <w:t xml:space="preserve"> (e.g. design, architecture, etc.) contribute actively to the sustainable development and drive green innovation, while cultural content (literature, film and the arts) can raise awareness of ecological problems and inform public opinion.</w:t>
            </w:r>
          </w:p>
        </w:tc>
        <w:tc>
          <w:tcPr>
            <w:tcW w:w="4876" w:type="dxa"/>
            <w:vAlign w:val="top"/>
          </w:tcPr>
          <w:p>
            <w:pPr>
              <w:pStyle w:val="Normal6a"/>
            </w:pPr>
            <w:r>
              <w:t xml:space="preserve">Finally, the role of Europe as a global actor includes the need to enhance the dissemination of the cultural content created in Europe. Europe needs to remain competitive in the global digital race for creation of new technologies (e.g. AI, IoT, blockchain) for which </w:t>
            </w:r>
            <w:r>
              <w:rPr>
                <w:rFonts w:ascii="Times New Roman" w:eastAsia="Times New Roman" w:hAnsi="Times New Roman" w:cs="Times New Roman"/>
                <w:b/>
                <w:i/>
                <w:strike w:val="0"/>
                <w:color w:val="auto"/>
                <w:sz w:val="24"/>
                <w:highlight w:val="none"/>
                <w:u w:val="none" w:color="auto"/>
                <w:vertAlign w:val="baseline"/>
              </w:rPr>
              <w:t>CCS</w:t>
            </w:r>
            <w:r>
              <w:t xml:space="preserve"> are important generators of content, products and services globally. Moreover, on a global scale, </w:t>
            </w:r>
            <w:r>
              <w:rPr>
                <w:rFonts w:ascii="Times New Roman" w:eastAsia="Times New Roman" w:hAnsi="Times New Roman" w:cs="Times New Roman"/>
                <w:b/>
                <w:i/>
                <w:strike w:val="0"/>
                <w:color w:val="auto"/>
                <w:sz w:val="24"/>
                <w:highlight w:val="none"/>
                <w:u w:val="none" w:color="auto"/>
                <w:vertAlign w:val="baseline"/>
              </w:rPr>
              <w:t>CCS</w:t>
            </w:r>
            <w:r>
              <w:t xml:space="preserve"> (e.g. design, architecture, etc.) contribute actively to the sustainable development and drive green innovation, while cultural content (literature, film and the arts) can raise awareness of ecological problems and inform public opinion.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CCI</w:t>
            </w:r>
            <w:r>
              <w:t xml:space="preserve"> – with its holistic and integrated approach - will help address all challenges defined above. By covering nearly all sectors of our lives, society and economy, such KIC will be highly relevant in terms of economic and societal impact, unlocking strategic opportunities for economic, technological as well as social innovation.</w:t>
            </w:r>
          </w:p>
        </w:tc>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CCS</w:t>
            </w:r>
            <w:r>
              <w:t xml:space="preserve"> – with its holistic and integrated approach - will help address all challenges defined above. By covering nearly all sectors of our lives, society and economy, such KIC will be highly relevant in terms of economic and societal impact, unlocking strategic opportunities for economic, technological as well as social innovation.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Culture-based and creativity-driven innovations boost European competitiveness either directly by creating new enterprises and jobs or indirectly by creating cross-sector benefits to the wider economy, improving quality of life and increasing the attractiveness of Europe. </w:t>
            </w:r>
            <w:r>
              <w:rPr>
                <w:rFonts w:ascii="Times New Roman" w:eastAsia="Times New Roman" w:hAnsi="Times New Roman" w:cs="Times New Roman"/>
                <w:b/>
                <w:i/>
                <w:strike w:val="0"/>
                <w:color w:val="auto"/>
                <w:sz w:val="24"/>
                <w:highlight w:val="none"/>
                <w:u w:val="none" w:color="auto"/>
                <w:vertAlign w:val="baseline"/>
              </w:rPr>
              <w:t>CCIs</w:t>
            </w:r>
            <w:r>
              <w:t xml:space="preserve"> are increasingly seen as new sources of smart, sustainable and inclusive growth and jobs</w:t>
            </w:r>
            <w:r>
              <w:rPr>
                <w:rFonts w:ascii="Times New Roman" w:eastAsia="Times New Roman" w:hAnsi="Times New Roman" w:cs="Times New Roman"/>
                <w:b/>
                <w:i/>
                <w:strike w:val="0"/>
                <w:color w:val="auto"/>
                <w:sz w:val="24"/>
                <w:highlight w:val="none"/>
                <w:u w:val="none" w:color="auto"/>
                <w:vertAlign w:val="baseline"/>
              </w:rPr>
              <w:t>.</w:t>
            </w:r>
            <w:r>
              <w:t xml:space="preserve"> employing already more than 12 million people in the EU, which amounts to 7.5% of all EU people in employment.</w:t>
            </w:r>
          </w:p>
        </w:tc>
        <w:tc>
          <w:tcPr>
            <w:tcW w:w="4876" w:type="dxa"/>
            <w:vAlign w:val="top"/>
          </w:tcPr>
          <w:p>
            <w:pPr>
              <w:pStyle w:val="Normal6a"/>
            </w:pPr>
            <w:r>
              <w:t xml:space="preserve">Culture-based and creativity-driven innovations </w:t>
            </w:r>
            <w:r>
              <w:rPr>
                <w:rFonts w:ascii="Times New Roman" w:eastAsia="Times New Roman" w:hAnsi="Times New Roman" w:cs="Times New Roman"/>
                <w:b/>
                <w:i/>
                <w:strike w:val="0"/>
                <w:color w:val="auto"/>
                <w:sz w:val="24"/>
                <w:highlight w:val="none"/>
                <w:u w:val="none" w:color="auto"/>
                <w:vertAlign w:val="baseline"/>
              </w:rPr>
              <w:t>tackle societal challenges and</w:t>
            </w:r>
            <w:r>
              <w:t xml:space="preserve"> boost European </w:t>
            </w:r>
            <w:r>
              <w:rPr>
                <w:rFonts w:ascii="Times New Roman" w:eastAsia="Times New Roman" w:hAnsi="Times New Roman" w:cs="Times New Roman"/>
                <w:b/>
                <w:i/>
                <w:strike w:val="0"/>
                <w:color w:val="auto"/>
                <w:sz w:val="24"/>
                <w:highlight w:val="none"/>
                <w:u w:val="none" w:color="auto"/>
                <w:vertAlign w:val="baseline"/>
              </w:rPr>
              <w:t>sustainability and</w:t>
            </w:r>
            <w:r>
              <w:t xml:space="preserve"> competitiveness either directly by creating new enterprises and jobs or indirectly by creating cross-sector benefits to the wider economy, improving quality of life and increasing the attractiveness of Europe. </w:t>
            </w:r>
            <w:r>
              <w:rPr>
                <w:rFonts w:ascii="Times New Roman" w:eastAsia="Times New Roman" w:hAnsi="Times New Roman" w:cs="Times New Roman"/>
                <w:b/>
                <w:i/>
                <w:strike w:val="0"/>
                <w:color w:val="auto"/>
                <w:sz w:val="24"/>
                <w:highlight w:val="none"/>
                <w:u w:val="none" w:color="auto"/>
                <w:vertAlign w:val="baseline"/>
              </w:rPr>
              <w:t>CCSs</w:t>
            </w:r>
            <w:r>
              <w:t xml:space="preserve"> are increasingly seen as new sources of smart, sustainable and inclusive growth and jobs</w:t>
            </w:r>
            <w:r>
              <w:rPr>
                <w:rFonts w:ascii="Times New Roman" w:eastAsia="Times New Roman" w:hAnsi="Times New Roman" w:cs="Times New Roman"/>
                <w:b/>
                <w:i/>
                <w:strike w:val="0"/>
                <w:color w:val="auto"/>
                <w:sz w:val="24"/>
                <w:highlight w:val="none"/>
                <w:u w:val="none" w:color="auto"/>
                <w:vertAlign w:val="baseline"/>
              </w:rPr>
              <w:t>,</w:t>
            </w:r>
            <w:r>
              <w:t xml:space="preserve"> employing already more than 12 million people in the EU, which amounts to 7.5% of all EU people in employment.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Culture-based and creativity-driven innovations boost European competitiveness either directly by creating new enterprises and jobs or indirectly by creating cross-sector benefits to the wider economy, improving quality of life and increasing the attractiveness of Europe. </w:t>
            </w:r>
            <w:r>
              <w:rPr>
                <w:rFonts w:ascii="Times New Roman" w:eastAsia="Times New Roman" w:hAnsi="Times New Roman" w:cs="Times New Roman"/>
                <w:b/>
                <w:i/>
                <w:strike w:val="0"/>
                <w:color w:val="auto"/>
                <w:sz w:val="24"/>
                <w:highlight w:val="none"/>
                <w:u w:val="none" w:color="auto"/>
                <w:vertAlign w:val="baseline"/>
              </w:rPr>
              <w:t>CCIs</w:t>
            </w:r>
            <w:r>
              <w:t xml:space="preserve"> are increasingly seen as new sources of smart, sustainable and inclusive growth and jobs</w:t>
            </w:r>
            <w:r>
              <w:rPr>
                <w:rFonts w:ascii="Times New Roman" w:eastAsia="Times New Roman" w:hAnsi="Times New Roman" w:cs="Times New Roman"/>
                <w:b/>
                <w:i/>
                <w:strike w:val="0"/>
                <w:color w:val="auto"/>
                <w:sz w:val="24"/>
                <w:highlight w:val="none"/>
                <w:u w:val="none" w:color="auto"/>
                <w:vertAlign w:val="baseline"/>
              </w:rPr>
              <w:t>.</w:t>
            </w:r>
            <w:r>
              <w:t xml:space="preserve"> employing already more than 12 million people in the EU, which amounts to 7.5% of all EU people in employment.</w:t>
            </w:r>
          </w:p>
        </w:tc>
        <w:tc>
          <w:tcPr>
            <w:tcW w:w="4876" w:type="dxa"/>
            <w:vAlign w:val="top"/>
          </w:tcPr>
          <w:p>
            <w:pPr>
              <w:pStyle w:val="Normal6a"/>
            </w:pPr>
            <w:r>
              <w:t xml:space="preserve">Culture-based and creativity-driven innovations boost European competitiveness either directly by creating new enterprises and jobs or indirectly by creating cross-sector benefits to the wider economy, improving quality of life and increasing the attractiveness of Europe. </w:t>
            </w:r>
            <w:r>
              <w:rPr>
                <w:rFonts w:ascii="Times New Roman" w:eastAsia="Times New Roman" w:hAnsi="Times New Roman" w:cs="Times New Roman"/>
                <w:b/>
                <w:i/>
                <w:strike w:val="0"/>
                <w:color w:val="auto"/>
                <w:sz w:val="24"/>
                <w:highlight w:val="none"/>
                <w:u w:val="none" w:color="auto"/>
                <w:vertAlign w:val="baseline"/>
              </w:rPr>
              <w:t>CCSs</w:t>
            </w:r>
            <w:r>
              <w:t xml:space="preserve"> are increasingly seen as new sources of smart, sustainable and inclusive growth and jobs</w:t>
            </w:r>
            <w:r>
              <w:rPr>
                <w:rFonts w:ascii="Times New Roman" w:eastAsia="Times New Roman" w:hAnsi="Times New Roman" w:cs="Times New Roman"/>
                <w:b/>
                <w:i/>
                <w:strike w:val="0"/>
                <w:color w:val="auto"/>
                <w:sz w:val="24"/>
                <w:highlight w:val="none"/>
                <w:u w:val="none" w:color="auto"/>
                <w:vertAlign w:val="baseline"/>
              </w:rPr>
              <w:t>,</w:t>
            </w:r>
            <w:r>
              <w:t xml:space="preserve"> employing already more than 12 million people in the EU, which amounts to 7.5% of all EU people in employment.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contribution of culture and creativity to innovation is not limited to the direct impact of the </w:t>
            </w:r>
            <w:r>
              <w:rPr>
                <w:rFonts w:ascii="Times New Roman" w:eastAsia="Times New Roman" w:hAnsi="Times New Roman" w:cs="Times New Roman"/>
                <w:b/>
                <w:i/>
                <w:strike w:val="0"/>
                <w:color w:val="auto"/>
                <w:sz w:val="24"/>
                <w:highlight w:val="none"/>
                <w:u w:val="none" w:color="auto"/>
                <w:vertAlign w:val="baseline"/>
              </w:rPr>
              <w:t>CCI</w:t>
            </w:r>
            <w:r>
              <w:t xml:space="preserve">, since innovation across-the-board is increasingly driven by non-technological factors such as creativity, design and new organisational processes or business models. In particular, </w:t>
            </w:r>
            <w:r>
              <w:rPr>
                <w:rFonts w:ascii="Times New Roman" w:eastAsia="Times New Roman" w:hAnsi="Times New Roman" w:cs="Times New Roman"/>
                <w:b/>
                <w:i/>
                <w:strike w:val="0"/>
                <w:color w:val="auto"/>
                <w:sz w:val="24"/>
                <w:highlight w:val="none"/>
                <w:u w:val="none" w:color="auto"/>
                <w:vertAlign w:val="baseline"/>
              </w:rPr>
              <w:t>CCI</w:t>
            </w:r>
            <w:r>
              <w:t xml:space="preserve"> with distinct value chains (i.e. music, design, fashion, audio-visual, video games, architecture …) have a strong innovation capacity in economic terms and are able to drive innovation in other sectors of the economy.</w:t>
            </w:r>
          </w:p>
        </w:tc>
        <w:tc>
          <w:tcPr>
            <w:tcW w:w="4876" w:type="dxa"/>
            <w:vAlign w:val="top"/>
          </w:tcPr>
          <w:p>
            <w:pPr>
              <w:pStyle w:val="Normal6a"/>
            </w:pPr>
            <w:r>
              <w:t xml:space="preserve">The contribution of culture and creativity to innovation is not limited to the direct impact of the </w:t>
            </w:r>
            <w:r>
              <w:rPr>
                <w:rFonts w:ascii="Times New Roman" w:eastAsia="Times New Roman" w:hAnsi="Times New Roman" w:cs="Times New Roman"/>
                <w:b/>
                <w:i/>
                <w:strike w:val="0"/>
                <w:color w:val="auto"/>
                <w:sz w:val="24"/>
                <w:highlight w:val="none"/>
                <w:u w:val="none" w:color="auto"/>
                <w:vertAlign w:val="baseline"/>
              </w:rPr>
              <w:t>CCS</w:t>
            </w:r>
            <w:r>
              <w:t xml:space="preserve">, since innovation across-the-board is increasingly driven by non-technological factors such as creativity, design and new organisational processes or business models. In particular, </w:t>
            </w:r>
            <w:r>
              <w:rPr>
                <w:rFonts w:ascii="Times New Roman" w:eastAsia="Times New Roman" w:hAnsi="Times New Roman" w:cs="Times New Roman"/>
                <w:b/>
                <w:i/>
                <w:strike w:val="0"/>
                <w:color w:val="auto"/>
                <w:sz w:val="24"/>
                <w:highlight w:val="none"/>
                <w:u w:val="none" w:color="auto"/>
                <w:vertAlign w:val="baseline"/>
              </w:rPr>
              <w:t>CCS</w:t>
            </w:r>
            <w:r>
              <w:t xml:space="preserve"> with distinct value chains (i.e. music, design, fashion, audio-visual, video games, architecture …) have a strong innovation capacity in economic terms and are able to drive innovation in other sectors of the economy.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Elena Lizzi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Culture and participation in cultural activities has a direct impact on the well-being of citizens. CCI enhance societal values of identity, democracy and community participation. </w:t>
            </w:r>
            <w:r>
              <w:rPr>
                <w:rFonts w:ascii="Times New Roman" w:eastAsia="Times New Roman" w:hAnsi="Times New Roman" w:cs="Times New Roman"/>
                <w:b/>
                <w:i/>
                <w:strike w:val="0"/>
                <w:color w:val="auto"/>
                <w:sz w:val="24"/>
                <w:highlight w:val="none"/>
                <w:u w:val="none" w:color="auto"/>
                <w:vertAlign w:val="baseline"/>
              </w:rPr>
              <w:t>Culture has a great potential to reinforce a European sense of belonging, where diversity represents an asset. This is of fundamental importance to enable resilience, social access, society cohesion, anti-radicalisation and gender equality, and to tackle Europe’s political uncertainties and need of unity.</w:t>
            </w:r>
          </w:p>
        </w:tc>
        <w:tc>
          <w:tcPr>
            <w:tcW w:w="4876" w:type="dxa"/>
            <w:vAlign w:val="top"/>
          </w:tcPr>
          <w:p>
            <w:pPr>
              <w:pStyle w:val="Normal6a"/>
            </w:pPr>
            <w:r>
              <w:t>Culture and participation in cultural activities has a direct impact on the well-being of citizens. CCI enhance societal values of identity, democracy and community participation.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Culture and participation in cultural activities has a direct impact on the well-being of citizens. </w:t>
            </w:r>
            <w:r>
              <w:rPr>
                <w:rFonts w:ascii="Times New Roman" w:eastAsia="Times New Roman" w:hAnsi="Times New Roman" w:cs="Times New Roman"/>
                <w:b/>
                <w:i/>
                <w:strike w:val="0"/>
                <w:color w:val="auto"/>
                <w:sz w:val="24"/>
                <w:highlight w:val="none"/>
                <w:u w:val="none" w:color="auto"/>
                <w:vertAlign w:val="baseline"/>
              </w:rPr>
              <w:t>CCI</w:t>
            </w:r>
            <w:r>
              <w:t xml:space="preserve"> enhance societal values of identity, democracy and community participation. Culture has a great potential to reinforce a European sense of belonging, where diversity represents an asset. This is of fundamental importance to enable resilience, social access, society cohesion, anti-radicalisation and gender equality, and to tackle Europe’s political uncertainties and need of unity.</w:t>
            </w:r>
          </w:p>
        </w:tc>
        <w:tc>
          <w:tcPr>
            <w:tcW w:w="4876" w:type="dxa"/>
            <w:vAlign w:val="top"/>
          </w:tcPr>
          <w:p>
            <w:pPr>
              <w:pStyle w:val="Normal6a"/>
            </w:pPr>
            <w:r>
              <w:t xml:space="preserve">Culture and participation in cultural activities has a direct impact on the well-being of citizens. </w:t>
            </w:r>
            <w:r>
              <w:rPr>
                <w:rFonts w:ascii="Times New Roman" w:eastAsia="Times New Roman" w:hAnsi="Times New Roman" w:cs="Times New Roman"/>
                <w:b/>
                <w:i/>
                <w:strike w:val="0"/>
                <w:color w:val="auto"/>
                <w:sz w:val="24"/>
                <w:highlight w:val="none"/>
                <w:u w:val="none" w:color="auto"/>
                <w:vertAlign w:val="baseline"/>
              </w:rPr>
              <w:t>CCS</w:t>
            </w:r>
            <w:r>
              <w:t xml:space="preserve"> enhance societal values of identity, democracy and community participation. Culture has a great potential to reinforce a European sense of belonging, where diversity represents an asset. This is of fundamental importance to enable resilience, social access, society cohesion, anti-radicalisation and gender equality, and to tackle Europe’s political uncertainties and need of unity.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CCI</w:t>
            </w:r>
            <w:r>
              <w:t xml:space="preserve"> will empower network opportunities, collaboration, co-creation and know-how transfer between education, research </w:t>
            </w:r>
            <w:r>
              <w:rPr>
                <w:rFonts w:ascii="Times New Roman" w:eastAsia="Times New Roman" w:hAnsi="Times New Roman" w:cs="Times New Roman"/>
                <w:b/>
                <w:i/>
                <w:strike w:val="0"/>
                <w:color w:val="auto"/>
                <w:sz w:val="24"/>
                <w:highlight w:val="none"/>
                <w:u w:val="none" w:color="auto"/>
                <w:vertAlign w:val="baseline"/>
              </w:rPr>
              <w:t>and</w:t>
            </w:r>
            <w:r>
              <w:t xml:space="preserve"> business, within the cultural and creative sectors and with other sectors of the society and the economy. It will catalyse bottom up and top down initiatives at regional, national and EU levels. It will develop the necessary framework conditions for the creation and scale up of new ventures in innovative ecosystems. It will provide researchers and students in many disciplines (including arts, humanities, business, social sciences and applied hard sciences) and entrepreneurs of the </w:t>
            </w:r>
            <w:r>
              <w:rPr>
                <w:rFonts w:ascii="Times New Roman" w:eastAsia="Times New Roman" w:hAnsi="Times New Roman" w:cs="Times New Roman"/>
                <w:b/>
                <w:i/>
                <w:strike w:val="0"/>
                <w:color w:val="auto"/>
                <w:sz w:val="24"/>
                <w:highlight w:val="none"/>
                <w:u w:val="none" w:color="auto"/>
                <w:vertAlign w:val="baseline"/>
              </w:rPr>
              <w:t>CCI</w:t>
            </w:r>
            <w:r>
              <w:t xml:space="preserve"> and other sectors with the knowledge and skills necessary to deliver innovative solutions and to turn them into new business opportunities. It will allow further cross-fertilisation with other economic and industrial sectors, acting as an accelerator for innovation.</w:t>
            </w:r>
          </w:p>
        </w:tc>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CCS</w:t>
            </w:r>
            <w:r>
              <w:t xml:space="preserve"> will empower network opportunities, collaboration, co-creation and know-how transfer between education, research</w:t>
            </w:r>
            <w:r>
              <w:rPr>
                <w:rFonts w:ascii="Times New Roman" w:eastAsia="Times New Roman" w:hAnsi="Times New Roman" w:cs="Times New Roman"/>
                <w:b/>
                <w:i/>
                <w:strike w:val="0"/>
                <w:color w:val="auto"/>
                <w:sz w:val="24"/>
                <w:highlight w:val="none"/>
                <w:u w:val="none" w:color="auto"/>
                <w:vertAlign w:val="baseline"/>
              </w:rPr>
              <w:t>,</w:t>
            </w:r>
            <w:r>
              <w:t xml:space="preserve"> business</w:t>
            </w:r>
            <w:r>
              <w:rPr>
                <w:rFonts w:ascii="Times New Roman" w:eastAsia="Times New Roman" w:hAnsi="Times New Roman" w:cs="Times New Roman"/>
                <w:b/>
                <w:i/>
                <w:strike w:val="0"/>
                <w:color w:val="auto"/>
                <w:sz w:val="24"/>
                <w:highlight w:val="none"/>
                <w:u w:val="none" w:color="auto"/>
                <w:vertAlign w:val="baseline"/>
              </w:rPr>
              <w:t>, public and third sector organisations</w:t>
            </w:r>
            <w:r>
              <w:t xml:space="preserve">, within the cultural and creative sectors and with other sectors of the society and the economy. It will catalyse bottom up and top down initiatives at regional, national and EU levels. It will develop the necessary framework conditions for the creation and scale up of new ventures in innovative ecosystems. It will provide researchers and students in many disciplines (including arts, humanities, business, social sciences and applied hard sciences) and entrepreneurs of the </w:t>
            </w:r>
            <w:r>
              <w:rPr>
                <w:rFonts w:ascii="Times New Roman" w:eastAsia="Times New Roman" w:hAnsi="Times New Roman" w:cs="Times New Roman"/>
                <w:b/>
                <w:i/>
                <w:strike w:val="0"/>
                <w:color w:val="auto"/>
                <w:sz w:val="24"/>
                <w:highlight w:val="none"/>
                <w:u w:val="none" w:color="auto"/>
                <w:vertAlign w:val="baseline"/>
              </w:rPr>
              <w:t>CCS</w:t>
            </w:r>
            <w:r>
              <w:t xml:space="preserve"> and other sectors with the knowledge and skills necessary to deliver innovative solutions and to turn them into new </w:t>
            </w:r>
            <w:r>
              <w:rPr>
                <w:rFonts w:ascii="Times New Roman" w:eastAsia="Times New Roman" w:hAnsi="Times New Roman" w:cs="Times New Roman"/>
                <w:b/>
                <w:i/>
                <w:strike w:val="0"/>
                <w:color w:val="auto"/>
                <w:sz w:val="24"/>
                <w:highlight w:val="none"/>
                <w:u w:val="none" w:color="auto"/>
                <w:vertAlign w:val="baseline"/>
              </w:rPr>
              <w:t>cultural, societal and</w:t>
            </w:r>
            <w:r>
              <w:t xml:space="preserve"> business opportunities. It will allow further cross-fertilisation with other </w:t>
            </w:r>
            <w:r>
              <w:rPr>
                <w:rFonts w:ascii="Times New Roman" w:eastAsia="Times New Roman" w:hAnsi="Times New Roman" w:cs="Times New Roman"/>
                <w:b/>
                <w:i/>
                <w:strike w:val="0"/>
                <w:color w:val="auto"/>
                <w:sz w:val="24"/>
                <w:highlight w:val="none"/>
                <w:u w:val="none" w:color="auto"/>
                <w:vertAlign w:val="baseline"/>
              </w:rPr>
              <w:t>social,</w:t>
            </w:r>
            <w:r>
              <w:t xml:space="preserve"> economic and industrial sectors, acting as an accelerator for innovation.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8 – 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CCI</w:t>
            </w:r>
            <w:r>
              <w:t xml:space="preserve"> will empower network opportunities, collaboration, co-creation and know-how transfer between education, research and business, within the cultural and creative sectors and with other sectors of the society and the economy. It will catalyse bottom up and top down initiatives at regional, national and EU levels. It will develop the necessary framework conditions for the creation and scale up of new ventures in innovative ecosystems. It will provide researchers and students in many disciplines (including arts, humanities, business, social sciences and applied hard sciences) and entrepreneurs of the </w:t>
            </w:r>
            <w:r>
              <w:rPr>
                <w:rFonts w:ascii="Times New Roman" w:eastAsia="Times New Roman" w:hAnsi="Times New Roman" w:cs="Times New Roman"/>
                <w:b/>
                <w:i/>
                <w:strike w:val="0"/>
                <w:color w:val="auto"/>
                <w:sz w:val="24"/>
                <w:highlight w:val="none"/>
                <w:u w:val="none" w:color="auto"/>
                <w:vertAlign w:val="baseline"/>
              </w:rPr>
              <w:t>CCI</w:t>
            </w:r>
            <w:r>
              <w:t xml:space="preserve"> and other sectors with the knowledge and skills necessary to deliver innovative solutions and to turn them into new business opportunities. It will allow further cross-fertilisation with other economic and industrial sectors, acting as an accelerator for innovation.</w:t>
            </w:r>
          </w:p>
        </w:tc>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CCS</w:t>
            </w:r>
            <w:r>
              <w:t xml:space="preserve"> will empower network opportunities, collaboration, co-creation and know-how transfer between education, research and business, within the cultural and creative sectors and with other sectors of the society and the economy. It will catalyse bottom up and top down initiatives at regional, national and EU levels. It will develop the necessary framework conditions for the creation and scale up of new ventures in innovative ecosystems. It will provide researchers and students in many disciplines (including arts, humanities, business, social sciences and applied hard sciences) and entrepreneurs of the </w:t>
            </w:r>
            <w:r>
              <w:rPr>
                <w:rFonts w:ascii="Times New Roman" w:eastAsia="Times New Roman" w:hAnsi="Times New Roman" w:cs="Times New Roman"/>
                <w:b/>
                <w:i/>
                <w:strike w:val="0"/>
                <w:color w:val="auto"/>
                <w:sz w:val="24"/>
                <w:highlight w:val="none"/>
                <w:u w:val="none" w:color="auto"/>
                <w:vertAlign w:val="baseline"/>
              </w:rPr>
              <w:t>CCS</w:t>
            </w:r>
            <w:r>
              <w:t xml:space="preserve"> and other sectors with the knowledge and skills necessary to deliver innovative solutions and to turn them into new business opportunities. It will allow further cross-fertilisation with other economic and industrial sectors, acting as an accelerator for innovation.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9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 KIC in </w:t>
            </w:r>
            <w:r>
              <w:rPr>
                <w:rFonts w:ascii="Times New Roman" w:eastAsia="Times New Roman" w:hAnsi="Times New Roman" w:cs="Times New Roman"/>
                <w:b/>
                <w:i/>
                <w:strike w:val="0"/>
                <w:color w:val="auto"/>
                <w:sz w:val="24"/>
                <w:highlight w:val="none"/>
                <w:u w:val="none" w:color="auto"/>
                <w:vertAlign w:val="baseline"/>
              </w:rPr>
              <w:t>CCI</w:t>
            </w:r>
            <w:r>
              <w:t xml:space="preserve"> would be complementary to number of other Union initiatives, as well as such at the level of Member States. The main synergies expected at EU level are presented below.</w:t>
            </w:r>
          </w:p>
        </w:tc>
        <w:tc>
          <w:tcPr>
            <w:tcW w:w="4876" w:type="dxa"/>
            <w:vAlign w:val="top"/>
          </w:tcPr>
          <w:p>
            <w:pPr>
              <w:pStyle w:val="Normal6a"/>
            </w:pPr>
            <w:r>
              <w:t xml:space="preserve">A KIC in </w:t>
            </w:r>
            <w:r>
              <w:rPr>
                <w:rFonts w:ascii="Times New Roman" w:eastAsia="Times New Roman" w:hAnsi="Times New Roman" w:cs="Times New Roman"/>
                <w:b/>
                <w:i/>
                <w:strike w:val="0"/>
                <w:color w:val="auto"/>
                <w:sz w:val="24"/>
                <w:highlight w:val="none"/>
                <w:u w:val="none" w:color="auto"/>
                <w:vertAlign w:val="baseline"/>
              </w:rPr>
              <w:t>CCS</w:t>
            </w:r>
            <w:r>
              <w:t xml:space="preserve"> would be complementary to number of other Union initiatives, as well as such at the level of Member States. The main synergies expected at EU level are presented below.</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9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 KIC on </w:t>
            </w:r>
            <w:r>
              <w:rPr>
                <w:rFonts w:ascii="Times New Roman" w:eastAsia="Times New Roman" w:hAnsi="Times New Roman" w:cs="Times New Roman"/>
                <w:b/>
                <w:i/>
                <w:strike w:val="0"/>
                <w:color w:val="auto"/>
                <w:sz w:val="24"/>
                <w:highlight w:val="none"/>
                <w:u w:val="none" w:color="auto"/>
                <w:vertAlign w:val="baseline"/>
              </w:rPr>
              <w:t>CCI</w:t>
            </w:r>
            <w:r>
              <w:t xml:space="preserve"> is expected to establish strong synergies with relevant policy initiatives under Horizon Europe Programme, and in particular under Pillar II with the cluster [Inclusive and Secure Society] and its areas of intervention on Cultural Heritage and Democracy. A future KIC could also provide valuable horizontal inputs across various activities to be carried out in the cluster [Digital and Industry], in particular as regards the manufacturing technologies in which the need to develop new products rely heavily on </w:t>
            </w:r>
            <w:r>
              <w:rPr>
                <w:rFonts w:ascii="Times New Roman" w:eastAsia="Times New Roman" w:hAnsi="Times New Roman" w:cs="Times New Roman"/>
                <w:b/>
                <w:i/>
                <w:strike w:val="0"/>
                <w:color w:val="auto"/>
                <w:sz w:val="24"/>
                <w:highlight w:val="none"/>
                <w:u w:val="none" w:color="auto"/>
                <w:vertAlign w:val="baseline"/>
              </w:rPr>
              <w:t>CCI</w:t>
            </w:r>
            <w:r>
              <w:t>. Furthermore, it could efficiently complement other parts of the Horizon Europe Programme, the intervention of the existing EIT Digital and the actions foreseen under other EU programmes such as InvestEU, Digital Europe or the Cohesion Policy Funds.</w:t>
            </w:r>
          </w:p>
        </w:tc>
        <w:tc>
          <w:tcPr>
            <w:tcW w:w="4876" w:type="dxa"/>
            <w:vAlign w:val="top"/>
          </w:tcPr>
          <w:p>
            <w:pPr>
              <w:pStyle w:val="Normal6a"/>
            </w:pPr>
            <w:r>
              <w:t xml:space="preserve">A KIC on </w:t>
            </w:r>
            <w:r>
              <w:rPr>
                <w:rFonts w:ascii="Times New Roman" w:eastAsia="Times New Roman" w:hAnsi="Times New Roman" w:cs="Times New Roman"/>
                <w:b/>
                <w:i/>
                <w:strike w:val="0"/>
                <w:color w:val="auto"/>
                <w:sz w:val="24"/>
                <w:highlight w:val="none"/>
                <w:u w:val="none" w:color="auto"/>
                <w:vertAlign w:val="baseline"/>
              </w:rPr>
              <w:t>CCS</w:t>
            </w:r>
            <w:r>
              <w:t xml:space="preserve"> is expected to establish strong synergies with relevant policy initiatives under Horizon Europe Programme, and in particular under Pillar II with the cluster [Inclusive and Secure Society] and its areas of intervention on Cultural Heritage and Democracy. A future KIC could also provide valuable horizontal inputs across various activities to be carried out in the cluster [Digital and Industry], in particular as regards the manufacturing technologies in which the need to develop new products rely heavily on </w:t>
            </w:r>
            <w:r>
              <w:rPr>
                <w:rFonts w:ascii="Times New Roman" w:eastAsia="Times New Roman" w:hAnsi="Times New Roman" w:cs="Times New Roman"/>
                <w:b/>
                <w:i/>
                <w:strike w:val="0"/>
                <w:color w:val="auto"/>
                <w:sz w:val="24"/>
                <w:highlight w:val="none"/>
                <w:u w:val="none" w:color="auto"/>
                <w:vertAlign w:val="baseline"/>
              </w:rPr>
              <w:t>CCS</w:t>
            </w:r>
            <w:r>
              <w:t xml:space="preserve">. Furthermore, it could efficiently complement other parts of the Horizon Europe Programme, the intervention of the existing EIT Digital and the actions foreseen under other EU programmes such as InvestEU, </w:t>
            </w:r>
            <w:r>
              <w:rPr>
                <w:rFonts w:ascii="Times New Roman" w:eastAsia="Times New Roman" w:hAnsi="Times New Roman" w:cs="Times New Roman"/>
                <w:b/>
                <w:i/>
                <w:strike w:val="0"/>
                <w:color w:val="auto"/>
                <w:sz w:val="24"/>
                <w:highlight w:val="none"/>
                <w:u w:val="none" w:color="auto"/>
                <w:vertAlign w:val="baseline"/>
              </w:rPr>
              <w:t>Erasmus, Creative Europe,</w:t>
            </w:r>
            <w:r>
              <w:t xml:space="preserve"> Digital Europe or the Cohesion Policy Funds.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9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 KIC on </w:t>
            </w:r>
            <w:r>
              <w:rPr>
                <w:rFonts w:ascii="Times New Roman" w:eastAsia="Times New Roman" w:hAnsi="Times New Roman" w:cs="Times New Roman"/>
                <w:b/>
                <w:i/>
                <w:strike w:val="0"/>
                <w:color w:val="auto"/>
                <w:sz w:val="24"/>
                <w:highlight w:val="none"/>
                <w:u w:val="none" w:color="auto"/>
                <w:vertAlign w:val="baseline"/>
              </w:rPr>
              <w:t>CCI</w:t>
            </w:r>
            <w:r>
              <w:t xml:space="preserve"> is expected to establish strong synergies with relevant policy initiatives under Horizon Europe Programme, and in particular under Pillar II with the cluster [Inclusive and Secure Society] and its areas of intervention on Cultural Heritage and Democracy. A future KIC could also provide valuable horizontal inputs across various activities to be carried out in the cluster [Digital and Industry], in particular as regards the manufacturing technologies in which the need to develop new products rely heavily on </w:t>
            </w:r>
            <w:r>
              <w:rPr>
                <w:rFonts w:ascii="Times New Roman" w:eastAsia="Times New Roman" w:hAnsi="Times New Roman" w:cs="Times New Roman"/>
                <w:b/>
                <w:i/>
                <w:strike w:val="0"/>
                <w:color w:val="auto"/>
                <w:sz w:val="24"/>
                <w:highlight w:val="none"/>
                <w:u w:val="none" w:color="auto"/>
                <w:vertAlign w:val="baseline"/>
              </w:rPr>
              <w:t>CCI</w:t>
            </w:r>
            <w:r>
              <w:t>. Furthermore, it could efficiently complement other parts of the Horizon Europe Programme, the intervention of the existing EIT Digital and the actions foreseen under other EU programmes such as InvestEU, Digital Europe or the Cohesion Policy Funds.</w:t>
            </w:r>
          </w:p>
        </w:tc>
        <w:tc>
          <w:tcPr>
            <w:tcW w:w="4876" w:type="dxa"/>
            <w:vAlign w:val="top"/>
          </w:tcPr>
          <w:p>
            <w:pPr>
              <w:pStyle w:val="Normal6a"/>
            </w:pPr>
            <w:r>
              <w:t xml:space="preserve">A KIC on </w:t>
            </w:r>
            <w:r>
              <w:rPr>
                <w:rFonts w:ascii="Times New Roman" w:eastAsia="Times New Roman" w:hAnsi="Times New Roman" w:cs="Times New Roman"/>
                <w:b/>
                <w:i/>
                <w:strike w:val="0"/>
                <w:color w:val="auto"/>
                <w:sz w:val="24"/>
                <w:highlight w:val="none"/>
                <w:u w:val="none" w:color="auto"/>
                <w:vertAlign w:val="baseline"/>
              </w:rPr>
              <w:t>CCS</w:t>
            </w:r>
            <w:r>
              <w:t xml:space="preserve"> is expected to establish strong synergies with relevant policy initiatives under Horizon Europe Programme, and in particular under Pillar II with the cluster [Inclusive and Secure Society] and its areas of intervention on Cultural Heritage and Democracy. A future KIC could also provide valuable horizontal inputs across various activities to be carried out in the cluster [Digital and Industry], in particular as regards the manufacturing technologies in which the need to develop new products rely heavily on </w:t>
            </w:r>
            <w:r>
              <w:rPr>
                <w:rFonts w:ascii="Times New Roman" w:eastAsia="Times New Roman" w:hAnsi="Times New Roman" w:cs="Times New Roman"/>
                <w:b/>
                <w:i/>
                <w:strike w:val="0"/>
                <w:color w:val="auto"/>
                <w:sz w:val="24"/>
                <w:highlight w:val="none"/>
                <w:u w:val="none" w:color="auto"/>
                <w:vertAlign w:val="baseline"/>
              </w:rPr>
              <w:t>CCS</w:t>
            </w:r>
            <w:r>
              <w:t>. Furthermore, it could efficiently complement other parts of the Horizon Europe Programme, the intervention of the existing EIT Digital and the actions foreseen under other EU programmes such as InvestEU, Digital Europe or the Cohesion Policy Funds.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9 – 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new Creative Europe Programme will be highly relevant for the activities of the KIC on </w:t>
            </w:r>
            <w:r>
              <w:rPr>
                <w:rFonts w:ascii="Times New Roman" w:eastAsia="Times New Roman" w:hAnsi="Times New Roman" w:cs="Times New Roman"/>
                <w:b/>
                <w:i/>
                <w:strike w:val="0"/>
                <w:color w:val="auto"/>
                <w:sz w:val="24"/>
                <w:highlight w:val="none"/>
                <w:u w:val="none" w:color="auto"/>
                <w:vertAlign w:val="baseline"/>
              </w:rPr>
              <w:t>CCI</w:t>
            </w:r>
            <w:r>
              <w:t>. The Programme elects strands and special calls reflecting some of the already mentioned challenges facing the sector (e.g. creatives’ skills and employment, business models, etc.) and strong synergies and complementarities should be developed. Still under the Creative Europe Programme, and in the context of limited access to finance for the cultural and creative sectors, synergies could be expected with the Cultural and Creative Sector Guarantee Facility, a financial mechanism to help scale up cultural and creative projects by providing insurance to financial intermediaries.</w:t>
            </w:r>
          </w:p>
        </w:tc>
        <w:tc>
          <w:tcPr>
            <w:tcW w:w="4876" w:type="dxa"/>
            <w:vAlign w:val="top"/>
          </w:tcPr>
          <w:p>
            <w:pPr>
              <w:pStyle w:val="Normal6a"/>
            </w:pPr>
            <w:r>
              <w:t xml:space="preserve">The new Creative Europe Programme will be highly relevant for the activities of the KIC on </w:t>
            </w:r>
            <w:r>
              <w:rPr>
                <w:rFonts w:ascii="Times New Roman" w:eastAsia="Times New Roman" w:hAnsi="Times New Roman" w:cs="Times New Roman"/>
                <w:b/>
                <w:i/>
                <w:strike w:val="0"/>
                <w:color w:val="auto"/>
                <w:sz w:val="24"/>
                <w:highlight w:val="none"/>
                <w:u w:val="none" w:color="auto"/>
                <w:vertAlign w:val="baseline"/>
              </w:rPr>
              <w:t>CCS</w:t>
            </w:r>
            <w:r>
              <w:t>. The Programme elects strands and special calls reflecting some of the already mentioned challenges facing the sector (e.g. creatives’ skills and employment, business models, etc.) and strong synergies and complementarities should be developed. Still under the Creative Europe Programme, and in the context of limited access to finance for the cultural and creative sectors, synergies could be expected with the Cultural and Creative Sector Guarantee Facility, a financial mechanism to help scale up cultural and creative projects by providing insurance to financial intermediaries.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1 – point 9 – 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The Smart Specialisation Strategy (S3) platform on Industrial Modernisation has identified a number of R&amp;I strategies that focus on </w:t>
            </w:r>
            <w:r>
              <w:rPr>
                <w:rFonts w:ascii="Times New Roman" w:eastAsia="Times New Roman" w:hAnsi="Times New Roman" w:cs="Times New Roman"/>
                <w:b/>
                <w:i/>
                <w:strike w:val="0"/>
                <w:color w:val="auto"/>
                <w:sz w:val="24"/>
                <w:highlight w:val="none"/>
                <w:u w:val="none" w:color="auto"/>
                <w:vertAlign w:val="baseline"/>
              </w:rPr>
              <w:t>CCI</w:t>
            </w:r>
            <w:r>
              <w:t xml:space="preserve"> and explore new linkages between local assets, potential markets and societal challenges through the involvement of a large set of entrepreneurial actors. In particular, the promotion of new partnerships between research organisations, enterprises and public authorities is a major concern of S3 strategies, calling for the set-up of new collaborative platforms.</w:t>
            </w:r>
          </w:p>
        </w:tc>
        <w:tc>
          <w:tcPr>
            <w:tcW w:w="4876" w:type="dxa"/>
            <w:vAlign w:val="top"/>
          </w:tcPr>
          <w:p>
            <w:pPr>
              <w:pStyle w:val="Normal6a"/>
            </w:pPr>
            <w:r>
              <w:t xml:space="preserve">The Smart Specialisation Strategy (S3) platform on Industrial Modernisation has identified a number of R&amp;I strategies that focus on </w:t>
            </w:r>
            <w:r>
              <w:rPr>
                <w:rFonts w:ascii="Times New Roman" w:eastAsia="Times New Roman" w:hAnsi="Times New Roman" w:cs="Times New Roman"/>
                <w:b/>
                <w:i/>
                <w:strike w:val="0"/>
                <w:color w:val="auto"/>
                <w:sz w:val="24"/>
                <w:highlight w:val="none"/>
                <w:u w:val="none" w:color="auto"/>
                <w:vertAlign w:val="baseline"/>
              </w:rPr>
              <w:t>CCS</w:t>
            </w:r>
            <w:r>
              <w:t xml:space="preserve"> and explore new linkages between local assets, potential markets and societal challenges through the involvement of a large set of entrepreneurial actors. In particular, the promotion of new partnerships between research organisations, enterprises and public authorities is a major concern of S3 strategies, calling for the set-up of new collaborative platforms.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Klaus Buchner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 xml:space="preserve">on behalf of the </w:t>
      </w:r>
      <w:r>
        <w:t>Greens/EFA</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Ville Niinistö</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CCI</w:t>
            </w:r>
            <w:r>
              <w:t xml:space="preserve"> is most suited to address the major economic and societal challenges outlined above. Creativity is a key driver of innovation and a KIC on </w:t>
            </w:r>
            <w:r>
              <w:rPr>
                <w:rFonts w:ascii="Times New Roman" w:eastAsia="Times New Roman" w:hAnsi="Times New Roman" w:cs="Times New Roman"/>
                <w:b/>
                <w:i/>
                <w:strike w:val="0"/>
                <w:color w:val="auto"/>
                <w:sz w:val="24"/>
                <w:highlight w:val="none"/>
                <w:u w:val="none" w:color="auto"/>
                <w:vertAlign w:val="baseline"/>
              </w:rPr>
              <w:t>CCI</w:t>
            </w:r>
            <w:r>
              <w:t xml:space="preserve"> has the capacity to unleash the potential of culture-based creativity and </w:t>
            </w:r>
            <w:r>
              <w:rPr>
                <w:rFonts w:ascii="Times New Roman" w:eastAsia="Times New Roman" w:hAnsi="Times New Roman" w:cs="Times New Roman"/>
                <w:b/>
                <w:i/>
                <w:strike w:val="0"/>
                <w:color w:val="auto"/>
                <w:sz w:val="24"/>
                <w:highlight w:val="none"/>
                <w:u w:val="none" w:color="auto"/>
                <w:vertAlign w:val="baseline"/>
              </w:rPr>
              <w:t>help strengthening</w:t>
            </w:r>
            <w:r>
              <w:t xml:space="preserve"> Europe’s competitiveness and </w:t>
            </w:r>
            <w:r>
              <w:rPr>
                <w:rFonts w:ascii="Times New Roman" w:eastAsia="Times New Roman" w:hAnsi="Times New Roman" w:cs="Times New Roman"/>
                <w:b/>
                <w:i/>
                <w:strike w:val="0"/>
                <w:color w:val="auto"/>
                <w:sz w:val="24"/>
                <w:highlight w:val="none"/>
                <w:u w:val="none" w:color="auto"/>
                <w:vertAlign w:val="baseline"/>
              </w:rPr>
              <w:t>smart growth</w:t>
            </w:r>
            <w:r>
              <w:t>.</w:t>
            </w:r>
          </w:p>
        </w:tc>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CCS</w:t>
            </w:r>
            <w:r>
              <w:t xml:space="preserve"> is most suited to address the major economic</w:t>
            </w:r>
            <w:r>
              <w:rPr>
                <w:rFonts w:ascii="Times New Roman" w:eastAsia="Times New Roman" w:hAnsi="Times New Roman" w:cs="Times New Roman"/>
                <w:b/>
                <w:i/>
                <w:strike w:val="0"/>
                <w:color w:val="auto"/>
                <w:sz w:val="24"/>
                <w:highlight w:val="none"/>
                <w:u w:val="none" w:color="auto"/>
                <w:vertAlign w:val="baseline"/>
              </w:rPr>
              <w:t>, social</w:t>
            </w:r>
            <w:r>
              <w:t xml:space="preserve"> and societal challenges outlined above. Creativity is a key driver of innovation and a KIC on </w:t>
            </w:r>
            <w:r>
              <w:rPr>
                <w:rFonts w:ascii="Times New Roman" w:eastAsia="Times New Roman" w:hAnsi="Times New Roman" w:cs="Times New Roman"/>
                <w:b/>
                <w:i/>
                <w:strike w:val="0"/>
                <w:color w:val="auto"/>
                <w:sz w:val="24"/>
                <w:highlight w:val="none"/>
                <w:u w:val="none" w:color="auto"/>
                <w:vertAlign w:val="baseline"/>
              </w:rPr>
              <w:t>CCS</w:t>
            </w:r>
            <w:r>
              <w:t xml:space="preserve"> has the capacity to unleash the potential of </w:t>
            </w:r>
            <w:r>
              <w:rPr>
                <w:rFonts w:ascii="Times New Roman" w:eastAsia="Times New Roman" w:hAnsi="Times New Roman" w:cs="Times New Roman"/>
                <w:b/>
                <w:i/>
                <w:strike w:val="0"/>
                <w:color w:val="auto"/>
                <w:sz w:val="24"/>
                <w:highlight w:val="none"/>
                <w:u w:val="none" w:color="auto"/>
                <w:vertAlign w:val="baseline"/>
              </w:rPr>
              <w:t>artistic,</w:t>
            </w:r>
            <w:r>
              <w:t xml:space="preserve"> culture-based creativity and </w:t>
            </w:r>
            <w:r>
              <w:rPr>
                <w:rFonts w:ascii="Times New Roman" w:eastAsia="Times New Roman" w:hAnsi="Times New Roman" w:cs="Times New Roman"/>
                <w:b/>
                <w:i/>
                <w:strike w:val="0"/>
                <w:color w:val="auto"/>
                <w:sz w:val="24"/>
                <w:highlight w:val="none"/>
                <w:u w:val="none" w:color="auto"/>
                <w:vertAlign w:val="baseline"/>
              </w:rPr>
              <w:t>to help strengthen</w:t>
            </w:r>
            <w:r>
              <w:t xml:space="preserve"> Europe’s </w:t>
            </w:r>
            <w:r>
              <w:rPr>
                <w:rFonts w:ascii="Times New Roman" w:eastAsia="Times New Roman" w:hAnsi="Times New Roman" w:cs="Times New Roman"/>
                <w:b/>
                <w:i/>
                <w:strike w:val="0"/>
                <w:color w:val="auto"/>
                <w:sz w:val="24"/>
                <w:highlight w:val="none"/>
                <w:u w:val="none" w:color="auto"/>
                <w:vertAlign w:val="baseline"/>
              </w:rPr>
              <w:t>social model and sustainability, global</w:t>
            </w:r>
            <w:r>
              <w:t xml:space="preserve"> competitiveness and </w:t>
            </w:r>
            <w:r>
              <w:rPr>
                <w:rFonts w:ascii="Times New Roman" w:eastAsia="Times New Roman" w:hAnsi="Times New Roman" w:cs="Times New Roman"/>
                <w:b/>
                <w:i/>
                <w:strike w:val="0"/>
                <w:color w:val="auto"/>
                <w:sz w:val="24"/>
                <w:highlight w:val="none"/>
                <w:u w:val="none" w:color="auto"/>
                <w:vertAlign w:val="baseline"/>
              </w:rPr>
              <w:t>prosperity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Lina Gálvez Muñoz</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Proposal for a decision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6 – 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Text proposed by the Commission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CCI</w:t>
            </w:r>
            <w:r>
              <w:t xml:space="preserve"> is most suited to address the major economic and societal challenges outlined above. Creativity is a key driver of innovation and a KIC on </w:t>
            </w:r>
            <w:r>
              <w:rPr>
                <w:rFonts w:ascii="Times New Roman" w:eastAsia="Times New Roman" w:hAnsi="Times New Roman" w:cs="Times New Roman"/>
                <w:b/>
                <w:i/>
                <w:strike w:val="0"/>
                <w:color w:val="auto"/>
                <w:sz w:val="24"/>
                <w:highlight w:val="none"/>
                <w:u w:val="none" w:color="auto"/>
                <w:vertAlign w:val="baseline"/>
              </w:rPr>
              <w:t>CCI</w:t>
            </w:r>
            <w:r>
              <w:t xml:space="preserve"> has the capacity to unleash the potential of culture-based creativity and </w:t>
            </w:r>
            <w:r>
              <w:rPr>
                <w:rFonts w:ascii="Times New Roman" w:eastAsia="Times New Roman" w:hAnsi="Times New Roman" w:cs="Times New Roman"/>
                <w:b/>
                <w:i/>
                <w:strike w:val="0"/>
                <w:color w:val="auto"/>
                <w:sz w:val="24"/>
                <w:highlight w:val="none"/>
                <w:u w:val="none" w:color="auto"/>
                <w:vertAlign w:val="baseline"/>
              </w:rPr>
              <w:t>help strengthening</w:t>
            </w:r>
            <w:r>
              <w:t xml:space="preserve"> Europe’s competitiveness and smart growth.</w:t>
            </w:r>
          </w:p>
        </w:tc>
        <w:tc>
          <w:tcPr>
            <w:tcW w:w="4876" w:type="dxa"/>
            <w:vAlign w:val="top"/>
          </w:tcPr>
          <w:p>
            <w:pPr>
              <w:pStyle w:val="Normal6a"/>
            </w:pPr>
            <w:r>
              <w:t xml:space="preserve">An EIT KIC on </w:t>
            </w:r>
            <w:r>
              <w:rPr>
                <w:rFonts w:ascii="Times New Roman" w:eastAsia="Times New Roman" w:hAnsi="Times New Roman" w:cs="Times New Roman"/>
                <w:b/>
                <w:i/>
                <w:strike w:val="0"/>
                <w:color w:val="auto"/>
                <w:sz w:val="24"/>
                <w:highlight w:val="none"/>
                <w:u w:val="none" w:color="auto"/>
                <w:vertAlign w:val="baseline"/>
              </w:rPr>
              <w:t>CCS</w:t>
            </w:r>
            <w:r>
              <w:t xml:space="preserve"> is most suited to address the major economic and societal challenges outlined above. Creativity is a key driver of innovation and a KIC on </w:t>
            </w:r>
            <w:r>
              <w:rPr>
                <w:rFonts w:ascii="Times New Roman" w:eastAsia="Times New Roman" w:hAnsi="Times New Roman" w:cs="Times New Roman"/>
                <w:b/>
                <w:i/>
                <w:strike w:val="0"/>
                <w:color w:val="auto"/>
                <w:sz w:val="24"/>
                <w:highlight w:val="none"/>
                <w:u w:val="none" w:color="auto"/>
                <w:vertAlign w:val="baseline"/>
              </w:rPr>
              <w:t>CCS</w:t>
            </w:r>
            <w:r>
              <w:t xml:space="preserve"> has the capacity to unleash the potential of culture-based creativity and </w:t>
            </w:r>
            <w:r>
              <w:rPr>
                <w:rFonts w:ascii="Times New Roman" w:eastAsia="Times New Roman" w:hAnsi="Times New Roman" w:cs="Times New Roman"/>
                <w:b/>
                <w:i/>
                <w:strike w:val="0"/>
                <w:color w:val="auto"/>
                <w:sz w:val="24"/>
                <w:highlight w:val="none"/>
                <w:u w:val="none" w:color="auto"/>
                <w:vertAlign w:val="baseline"/>
              </w:rPr>
              <w:t>to help strengthen</w:t>
            </w:r>
            <w:r>
              <w:t xml:space="preserve"> Europe’s competitiveness and smart growth.</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650.649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20</w:t>
    </w:r>
    <w:r>
      <w:fldChar w:fldCharType="end"/>
    </w:r>
    <w:r>
      <w:t>/</w:t>
    </w:r>
    <w:r>
      <w:fldChar w:fldCharType="begin"/>
    </w:r>
    <w:r>
      <w:instrText>NUMPAGES</w:instrText>
    </w:r>
    <w:r>
      <w:fldChar w:fldCharType="separate"/>
    </w:r>
    <w:r>
      <w:t>21</w:t>
    </w:r>
    <w:r>
      <w:fldChar w:fldCharType="end"/>
    </w:r>
    <w:r>
      <w:tab/>
    </w:r>
    <w:r>
      <w:rPr>
        <w:rStyle w:val="HideTWBExt"/>
      </w:rPr>
      <w:t>&lt;</w:t>
    </w:r>
    <w:r>
      <w:rPr>
        <w:rStyle w:val="HideTWBExt"/>
      </w:rPr>
      <w:t>PathFdR</w:t>
    </w:r>
    <w:r>
      <w:rPr>
        <w:rStyle w:val="HideTWBExt"/>
      </w:rPr>
      <w:t>&gt;</w:t>
    </w:r>
    <w:r>
      <w:t>AM\1204310EN.docx</w:t>
    </w:r>
    <w:r>
      <w:rPr>
        <w:rStyle w:val="HideTWBExt"/>
      </w:rPr>
      <w:t>&lt;/</w:t>
    </w:r>
    <w:r>
      <w:rPr>
        <w:rStyle w:val="HideTWBExt"/>
      </w:rPr>
      <w:t>PathFdR</w:t>
    </w:r>
    <w:r>
      <w:rPr>
        <w:rStyle w:val="HideTWBExt"/>
      </w:rPr>
      <w:t>&gt;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AM\1204310EN.docx</w:t>
    </w:r>
    <w:r>
      <w:rPr>
        <w:rStyle w:val="HideTWBExt"/>
      </w:rPr>
      <w:t>&lt;/</w:t>
    </w:r>
    <w:r>
      <w:rPr>
        <w:rStyle w:val="HideTWBExt"/>
      </w:rPr>
      <w:t>PathFdR</w:t>
    </w:r>
    <w:r>
      <w:rPr>
        <w:rStyle w:val="HideTWBExt"/>
      </w:rPr>
      <w:t>&gt;</w:t>
    </w:r>
    <w:r>
      <w:tab/>
    </w:r>
    <w:r>
      <w:fldChar w:fldCharType="begin"/>
    </w:r>
    <w:r>
      <w:instrText>PAGE</w:instrText>
    </w:r>
    <w:r>
      <w:fldChar w:fldCharType="separate"/>
    </w:r>
    <w:r>
      <w:t>21</w:t>
    </w:r>
    <w:r>
      <w:fldChar w:fldCharType="end"/>
    </w:r>
    <w:r>
      <w:t>/</w:t>
    </w:r>
    <w:r>
      <w:fldChar w:fldCharType="begin"/>
    </w:r>
    <w:r>
      <w:instrText>NUMPAGES</w:instrText>
    </w:r>
    <w:r>
      <w:fldChar w:fldCharType="separate"/>
    </w:r>
    <w:r>
      <w:t>21</w:t>
    </w:r>
    <w:r>
      <w:fldChar w:fldCharType="end"/>
    </w:r>
    <w:r>
      <w:tab/>
    </w:r>
    <w:r>
      <w:t>PE</w:t>
    </w:r>
    <w:r>
      <w:rPr>
        <w:rStyle w:val="HideTWBExt"/>
      </w:rPr>
      <w:t>&lt;</w:t>
    </w:r>
    <w:r>
      <w:rPr>
        <w:rStyle w:val="HideTWBExt"/>
      </w:rPr>
      <w:t>NoPE</w:t>
    </w:r>
    <w:r>
      <w:rPr>
        <w:rStyle w:val="HideTWBExt"/>
      </w:rPr>
      <w:t>&gt;</w:t>
    </w:r>
    <w:r>
      <w:t>650.649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AM\1204310EN.docx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650.649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1204310</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20200507-163316-119829-836824</vt:lpwstr>
  </property>
  <property fmtid="{D5CDD505-2E9C-101B-9397-08002B2CF9AE}" pid="7" name="FooterPath">
    <vt:lpwstr>AM\1204310EN.docx</vt:lpwstr>
  </property>
  <property fmtid="{D5CDD505-2E9C-101B-9397-08002B2CF9AE}" pid="8" name="PE Number">
    <vt:lpwstr>650.649</vt:lpwstr>
  </property>
  <property fmtid="{D5CDD505-2E9C-101B-9397-08002B2CF9AE}" pid="9" name="UID">
    <vt:lpwstr>eu.europa.europarl-DIN1-2020-0000019284_02.00-en-01.00_text-xml</vt:lpwstr>
  </property>
</Properties>
</file>