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96B79" w:rsidRPr="00367CF5" w:rsidTr="00696B79">
        <w:trPr>
          <w:trHeight w:hRule="exact" w:val="1418"/>
        </w:trPr>
        <w:tc>
          <w:tcPr>
            <w:tcW w:w="6804" w:type="dxa"/>
            <w:vAlign w:val="center"/>
            <w:hideMark/>
          </w:tcPr>
          <w:p w:rsidR="00696B79" w:rsidRPr="00367CF5" w:rsidRDefault="00BB7F48">
            <w:pPr>
              <w:pStyle w:val="EPName"/>
            </w:pPr>
            <w:bookmarkStart w:id="0" w:name="_GoBack"/>
            <w:bookmarkEnd w:id="0"/>
            <w:r w:rsidRPr="00367CF5">
              <w:t>Europaparlamentet</w:t>
            </w:r>
          </w:p>
          <w:p w:rsidR="00696B79" w:rsidRPr="00367CF5" w:rsidRDefault="009347B1" w:rsidP="009347B1">
            <w:pPr>
              <w:pStyle w:val="EPTerm"/>
              <w:rPr>
                <w:rStyle w:val="HideTWBExt"/>
                <w:noProof w:val="0"/>
                <w:vanish w:val="0"/>
                <w:color w:val="auto"/>
              </w:rPr>
            </w:pPr>
            <w:r w:rsidRPr="00367CF5">
              <w:t>2019-2024</w:t>
            </w:r>
          </w:p>
        </w:tc>
        <w:tc>
          <w:tcPr>
            <w:tcW w:w="2268" w:type="dxa"/>
            <w:hideMark/>
          </w:tcPr>
          <w:p w:rsidR="00696B79" w:rsidRPr="00367CF5" w:rsidRDefault="00115A46">
            <w:pPr>
              <w:pStyle w:val="EPLogo"/>
            </w:pPr>
            <w:r w:rsidRPr="00367CF5">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2E9" w:rsidRPr="00367CF5" w:rsidRDefault="001742E9" w:rsidP="001742E9">
      <w:pPr>
        <w:pStyle w:val="LineTop"/>
      </w:pPr>
    </w:p>
    <w:p w:rsidR="001742E9" w:rsidRPr="00367CF5" w:rsidRDefault="001742E9" w:rsidP="001742E9">
      <w:pPr>
        <w:pStyle w:val="EPBody"/>
      </w:pPr>
      <w:r w:rsidRPr="00367CF5">
        <w:rPr>
          <w:rStyle w:val="HideTWBExt"/>
          <w:noProof w:val="0"/>
        </w:rPr>
        <w:t>&lt;</w:t>
      </w:r>
      <w:r w:rsidRPr="00367CF5">
        <w:rPr>
          <w:rStyle w:val="HideTWBExt"/>
          <w:i w:val="0"/>
          <w:noProof w:val="0"/>
        </w:rPr>
        <w:t>Commission</w:t>
      </w:r>
      <w:r w:rsidRPr="00367CF5">
        <w:rPr>
          <w:rStyle w:val="HideTWBExt"/>
          <w:noProof w:val="0"/>
        </w:rPr>
        <w:t>&gt;</w:t>
      </w:r>
      <w:r w:rsidRPr="00367CF5">
        <w:rPr>
          <w:rStyle w:val="HideTWBInt"/>
        </w:rPr>
        <w:t>{ITRE}</w:t>
      </w:r>
      <w:r w:rsidRPr="00367CF5">
        <w:t>Utskottet för industrifrågor, forskning och energi</w:t>
      </w:r>
      <w:r w:rsidRPr="00367CF5">
        <w:rPr>
          <w:rStyle w:val="HideTWBExt"/>
          <w:noProof w:val="0"/>
        </w:rPr>
        <w:t>&lt;/</w:t>
      </w:r>
      <w:r w:rsidRPr="00367CF5">
        <w:rPr>
          <w:rStyle w:val="HideTWBExt"/>
          <w:i w:val="0"/>
          <w:noProof w:val="0"/>
        </w:rPr>
        <w:t>Commission</w:t>
      </w:r>
      <w:r w:rsidRPr="00367CF5">
        <w:rPr>
          <w:rStyle w:val="HideTWBExt"/>
          <w:noProof w:val="0"/>
        </w:rPr>
        <w:t>&gt;</w:t>
      </w:r>
    </w:p>
    <w:p w:rsidR="001742E9" w:rsidRPr="00367CF5" w:rsidRDefault="001742E9" w:rsidP="001742E9">
      <w:pPr>
        <w:pStyle w:val="LineBottom"/>
      </w:pPr>
    </w:p>
    <w:p w:rsidR="00B328A0" w:rsidRPr="00367CF5" w:rsidRDefault="00B328A0">
      <w:pPr>
        <w:pStyle w:val="CoverReference"/>
      </w:pPr>
      <w:r w:rsidRPr="00367CF5">
        <w:rPr>
          <w:rStyle w:val="HideTWBExt"/>
          <w:b w:val="0"/>
          <w:noProof w:val="0"/>
        </w:rPr>
        <w:t>&lt;RefProc&gt;</w:t>
      </w:r>
      <w:r w:rsidRPr="00367CF5">
        <w:t>2018/0148</w:t>
      </w:r>
      <w:r w:rsidRPr="00367CF5">
        <w:rPr>
          <w:rStyle w:val="HideTWBExt"/>
          <w:b w:val="0"/>
          <w:noProof w:val="0"/>
        </w:rPr>
        <w:t>&lt;/RefProc&gt;&lt;RefTypeProc&gt;</w:t>
      </w:r>
      <w:r w:rsidRPr="00367CF5">
        <w:t>(COD)</w:t>
      </w:r>
      <w:r w:rsidRPr="00367CF5">
        <w:rPr>
          <w:rStyle w:val="HideTWBExt"/>
          <w:b w:val="0"/>
          <w:noProof w:val="0"/>
        </w:rPr>
        <w:t>&lt;/RefTypeProc&gt;</w:t>
      </w:r>
    </w:p>
    <w:p w:rsidR="00B328A0" w:rsidRPr="00367CF5" w:rsidRDefault="00B328A0">
      <w:pPr>
        <w:pStyle w:val="CoverDate"/>
      </w:pPr>
      <w:r w:rsidRPr="00367CF5">
        <w:rPr>
          <w:rStyle w:val="HideTWBExt"/>
          <w:noProof w:val="0"/>
        </w:rPr>
        <w:t>&lt;Date&gt;</w:t>
      </w:r>
      <w:r w:rsidRPr="00367CF5">
        <w:rPr>
          <w:rStyle w:val="HideTWBInt"/>
        </w:rPr>
        <w:t>{09/03/2020}</w:t>
      </w:r>
      <w:r w:rsidRPr="00367CF5">
        <w:t>9.3.2020</w:t>
      </w:r>
      <w:r w:rsidRPr="00367CF5">
        <w:rPr>
          <w:rStyle w:val="HideTWBExt"/>
          <w:noProof w:val="0"/>
        </w:rPr>
        <w:t>&lt;/Date&gt;</w:t>
      </w:r>
    </w:p>
    <w:p w:rsidR="00B328A0" w:rsidRPr="00367CF5" w:rsidRDefault="00B328A0">
      <w:pPr>
        <w:pStyle w:val="CoverDocType"/>
      </w:pPr>
      <w:r w:rsidRPr="00367CF5">
        <w:rPr>
          <w:rStyle w:val="HideTWBExt"/>
          <w:b w:val="0"/>
          <w:noProof w:val="0"/>
        </w:rPr>
        <w:t>&lt;RefProcLect&gt;</w:t>
      </w:r>
      <w:r w:rsidRPr="00367CF5">
        <w:t>***II</w:t>
      </w:r>
      <w:r w:rsidRPr="00367CF5">
        <w:rPr>
          <w:rStyle w:val="HideTWBExt"/>
          <w:b w:val="0"/>
          <w:noProof w:val="0"/>
        </w:rPr>
        <w:t>&lt;/RefProcLect&gt;</w:t>
      </w:r>
    </w:p>
    <w:p w:rsidR="00B328A0" w:rsidRPr="00367CF5" w:rsidRDefault="00B328A0">
      <w:pPr>
        <w:pStyle w:val="CoverDocType24a"/>
      </w:pPr>
      <w:r w:rsidRPr="00367CF5">
        <w:rPr>
          <w:rStyle w:val="HideTWBExt"/>
          <w:b w:val="0"/>
          <w:noProof w:val="0"/>
        </w:rPr>
        <w:t>&lt;TitreType&gt;</w:t>
      </w:r>
      <w:r w:rsidRPr="00367CF5">
        <w:t>FÖRSLAG TILL ANDRABEHANDLINGS-REKOMMENDATION</w:t>
      </w:r>
      <w:r w:rsidRPr="00367CF5">
        <w:rPr>
          <w:rStyle w:val="HideTWBExt"/>
          <w:b w:val="0"/>
          <w:noProof w:val="0"/>
        </w:rPr>
        <w:t>&lt;/TitreType&gt;</w:t>
      </w:r>
    </w:p>
    <w:p w:rsidR="00B328A0" w:rsidRPr="00367CF5" w:rsidRDefault="00B328A0">
      <w:pPr>
        <w:pStyle w:val="CoverNormal"/>
      </w:pPr>
      <w:r w:rsidRPr="00367CF5">
        <w:rPr>
          <w:rStyle w:val="HideTWBExt"/>
          <w:noProof w:val="0"/>
        </w:rPr>
        <w:t>&lt;Titre&gt;</w:t>
      </w:r>
      <w:r w:rsidRPr="00367CF5">
        <w:t>om rådets ståndpunkt vid första behandlingen inför antagandet av Europaparlamentets och rådets förordning om märkning av däck med avseende på drivmedelseffektivitet och andra parametrar, om ändring av förordning (EU) 2017/1369 samt om upphävande av förordning (EG) nr 1222/2009</w:t>
      </w:r>
      <w:r w:rsidRPr="00367CF5">
        <w:rPr>
          <w:rStyle w:val="HideTWBExt"/>
          <w:noProof w:val="0"/>
        </w:rPr>
        <w:t>&lt;/Titre&gt;</w:t>
      </w:r>
    </w:p>
    <w:p w:rsidR="00B328A0" w:rsidRPr="00367CF5" w:rsidRDefault="00B328A0">
      <w:pPr>
        <w:pStyle w:val="CoverNormal24a"/>
      </w:pPr>
      <w:r w:rsidRPr="00367CF5">
        <w:rPr>
          <w:rStyle w:val="HideTWBExt"/>
          <w:noProof w:val="0"/>
        </w:rPr>
        <w:t>&lt;DocRef&gt;</w:t>
      </w:r>
      <w:r w:rsidRPr="00367CF5">
        <w:t>(14649/2/2019 – C9</w:t>
      </w:r>
      <w:r w:rsidRPr="00367CF5">
        <w:noBreakHyphen/>
        <w:t>0078/2020 – 2018/0148(COD))</w:t>
      </w:r>
      <w:r w:rsidRPr="00367CF5">
        <w:rPr>
          <w:rStyle w:val="HideTWBExt"/>
          <w:noProof w:val="0"/>
        </w:rPr>
        <w:t>&lt;/DocRef&gt;</w:t>
      </w:r>
    </w:p>
    <w:p w:rsidR="00B328A0" w:rsidRPr="00367CF5" w:rsidRDefault="00B328A0">
      <w:pPr>
        <w:pStyle w:val="CoverNormal24a"/>
      </w:pPr>
      <w:r w:rsidRPr="00367CF5">
        <w:rPr>
          <w:rStyle w:val="HideTWBExt"/>
          <w:noProof w:val="0"/>
        </w:rPr>
        <w:t>&lt;Commission&gt;</w:t>
      </w:r>
      <w:r w:rsidRPr="00367CF5">
        <w:rPr>
          <w:rStyle w:val="HideTWBInt"/>
        </w:rPr>
        <w:t>{ITRE}</w:t>
      </w:r>
      <w:r w:rsidRPr="00367CF5">
        <w:t>Utskottet för industrifrågor, forskning och energi</w:t>
      </w:r>
      <w:r w:rsidRPr="00367CF5">
        <w:rPr>
          <w:rStyle w:val="HideTWBExt"/>
          <w:noProof w:val="0"/>
        </w:rPr>
        <w:t>&lt;/Commission&gt;</w:t>
      </w:r>
    </w:p>
    <w:p w:rsidR="00B328A0" w:rsidRPr="00367CF5" w:rsidRDefault="00BB7F48">
      <w:pPr>
        <w:pStyle w:val="CoverNormal24a"/>
      </w:pPr>
      <w:r w:rsidRPr="00367CF5">
        <w:t xml:space="preserve">Föredragande: </w:t>
      </w:r>
      <w:r w:rsidRPr="00367CF5">
        <w:rPr>
          <w:rStyle w:val="HideTWBExt"/>
          <w:noProof w:val="0"/>
        </w:rPr>
        <w:t>&lt;Depute&gt;</w:t>
      </w:r>
      <w:r w:rsidRPr="00367CF5">
        <w:t>Henna Virkkunen</w:t>
      </w:r>
      <w:r w:rsidRPr="00367CF5">
        <w:rPr>
          <w:rStyle w:val="HideTWBExt"/>
          <w:noProof w:val="0"/>
        </w:rPr>
        <w:t>&lt;/Depute&gt;</w:t>
      </w:r>
    </w:p>
    <w:p w:rsidR="00E91F5F" w:rsidRPr="00367CF5" w:rsidRDefault="00E91F5F" w:rsidP="00E91F5F">
      <w:pPr>
        <w:pStyle w:val="CoverNormal"/>
      </w:pPr>
    </w:p>
    <w:p w:rsidR="009347B1" w:rsidRPr="00367CF5" w:rsidRDefault="00B328A0" w:rsidP="00894923">
      <w:r w:rsidRPr="00367CF5">
        <w:br w:type="page"/>
      </w:r>
      <w:r w:rsidR="003F2D35" w:rsidRPr="00367CF5">
        <w:lastRenderedPageBreak/>
        <w:fldChar w:fldCharType="begin"/>
      </w:r>
      <w:r w:rsidR="003F2D35" w:rsidRPr="00367CF5">
        <w:instrText xml:space="preserve"> TITLE  \* MERGEFORMAT </w:instrText>
      </w:r>
      <w:r w:rsidR="003F2D35" w:rsidRPr="00367CF5">
        <w:fldChar w:fldCharType="separate"/>
      </w:r>
      <w:r w:rsidR="003F2D35">
        <w:t>PR_COD_2app</w:t>
      </w:r>
      <w:r w:rsidR="003F2D35" w:rsidRPr="00367CF5">
        <w:fldChar w:fldCharType="end"/>
      </w:r>
    </w:p>
    <w:p w:rsidR="009347B1" w:rsidRPr="00367CF5" w:rsidRDefault="009347B1" w:rsidP="00894923"/>
    <w:p w:rsidR="009347B1" w:rsidRPr="00367CF5" w:rsidRDefault="009347B1"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347B1" w:rsidRPr="00367CF5">
        <w:tc>
          <w:tcPr>
            <w:tcW w:w="5811" w:type="dxa"/>
          </w:tcPr>
          <w:p w:rsidR="009347B1" w:rsidRPr="00367CF5" w:rsidRDefault="009347B1" w:rsidP="00894923">
            <w:pPr>
              <w:pStyle w:val="Lgendetitre"/>
            </w:pPr>
            <w:r w:rsidRPr="00367CF5">
              <w:t>Teckenförklaring</w:t>
            </w:r>
          </w:p>
        </w:tc>
      </w:tr>
      <w:tr w:rsidR="009347B1" w:rsidRPr="00367CF5" w:rsidTr="007452CB">
        <w:trPr>
          <w:cantSplit/>
          <w:trHeight w:val="1807"/>
        </w:trPr>
        <w:tc>
          <w:tcPr>
            <w:tcW w:w="5811" w:type="dxa"/>
            <w:tcBorders>
              <w:bottom w:val="single" w:sz="4" w:space="0" w:color="auto"/>
            </w:tcBorders>
          </w:tcPr>
          <w:p w:rsidR="009347B1" w:rsidRPr="00367CF5" w:rsidRDefault="009347B1" w:rsidP="003506ED">
            <w:pPr>
              <w:pStyle w:val="Lgendesigne"/>
            </w:pPr>
            <w:r w:rsidRPr="00367CF5">
              <w:tab/>
              <w:t>*</w:t>
            </w:r>
            <w:r w:rsidRPr="00367CF5">
              <w:tab/>
              <w:t>Samrådsförfarande</w:t>
            </w:r>
          </w:p>
          <w:p w:rsidR="009347B1" w:rsidRPr="00367CF5" w:rsidRDefault="009347B1" w:rsidP="003506ED">
            <w:pPr>
              <w:pStyle w:val="Lgendesigne"/>
            </w:pPr>
            <w:r w:rsidRPr="00367CF5">
              <w:tab/>
              <w:t>***</w:t>
            </w:r>
            <w:r w:rsidRPr="00367CF5">
              <w:tab/>
              <w:t>Godkännandeförfarande</w:t>
            </w:r>
          </w:p>
          <w:p w:rsidR="009347B1" w:rsidRPr="00367CF5" w:rsidRDefault="009347B1" w:rsidP="003506ED">
            <w:pPr>
              <w:pStyle w:val="Lgendesigne"/>
            </w:pPr>
            <w:r w:rsidRPr="00367CF5">
              <w:tab/>
              <w:t>***I</w:t>
            </w:r>
            <w:r w:rsidRPr="00367CF5">
              <w:tab/>
              <w:t>Ordinarie lagstiftningsförfarande (första behandlingen)</w:t>
            </w:r>
          </w:p>
          <w:p w:rsidR="009347B1" w:rsidRPr="00367CF5" w:rsidRDefault="009347B1" w:rsidP="003506ED">
            <w:pPr>
              <w:pStyle w:val="Lgendesigne"/>
            </w:pPr>
            <w:r w:rsidRPr="00367CF5">
              <w:tab/>
              <w:t>***II</w:t>
            </w:r>
            <w:r w:rsidRPr="00367CF5">
              <w:tab/>
              <w:t>Ordinarie lagstiftningsförfarande (andra behandlingen)</w:t>
            </w:r>
          </w:p>
          <w:p w:rsidR="009347B1" w:rsidRPr="00367CF5" w:rsidRDefault="009347B1" w:rsidP="003506ED">
            <w:pPr>
              <w:pStyle w:val="Lgendesigne"/>
            </w:pPr>
            <w:r w:rsidRPr="00367CF5">
              <w:tab/>
              <w:t>***III</w:t>
            </w:r>
            <w:r w:rsidRPr="00367CF5">
              <w:tab/>
              <w:t>Ordinarie lagstiftningsförfarande (tredje behandlingen)</w:t>
            </w:r>
          </w:p>
          <w:p w:rsidR="009347B1" w:rsidRPr="00367CF5" w:rsidRDefault="009347B1" w:rsidP="003506ED">
            <w:pPr>
              <w:pStyle w:val="Lgendestandard"/>
            </w:pPr>
          </w:p>
          <w:p w:rsidR="009347B1" w:rsidRPr="00367CF5" w:rsidRDefault="009347B1" w:rsidP="003506ED">
            <w:pPr>
              <w:pStyle w:val="Lgendestandard"/>
            </w:pPr>
            <w:r w:rsidRPr="00367CF5">
              <w:t>(Det angivna förfarandet baseras på den rättsliga grund som angetts i förslaget till akt.)</w:t>
            </w:r>
          </w:p>
          <w:p w:rsidR="009347B1" w:rsidRPr="00367CF5" w:rsidRDefault="009347B1" w:rsidP="00B54EAF">
            <w:pPr>
              <w:pStyle w:val="Lgendestandard"/>
            </w:pPr>
          </w:p>
        </w:tc>
      </w:tr>
    </w:tbl>
    <w:p w:rsidR="009347B1" w:rsidRPr="00367CF5" w:rsidRDefault="009347B1" w:rsidP="00894923"/>
    <w:p w:rsidR="009347B1" w:rsidRPr="00367CF5" w:rsidRDefault="009347B1" w:rsidP="00894923"/>
    <w:p w:rsidR="009347B1" w:rsidRPr="00367CF5" w:rsidRDefault="009347B1" w:rsidP="00894923"/>
    <w:p w:rsidR="009347B1" w:rsidRPr="00367CF5" w:rsidRDefault="009347B1"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347B1" w:rsidRPr="00367CF5">
        <w:tc>
          <w:tcPr>
            <w:tcW w:w="5811" w:type="dxa"/>
          </w:tcPr>
          <w:p w:rsidR="009347B1" w:rsidRPr="00367CF5" w:rsidRDefault="009347B1" w:rsidP="00894923">
            <w:pPr>
              <w:pStyle w:val="Lgendetitre"/>
            </w:pPr>
            <w:r w:rsidRPr="00367CF5">
              <w:t>Ändringsförslag till ett förslag till akt</w:t>
            </w:r>
          </w:p>
        </w:tc>
      </w:tr>
      <w:tr w:rsidR="009347B1" w:rsidRPr="00367CF5" w:rsidTr="00554250">
        <w:trPr>
          <w:trHeight w:val="4496"/>
        </w:trPr>
        <w:tc>
          <w:tcPr>
            <w:tcW w:w="5811" w:type="dxa"/>
          </w:tcPr>
          <w:p w:rsidR="009347B1" w:rsidRPr="00367CF5" w:rsidRDefault="009347B1" w:rsidP="003506ED">
            <w:pPr>
              <w:pStyle w:val="Lgendestandard"/>
              <w:rPr>
                <w:szCs w:val="24"/>
              </w:rPr>
            </w:pPr>
            <w:r w:rsidRPr="00367CF5">
              <w:rPr>
                <w:b/>
                <w:szCs w:val="24"/>
              </w:rPr>
              <w:t>När parlamentets ändringsförslag utformas i två spalter gäller följande:</w:t>
            </w:r>
          </w:p>
          <w:p w:rsidR="009347B1" w:rsidRPr="00367CF5" w:rsidRDefault="009347B1" w:rsidP="003506ED">
            <w:pPr>
              <w:pStyle w:val="Lgendestandard"/>
              <w:rPr>
                <w:szCs w:val="24"/>
              </w:rPr>
            </w:pPr>
          </w:p>
          <w:p w:rsidR="009347B1" w:rsidRPr="00367CF5" w:rsidRDefault="009347B1" w:rsidP="003506ED">
            <w:pPr>
              <w:pStyle w:val="Lgendestandard"/>
              <w:rPr>
                <w:szCs w:val="24"/>
              </w:rPr>
            </w:pPr>
            <w:r w:rsidRPr="00367CF5">
              <w:t xml:space="preserve">Text som utgår markeras med </w:t>
            </w:r>
            <w:r w:rsidRPr="00367CF5">
              <w:rPr>
                <w:b/>
                <w:i/>
              </w:rPr>
              <w:t>fetkursiv stil</w:t>
            </w:r>
            <w:r w:rsidRPr="00367CF5">
              <w:t xml:space="preserve"> i vänsterspalten.  Text som ersätts markeras med </w:t>
            </w:r>
            <w:r w:rsidRPr="00367CF5">
              <w:rPr>
                <w:b/>
                <w:i/>
              </w:rPr>
              <w:t>fetkursiv stil</w:t>
            </w:r>
            <w:r w:rsidRPr="00367CF5">
              <w:t xml:space="preserve"> i båda spalterna.  Ny text markeras med </w:t>
            </w:r>
            <w:r w:rsidRPr="00367CF5">
              <w:rPr>
                <w:b/>
                <w:i/>
              </w:rPr>
              <w:t>fetkursiv stil</w:t>
            </w:r>
            <w:r w:rsidRPr="00367CF5">
              <w:t xml:space="preserve"> i högerspalten.</w:t>
            </w:r>
          </w:p>
          <w:p w:rsidR="009347B1" w:rsidRPr="00367CF5" w:rsidRDefault="009347B1" w:rsidP="003506ED">
            <w:pPr>
              <w:pStyle w:val="Lgendestandard"/>
              <w:rPr>
                <w:szCs w:val="24"/>
              </w:rPr>
            </w:pPr>
          </w:p>
          <w:p w:rsidR="009347B1" w:rsidRPr="00367CF5" w:rsidRDefault="009347B1" w:rsidP="003506ED">
            <w:pPr>
              <w:pStyle w:val="Lgendestandard"/>
              <w:rPr>
                <w:szCs w:val="24"/>
              </w:rPr>
            </w:pPr>
            <w:r w:rsidRPr="00367CF5">
              <w:t>De två första raderna i hänvisningen ovanför varje ändringsförslag anger vilket textavsnitt som avses i det förslag till akt som behandlas.  Om ett ändringsförslag avser en befintlig akt som förslaget till akt är avsett att ändra innehåller hänvisningen även en tredje och en fjärde rad. Den tredje raden anger den befintliga akten och den fjärde vilken bestämmelse i denna akt som ändringsförslaget avser.</w:t>
            </w:r>
          </w:p>
          <w:p w:rsidR="009347B1" w:rsidRPr="00367CF5" w:rsidRDefault="009347B1" w:rsidP="003506ED">
            <w:pPr>
              <w:pStyle w:val="Lgendestandard"/>
              <w:rPr>
                <w:szCs w:val="24"/>
              </w:rPr>
            </w:pPr>
          </w:p>
          <w:p w:rsidR="009347B1" w:rsidRPr="00367CF5" w:rsidRDefault="009347B1" w:rsidP="003506ED">
            <w:pPr>
              <w:pStyle w:val="Lgendestandard"/>
              <w:rPr>
                <w:b/>
                <w:szCs w:val="24"/>
              </w:rPr>
            </w:pPr>
            <w:r w:rsidRPr="00367CF5">
              <w:rPr>
                <w:b/>
                <w:szCs w:val="24"/>
              </w:rPr>
              <w:t>När parlamentets ändringsförslag utformas som en konsoliderad text gäller följande:</w:t>
            </w:r>
          </w:p>
          <w:p w:rsidR="009347B1" w:rsidRPr="00367CF5" w:rsidRDefault="009347B1" w:rsidP="003506ED">
            <w:pPr>
              <w:pStyle w:val="Lgendestandard"/>
              <w:rPr>
                <w:szCs w:val="24"/>
              </w:rPr>
            </w:pPr>
          </w:p>
          <w:p w:rsidR="009347B1" w:rsidRPr="00367CF5" w:rsidRDefault="009347B1" w:rsidP="003506ED">
            <w:pPr>
              <w:pStyle w:val="Lgendestandard"/>
              <w:rPr>
                <w:szCs w:val="24"/>
              </w:rPr>
            </w:pPr>
            <w:r w:rsidRPr="00367CF5">
              <w:t xml:space="preserve">Nya textdelar markeras med </w:t>
            </w:r>
            <w:r w:rsidRPr="00367CF5">
              <w:rPr>
                <w:b/>
                <w:i/>
              </w:rPr>
              <w:t>fetkursiv stil</w:t>
            </w:r>
            <w:r w:rsidRPr="00367CF5">
              <w:t xml:space="preserve">.  Textdelar som utgår markeras med symbolen ▌eller med genomstrykning.  Textdelar som ersätts anges genom att ny text markeras med </w:t>
            </w:r>
            <w:r w:rsidRPr="00367CF5">
              <w:rPr>
                <w:b/>
                <w:i/>
              </w:rPr>
              <w:t>fetkursiv stil</w:t>
            </w:r>
            <w:r w:rsidRPr="00367CF5">
              <w:t xml:space="preserve"> och text som utgår stryks eller markeras med genomstrykning.  </w:t>
            </w:r>
          </w:p>
          <w:p w:rsidR="009347B1" w:rsidRPr="00367CF5" w:rsidRDefault="009347B1" w:rsidP="003506ED">
            <w:pPr>
              <w:pStyle w:val="Lgendestandard"/>
            </w:pPr>
            <w:r w:rsidRPr="00367CF5">
              <w:t>Sådana ändringar som endast är tekniska och som gjorts av de berörda avdelningarna vid färdigställandet av den slutliga texten markeras däremot inte.</w:t>
            </w:r>
          </w:p>
          <w:p w:rsidR="009347B1" w:rsidRPr="00367CF5" w:rsidRDefault="009347B1" w:rsidP="0069092A">
            <w:pPr>
              <w:pStyle w:val="Lgendestandard"/>
            </w:pPr>
          </w:p>
        </w:tc>
      </w:tr>
    </w:tbl>
    <w:p w:rsidR="009347B1" w:rsidRPr="00367CF5" w:rsidRDefault="009347B1" w:rsidP="00894923"/>
    <w:p w:rsidR="00B328A0" w:rsidRPr="00367CF5" w:rsidRDefault="00B328A0" w:rsidP="00744DF3">
      <w:pPr>
        <w:widowControl/>
        <w:tabs>
          <w:tab w:val="center" w:pos="4677"/>
        </w:tabs>
      </w:pPr>
    </w:p>
    <w:p w:rsidR="00B328A0" w:rsidRPr="00367CF5" w:rsidRDefault="00B328A0">
      <w:pPr>
        <w:pStyle w:val="TOCHeading"/>
      </w:pPr>
      <w:r w:rsidRPr="00367CF5">
        <w:br w:type="page"/>
      </w:r>
      <w:r w:rsidRPr="00367CF5">
        <w:lastRenderedPageBreak/>
        <w:t>INNEHÅLL</w:t>
      </w:r>
    </w:p>
    <w:p w:rsidR="00B328A0" w:rsidRPr="00367CF5" w:rsidRDefault="00BB7F48">
      <w:pPr>
        <w:pStyle w:val="TOCPage"/>
      </w:pPr>
      <w:r w:rsidRPr="00367CF5">
        <w:t>Sida</w:t>
      </w:r>
    </w:p>
    <w:p w:rsidR="003F2D35" w:rsidRDefault="00744DF3">
      <w:pPr>
        <w:pStyle w:val="TOC1"/>
        <w:tabs>
          <w:tab w:val="right" w:leader="dot" w:pos="9060"/>
        </w:tabs>
        <w:rPr>
          <w:rFonts w:asciiTheme="minorHAnsi" w:eastAsiaTheme="minorEastAsia" w:hAnsiTheme="minorHAnsi" w:cstheme="minorBidi"/>
          <w:noProof/>
          <w:sz w:val="22"/>
          <w:szCs w:val="22"/>
          <w:lang w:val="en-GB"/>
        </w:rPr>
      </w:pPr>
      <w:r w:rsidRPr="00367CF5">
        <w:rPr>
          <w:b/>
        </w:rPr>
        <w:fldChar w:fldCharType="begin"/>
      </w:r>
      <w:r w:rsidRPr="00367CF5">
        <w:rPr>
          <w:b/>
        </w:rPr>
        <w:instrText xml:space="preserve"> TOC \t "PageHeading</w:instrText>
      </w:r>
      <w:r w:rsidR="003F2D35">
        <w:rPr>
          <w:b/>
        </w:rPr>
        <w:instrText>;</w:instrText>
      </w:r>
      <w:r w:rsidRPr="00367CF5">
        <w:rPr>
          <w:b/>
        </w:rPr>
        <w:instrText xml:space="preserve">1" </w:instrText>
      </w:r>
      <w:r w:rsidRPr="00367CF5">
        <w:rPr>
          <w:b/>
        </w:rPr>
        <w:fldChar w:fldCharType="separate"/>
      </w:r>
      <w:r w:rsidR="003F2D35">
        <w:rPr>
          <w:noProof/>
        </w:rPr>
        <w:t>FÖRSLAG TILL EUROPAPARLAMENTETS LAGSTIFTNINGSRESOLUTION</w:t>
      </w:r>
      <w:r w:rsidR="003F2D35">
        <w:rPr>
          <w:noProof/>
        </w:rPr>
        <w:tab/>
      </w:r>
      <w:r w:rsidR="003F2D35">
        <w:rPr>
          <w:noProof/>
        </w:rPr>
        <w:fldChar w:fldCharType="begin"/>
      </w:r>
      <w:r w:rsidR="003F2D35">
        <w:rPr>
          <w:noProof/>
        </w:rPr>
        <w:instrText xml:space="preserve"> PAGEREF _Toc35322594 \h </w:instrText>
      </w:r>
      <w:r w:rsidR="003F2D35">
        <w:rPr>
          <w:noProof/>
        </w:rPr>
      </w:r>
      <w:r w:rsidR="003F2D35">
        <w:rPr>
          <w:noProof/>
        </w:rPr>
        <w:fldChar w:fldCharType="separate"/>
      </w:r>
      <w:r w:rsidR="003F2D35">
        <w:rPr>
          <w:noProof/>
        </w:rPr>
        <w:t>5</w:t>
      </w:r>
      <w:r w:rsidR="003F2D35">
        <w:rPr>
          <w:noProof/>
        </w:rPr>
        <w:fldChar w:fldCharType="end"/>
      </w:r>
    </w:p>
    <w:p w:rsidR="00AB2BE6" w:rsidRPr="00367CF5" w:rsidRDefault="00744DF3" w:rsidP="00A347A7">
      <w:r w:rsidRPr="00367CF5">
        <w:rPr>
          <w:b/>
        </w:rPr>
        <w:fldChar w:fldCharType="end"/>
      </w:r>
    </w:p>
    <w:p w:rsidR="00B328A0" w:rsidRPr="00367CF5" w:rsidRDefault="00B328A0">
      <w:pPr>
        <w:pStyle w:val="PageHeading"/>
      </w:pPr>
      <w:r w:rsidRPr="00367CF5">
        <w:br w:type="page"/>
      </w:r>
      <w:r w:rsidRPr="00367CF5">
        <w:lastRenderedPageBreak/>
        <w:br w:type="page"/>
      </w:r>
      <w:bookmarkStart w:id="1" w:name="_Toc35322594"/>
      <w:r w:rsidRPr="00367CF5">
        <w:lastRenderedPageBreak/>
        <w:t>FÖRSLAG TILL EUROPAPARLAMENTETS LAGSTIFTNINGSRESOLUTION</w:t>
      </w:r>
      <w:bookmarkEnd w:id="1"/>
    </w:p>
    <w:p w:rsidR="00B328A0" w:rsidRPr="00367CF5" w:rsidRDefault="00BB7F48">
      <w:pPr>
        <w:pStyle w:val="NormalBold"/>
      </w:pPr>
      <w:r w:rsidRPr="00367CF5">
        <w:t>om rådets ståndpunkt vid första behandlingen inför antagandet av Europaparlamentets och rådets förordning om märkning av däck med avseende på drivmedelseffektivitet och andra parametrar, om ändring av förordning (EU) 2017/1369 samt om upphävande av förordning (EG) nr 1222/2009</w:t>
      </w:r>
    </w:p>
    <w:p w:rsidR="00B328A0" w:rsidRPr="00367CF5" w:rsidRDefault="00BB7F48">
      <w:pPr>
        <w:pStyle w:val="NormalBold12a"/>
      </w:pPr>
      <w:r w:rsidRPr="00367CF5">
        <w:t>(14649/2/2019 – C9</w:t>
      </w:r>
      <w:r w:rsidRPr="00367CF5">
        <w:noBreakHyphen/>
        <w:t>0078/2020 – 2018/0148(COD))</w:t>
      </w:r>
    </w:p>
    <w:p w:rsidR="00B328A0" w:rsidRPr="00367CF5" w:rsidRDefault="00BB7F48" w:rsidP="004A107D">
      <w:pPr>
        <w:pStyle w:val="NormalBold"/>
      </w:pPr>
      <w:r w:rsidRPr="00367CF5">
        <w:t>Ordinarie lagstiftningsförfarande:  andra behandlingen)</w:t>
      </w:r>
    </w:p>
    <w:p w:rsidR="00B328A0" w:rsidRPr="00367CF5" w:rsidRDefault="00BB7F48">
      <w:pPr>
        <w:pStyle w:val="EPComma"/>
      </w:pPr>
      <w:r w:rsidRPr="00367CF5">
        <w:rPr>
          <w:i/>
        </w:rPr>
        <w:t>Europaparlamentet utfärdar denna resolution</w:t>
      </w:r>
    </w:p>
    <w:p w:rsidR="00B328A0" w:rsidRPr="00367CF5" w:rsidRDefault="00B328A0">
      <w:pPr>
        <w:pStyle w:val="NormalHanging12a"/>
      </w:pPr>
      <w:r w:rsidRPr="00367CF5">
        <w:t>–</w:t>
      </w:r>
      <w:r w:rsidRPr="00367CF5">
        <w:tab/>
        <w:t>med beaktande av rådets ståndpunkt vid första behandlingen</w:t>
      </w:r>
      <w:r w:rsidRPr="00367CF5">
        <w:rPr>
          <w:b/>
        </w:rPr>
        <w:t xml:space="preserve"> </w:t>
      </w:r>
      <w:r w:rsidRPr="00367CF5">
        <w:t>(14649/2/2019 – C9</w:t>
      </w:r>
      <w:r w:rsidRPr="00367CF5">
        <w:noBreakHyphen/>
        <w:t>0078/2020),</w:t>
      </w:r>
    </w:p>
    <w:p w:rsidR="00F90BF7" w:rsidRPr="00367CF5" w:rsidRDefault="00F90BF7" w:rsidP="00F90BF7">
      <w:pPr>
        <w:pStyle w:val="NormalHanging12a"/>
      </w:pPr>
      <w:r w:rsidRPr="00367CF5">
        <w:t>–</w:t>
      </w:r>
      <w:r w:rsidRPr="00367CF5">
        <w:tab/>
        <w:t>med beaktande av sin ståndpunkt vid första behandlingen av ärendet</w:t>
      </w:r>
      <w:r w:rsidR="009347B1" w:rsidRPr="00367CF5">
        <w:rPr>
          <w:rStyle w:val="FootnoteReference"/>
        </w:rPr>
        <w:footnoteReference w:id="1"/>
      </w:r>
      <w:r w:rsidRPr="00367CF5">
        <w:t>, en behandling som avsåg kommissionens förslag till Europaparlamentet och rådet (COM(2018)0296),</w:t>
      </w:r>
    </w:p>
    <w:p w:rsidR="00C83E85" w:rsidRPr="00367CF5" w:rsidRDefault="00C83E85" w:rsidP="00C83E85">
      <w:pPr>
        <w:pStyle w:val="NormalHanging12a"/>
      </w:pPr>
      <w:r w:rsidRPr="00367CF5">
        <w:t>–</w:t>
      </w:r>
      <w:r w:rsidRPr="00367CF5">
        <w:tab/>
        <w:t>med beaktande av artikel 294.7 i fördraget om Europeiska unionens funktionssätt,</w:t>
      </w:r>
    </w:p>
    <w:p w:rsidR="00D03678" w:rsidRPr="00367CF5" w:rsidRDefault="00D03678" w:rsidP="00D03678">
      <w:pPr>
        <w:pStyle w:val="NormalHanging12a"/>
      </w:pPr>
      <w:r w:rsidRPr="00367CF5">
        <w:t>–</w:t>
      </w:r>
      <w:r w:rsidRPr="00367CF5">
        <w:tab/>
        <w:t>med beaktande av den preliminära överenskommelse som godkänts av det ansvariga utskottet enligt artikel 74.4 i arbetsordningen,</w:t>
      </w:r>
    </w:p>
    <w:p w:rsidR="00C83E85" w:rsidRPr="00367CF5" w:rsidRDefault="00C83E85" w:rsidP="00C83E85">
      <w:pPr>
        <w:pStyle w:val="NormalHanging12a"/>
      </w:pPr>
      <w:r w:rsidRPr="00367CF5">
        <w:t>–</w:t>
      </w:r>
      <w:r w:rsidRPr="00367CF5">
        <w:tab/>
        <w:t>med beaktande av artikel 67 i arbetsordningen,</w:t>
      </w:r>
    </w:p>
    <w:p w:rsidR="00B328A0" w:rsidRPr="00367CF5" w:rsidRDefault="00B328A0">
      <w:pPr>
        <w:pStyle w:val="NormalHanging12a"/>
      </w:pPr>
      <w:r w:rsidRPr="00367CF5">
        <w:t>–</w:t>
      </w:r>
      <w:r w:rsidRPr="00367CF5">
        <w:tab/>
        <w:t>med beaktande av andrabehandlingsrekommendationen från utskottet för industrifrågor, forskning och energi (A9-0000/2020).</w:t>
      </w:r>
    </w:p>
    <w:p w:rsidR="00B328A0" w:rsidRPr="00367CF5" w:rsidRDefault="00B328A0">
      <w:pPr>
        <w:pStyle w:val="NormalHanging12a"/>
      </w:pPr>
      <w:r w:rsidRPr="00367CF5">
        <w:t>1.</w:t>
      </w:r>
      <w:r w:rsidRPr="00367CF5">
        <w:tab/>
        <w:t>Europaparlamentet godkänner rådets ståndpunkt vid första behandlingen.</w:t>
      </w:r>
    </w:p>
    <w:p w:rsidR="00B328A0" w:rsidRPr="00367CF5" w:rsidRDefault="00407E0B">
      <w:pPr>
        <w:pStyle w:val="NormalHanging12a"/>
      </w:pPr>
      <w:r w:rsidRPr="00367CF5">
        <w:t>2.</w:t>
      </w:r>
      <w:r w:rsidRPr="00367CF5">
        <w:tab/>
        <w:t>Europaparlamentet konstaterar att rättsakten är antagen i enlighet med rådets ståndpunkt.</w:t>
      </w:r>
    </w:p>
    <w:p w:rsidR="00B328A0" w:rsidRPr="00367CF5" w:rsidRDefault="00DE007B">
      <w:pPr>
        <w:pStyle w:val="NormalHanging12a"/>
      </w:pPr>
      <w:r w:rsidRPr="00367CF5">
        <w:t>3.</w:t>
      </w:r>
      <w:r w:rsidRPr="00367CF5">
        <w:tab/>
        <w:t>Europaparlamentet uppdrar åt talmannen att tillsammans med rådets ordförande underteckna akten i enlighet med artikel 297.1 i fördraget om Europeiska unionens funktionssätt.</w:t>
      </w:r>
    </w:p>
    <w:p w:rsidR="00B328A0" w:rsidRPr="00367CF5" w:rsidRDefault="00DE007B">
      <w:pPr>
        <w:pStyle w:val="NormalHanging12a"/>
      </w:pPr>
      <w:r w:rsidRPr="00367CF5">
        <w:t>4.</w:t>
      </w:r>
      <w:r w:rsidRPr="00367CF5">
        <w:tab/>
        <w:t xml:space="preserve">Europaparlamentet uppdrar åt sin generalsekreterare att, när det har kontrollerats att alla förfaranden vederbörligen avslutats, underteckna akten och i samförstånd med rådets generalsekreterare se till att den offentliggörs i </w:t>
      </w:r>
      <w:r w:rsidRPr="00367CF5">
        <w:rPr>
          <w:i/>
        </w:rPr>
        <w:t>Europeiska unionens officiella tidning</w:t>
      </w:r>
      <w:r w:rsidRPr="00367CF5">
        <w:t>.</w:t>
      </w:r>
    </w:p>
    <w:p w:rsidR="00B328A0" w:rsidRPr="00367CF5" w:rsidRDefault="00DE007B">
      <w:pPr>
        <w:pStyle w:val="NormalHanging12a"/>
      </w:pPr>
      <w:r w:rsidRPr="00367CF5">
        <w:t>5.</w:t>
      </w:r>
      <w:r w:rsidRPr="00367CF5">
        <w:tab/>
        <w:t>Europaparlamentet uppdrar åt talmannen att översända parlamentets ståndpunkt till rådet, kommissionen och de nationella parlamenten.</w:t>
      </w:r>
    </w:p>
    <w:p w:rsidR="00B328A0" w:rsidRPr="00367CF5" w:rsidRDefault="00B328A0">
      <w:pPr>
        <w:widowControl/>
        <w:tabs>
          <w:tab w:val="left" w:pos="-720"/>
        </w:tabs>
      </w:pPr>
    </w:p>
    <w:sectPr w:rsidR="00B328A0" w:rsidRPr="00367CF5" w:rsidSect="00367CF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48" w:rsidRPr="00367CF5" w:rsidRDefault="00BB7F48">
      <w:r w:rsidRPr="00367CF5">
        <w:separator/>
      </w:r>
    </w:p>
  </w:endnote>
  <w:endnote w:type="continuationSeparator" w:id="0">
    <w:p w:rsidR="00BB7F48" w:rsidRPr="00367CF5" w:rsidRDefault="00BB7F48">
      <w:r w:rsidRPr="00367C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CF5" w:rsidRPr="00367CF5" w:rsidRDefault="00367CF5" w:rsidP="00367CF5">
    <w:pPr>
      <w:pStyle w:val="EPFooter"/>
    </w:pPr>
    <w:r w:rsidRPr="00367CF5">
      <w:t>PE</w:t>
    </w:r>
    <w:r w:rsidRPr="00367CF5">
      <w:rPr>
        <w:rStyle w:val="HideTWBExt"/>
        <w:noProof w:val="0"/>
      </w:rPr>
      <w:t>&lt;NoPE&gt;</w:t>
    </w:r>
    <w:r w:rsidRPr="00367CF5">
      <w:t>648.490</w:t>
    </w:r>
    <w:r w:rsidRPr="00367CF5">
      <w:rPr>
        <w:rStyle w:val="HideTWBExt"/>
        <w:noProof w:val="0"/>
      </w:rPr>
      <w:t>&lt;/NoPE&gt;&lt;Version&gt;</w:t>
    </w:r>
    <w:r w:rsidRPr="00367CF5">
      <w:t>v01-00</w:t>
    </w:r>
    <w:r w:rsidRPr="00367CF5">
      <w:rPr>
        <w:rStyle w:val="HideTWBExt"/>
        <w:noProof w:val="0"/>
      </w:rPr>
      <w:t>&lt;/Version&gt;</w:t>
    </w:r>
    <w:r w:rsidRPr="00367CF5">
      <w:tab/>
    </w:r>
    <w:r w:rsidRPr="00367CF5">
      <w:fldChar w:fldCharType="begin"/>
    </w:r>
    <w:r w:rsidRPr="00367CF5">
      <w:instrText xml:space="preserve"> PAGE  \* MERGEFORMAT </w:instrText>
    </w:r>
    <w:r w:rsidRPr="00367CF5">
      <w:fldChar w:fldCharType="separate"/>
    </w:r>
    <w:r w:rsidR="003F2D35">
      <w:rPr>
        <w:noProof/>
      </w:rPr>
      <w:t>2</w:t>
    </w:r>
    <w:r w:rsidRPr="00367CF5">
      <w:fldChar w:fldCharType="end"/>
    </w:r>
    <w:r w:rsidRPr="00367CF5">
      <w:t>/</w:t>
    </w:r>
    <w:fldSimple w:instr=" NUMPAGES  \* MERGEFORMAT ">
      <w:r w:rsidR="003F2D35">
        <w:rPr>
          <w:noProof/>
        </w:rPr>
        <w:t>5</w:t>
      </w:r>
    </w:fldSimple>
    <w:r w:rsidRPr="00367CF5">
      <w:tab/>
    </w:r>
    <w:r w:rsidRPr="00367CF5">
      <w:rPr>
        <w:rStyle w:val="HideTWBExt"/>
        <w:noProof w:val="0"/>
      </w:rPr>
      <w:t>&lt;PathFdR&gt;</w:t>
    </w:r>
    <w:r w:rsidRPr="00367CF5">
      <w:t>PR\1200734SV.docx</w:t>
    </w:r>
    <w:r w:rsidRPr="00367CF5">
      <w:rPr>
        <w:rStyle w:val="HideTWBExt"/>
        <w:noProof w:val="0"/>
      </w:rPr>
      <w:t>&lt;/PathFdR&gt;</w:t>
    </w:r>
  </w:p>
  <w:p w:rsidR="00A71001" w:rsidRPr="00367CF5" w:rsidRDefault="00367CF5" w:rsidP="00367CF5">
    <w:pPr>
      <w:pStyle w:val="EPFooter2"/>
    </w:pPr>
    <w:r w:rsidRPr="00367CF5">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CF5" w:rsidRPr="00367CF5" w:rsidRDefault="00367CF5" w:rsidP="00367CF5">
    <w:pPr>
      <w:pStyle w:val="EPFooter"/>
    </w:pPr>
    <w:r w:rsidRPr="00367CF5">
      <w:rPr>
        <w:rStyle w:val="HideTWBExt"/>
        <w:noProof w:val="0"/>
      </w:rPr>
      <w:t>&lt;PathFdR&gt;</w:t>
    </w:r>
    <w:r w:rsidRPr="00367CF5">
      <w:t>PR\1200734SV.docx</w:t>
    </w:r>
    <w:r w:rsidRPr="00367CF5">
      <w:rPr>
        <w:rStyle w:val="HideTWBExt"/>
        <w:noProof w:val="0"/>
      </w:rPr>
      <w:t>&lt;/PathFdR&gt;</w:t>
    </w:r>
    <w:r w:rsidRPr="00367CF5">
      <w:tab/>
    </w:r>
    <w:r w:rsidRPr="00367CF5">
      <w:fldChar w:fldCharType="begin"/>
    </w:r>
    <w:r w:rsidRPr="00367CF5">
      <w:instrText xml:space="preserve"> PAGE  \* MERGEFORMAT </w:instrText>
    </w:r>
    <w:r w:rsidRPr="00367CF5">
      <w:fldChar w:fldCharType="separate"/>
    </w:r>
    <w:r w:rsidR="003F2D35">
      <w:rPr>
        <w:noProof/>
      </w:rPr>
      <w:t>3</w:t>
    </w:r>
    <w:r w:rsidRPr="00367CF5">
      <w:fldChar w:fldCharType="end"/>
    </w:r>
    <w:r w:rsidRPr="00367CF5">
      <w:t>/</w:t>
    </w:r>
    <w:fldSimple w:instr=" NUMPAGES  \* MERGEFORMAT ">
      <w:r w:rsidR="003F2D35">
        <w:rPr>
          <w:noProof/>
        </w:rPr>
        <w:t>5</w:t>
      </w:r>
    </w:fldSimple>
    <w:r w:rsidRPr="00367CF5">
      <w:tab/>
      <w:t>PE</w:t>
    </w:r>
    <w:r w:rsidRPr="00367CF5">
      <w:rPr>
        <w:rStyle w:val="HideTWBExt"/>
        <w:noProof w:val="0"/>
      </w:rPr>
      <w:t>&lt;NoPE&gt;</w:t>
    </w:r>
    <w:r w:rsidRPr="00367CF5">
      <w:t>648.490</w:t>
    </w:r>
    <w:r w:rsidRPr="00367CF5">
      <w:rPr>
        <w:rStyle w:val="HideTWBExt"/>
        <w:noProof w:val="0"/>
      </w:rPr>
      <w:t>&lt;/NoPE&gt;&lt;Version&gt;</w:t>
    </w:r>
    <w:r w:rsidRPr="00367CF5">
      <w:t>v01-00</w:t>
    </w:r>
    <w:r w:rsidRPr="00367CF5">
      <w:rPr>
        <w:rStyle w:val="HideTWBExt"/>
        <w:noProof w:val="0"/>
      </w:rPr>
      <w:t>&lt;/Version&gt;</w:t>
    </w:r>
  </w:p>
  <w:p w:rsidR="00A71001" w:rsidRPr="00367CF5" w:rsidRDefault="00367CF5" w:rsidP="00367CF5">
    <w:pPr>
      <w:pStyle w:val="EPFooter2"/>
    </w:pPr>
    <w:r w:rsidRPr="00367CF5">
      <w:tab/>
    </w:r>
    <w:r w:rsidRPr="00367CF5">
      <w:tab/>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CF5" w:rsidRPr="00367CF5" w:rsidRDefault="00367CF5" w:rsidP="00367CF5">
    <w:pPr>
      <w:pStyle w:val="EPFooter"/>
    </w:pPr>
    <w:r w:rsidRPr="00367CF5">
      <w:rPr>
        <w:rStyle w:val="HideTWBExt"/>
        <w:noProof w:val="0"/>
      </w:rPr>
      <w:t>&lt;PathFdR&gt;</w:t>
    </w:r>
    <w:r w:rsidRPr="00367CF5">
      <w:t>PR\1200734SV.docx</w:t>
    </w:r>
    <w:r w:rsidRPr="00367CF5">
      <w:rPr>
        <w:rStyle w:val="HideTWBExt"/>
        <w:noProof w:val="0"/>
      </w:rPr>
      <w:t>&lt;/PathFdR&gt;</w:t>
    </w:r>
    <w:r w:rsidRPr="00367CF5">
      <w:tab/>
    </w:r>
    <w:r w:rsidRPr="00367CF5">
      <w:tab/>
      <w:t>PE</w:t>
    </w:r>
    <w:r w:rsidRPr="00367CF5">
      <w:rPr>
        <w:rStyle w:val="HideTWBExt"/>
        <w:noProof w:val="0"/>
      </w:rPr>
      <w:t>&lt;NoPE&gt;</w:t>
    </w:r>
    <w:r w:rsidRPr="00367CF5">
      <w:t>648.490</w:t>
    </w:r>
    <w:r w:rsidRPr="00367CF5">
      <w:rPr>
        <w:rStyle w:val="HideTWBExt"/>
        <w:noProof w:val="0"/>
      </w:rPr>
      <w:t>&lt;/NoPE&gt;&lt;Version&gt;</w:t>
    </w:r>
    <w:r w:rsidRPr="00367CF5">
      <w:t>v01-00</w:t>
    </w:r>
    <w:r w:rsidRPr="00367CF5">
      <w:rPr>
        <w:rStyle w:val="HideTWBExt"/>
        <w:noProof w:val="0"/>
      </w:rPr>
      <w:t>&lt;/Version&gt;</w:t>
    </w:r>
  </w:p>
  <w:p w:rsidR="00A71001" w:rsidRPr="00367CF5" w:rsidRDefault="00367CF5" w:rsidP="00367CF5">
    <w:pPr>
      <w:pStyle w:val="EPFooter2"/>
    </w:pPr>
    <w:r w:rsidRPr="00367CF5">
      <w:t>SV</w:t>
    </w:r>
    <w:r w:rsidRPr="00367CF5">
      <w:tab/>
    </w:r>
    <w:r w:rsidRPr="00367CF5">
      <w:rPr>
        <w:b w:val="0"/>
        <w:i/>
        <w:color w:val="C0C0C0"/>
        <w:sz w:val="22"/>
      </w:rPr>
      <w:t>Förenade i mångfalden</w:t>
    </w:r>
    <w:r w:rsidRPr="00367CF5">
      <w:tab/>
      <w:t>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48" w:rsidRPr="00367CF5" w:rsidRDefault="00BB7F48">
      <w:r w:rsidRPr="00367CF5">
        <w:separator/>
      </w:r>
    </w:p>
  </w:footnote>
  <w:footnote w:type="continuationSeparator" w:id="0">
    <w:p w:rsidR="00BB7F48" w:rsidRPr="00367CF5" w:rsidRDefault="00BB7F48">
      <w:r w:rsidRPr="00367CF5">
        <w:continuationSeparator/>
      </w:r>
    </w:p>
  </w:footnote>
  <w:footnote w:id="1">
    <w:p w:rsidR="009347B1" w:rsidRPr="00367CF5" w:rsidRDefault="009347B1">
      <w:pPr>
        <w:pStyle w:val="FootnoteText"/>
      </w:pPr>
      <w:r w:rsidRPr="00367CF5">
        <w:rPr>
          <w:rStyle w:val="FootnoteReference"/>
        </w:rPr>
        <w:footnoteRef/>
      </w:r>
      <w:r w:rsidRPr="00367CF5">
        <w:t xml:space="preserve"> Antagna texter 26.3.2019, P8_TA(2019)0230.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35" w:rsidRDefault="003F2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35" w:rsidRDefault="003F2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35" w:rsidRDefault="003F2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READINGMNU" w:val=" 1"/>
    <w:docVar w:name="CJMNU" w:val="1"/>
    <w:docVar w:name="COMKEY" w:val="ITRE"/>
    <w:docVar w:name="CopyToNetwork" w:val="-1"/>
    <w:docVar w:name="DOCMNU" w:val=" 1"/>
    <w:docVar w:name="EPSTATMNU" w:val=" 1"/>
    <w:docVar w:name="INSTITUTIONSMNU" w:val=" 1"/>
    <w:docVar w:name="LastEditedSection" w:val=" 1"/>
    <w:docVar w:name="NAMESMNU" w:val=" 1"/>
    <w:docVar w:name="PARLIAMENTSMNU" w:val=" 1"/>
    <w:docVar w:name="PARLMNU" w:val=" 1"/>
    <w:docVar w:name="strDocTypeID" w:val="PR_COD_2app"/>
    <w:docVar w:name="strSubDir" w:val="1200"/>
    <w:docVar w:name="TVTAUTHOR" w:val="Henna Virkkunen"/>
    <w:docVar w:name="TVTTITLE2" w:val="Labelling of tyres: fuel efficiency and other essential parameters"/>
    <w:docVar w:name="TXTAUTHOR" w:val="Henna Virkkunen"/>
    <w:docVar w:name="TXTLANGUE" w:val="SV"/>
    <w:docVar w:name="TXTLANGUEMIN" w:val="sv"/>
    <w:docVar w:name="TXTNRC" w:val="0078/2020"/>
    <w:docVar w:name="TXTNRCOD" w:val="2018/0148"/>
    <w:docVar w:name="TXTNRCOUNC" w:val="14649/2/2019"/>
    <w:docVar w:name="TXTNRPE" w:val="648.490"/>
    <w:docVar w:name="TXTPEorAP" w:val="PE"/>
    <w:docVar w:name="TXTROUTE" w:val="PR\1200734SV.docx"/>
    <w:docVar w:name="TXTTITLE" w:val="Labelling of tyres: fuel efficiency and other essential parameters"/>
    <w:docVar w:name="TXTVERSION" w:val="01-00"/>
  </w:docVars>
  <w:rsids>
    <w:rsidRoot w:val="00BB7F48"/>
    <w:rsid w:val="000220E6"/>
    <w:rsid w:val="000263F4"/>
    <w:rsid w:val="000352F9"/>
    <w:rsid w:val="000609C7"/>
    <w:rsid w:val="00071D7E"/>
    <w:rsid w:val="00076114"/>
    <w:rsid w:val="000B55B4"/>
    <w:rsid w:val="000C00BA"/>
    <w:rsid w:val="000F5800"/>
    <w:rsid w:val="00106498"/>
    <w:rsid w:val="00115A46"/>
    <w:rsid w:val="00121F57"/>
    <w:rsid w:val="00135DB4"/>
    <w:rsid w:val="00145F6A"/>
    <w:rsid w:val="001742E9"/>
    <w:rsid w:val="001E7D60"/>
    <w:rsid w:val="001F12C1"/>
    <w:rsid w:val="001F74C8"/>
    <w:rsid w:val="00252261"/>
    <w:rsid w:val="002B4823"/>
    <w:rsid w:val="002C6E58"/>
    <w:rsid w:val="002D3607"/>
    <w:rsid w:val="003643C3"/>
    <w:rsid w:val="00367CF5"/>
    <w:rsid w:val="00396EC8"/>
    <w:rsid w:val="003A7AA7"/>
    <w:rsid w:val="003B4DD8"/>
    <w:rsid w:val="003F2D35"/>
    <w:rsid w:val="00407E0B"/>
    <w:rsid w:val="00411B37"/>
    <w:rsid w:val="00481A55"/>
    <w:rsid w:val="004A107D"/>
    <w:rsid w:val="004B2B38"/>
    <w:rsid w:val="004C0BD0"/>
    <w:rsid w:val="00507878"/>
    <w:rsid w:val="00696B79"/>
    <w:rsid w:val="006A12DF"/>
    <w:rsid w:val="00744DF3"/>
    <w:rsid w:val="00756B4B"/>
    <w:rsid w:val="007C23A6"/>
    <w:rsid w:val="007C77B4"/>
    <w:rsid w:val="007E3B6C"/>
    <w:rsid w:val="008149BA"/>
    <w:rsid w:val="00837E7F"/>
    <w:rsid w:val="0085215D"/>
    <w:rsid w:val="0092262A"/>
    <w:rsid w:val="009347B1"/>
    <w:rsid w:val="00973AAF"/>
    <w:rsid w:val="009B3FB2"/>
    <w:rsid w:val="00A04886"/>
    <w:rsid w:val="00A11851"/>
    <w:rsid w:val="00A347A7"/>
    <w:rsid w:val="00A653B6"/>
    <w:rsid w:val="00A71001"/>
    <w:rsid w:val="00AB2BE6"/>
    <w:rsid w:val="00AB44E4"/>
    <w:rsid w:val="00B30B85"/>
    <w:rsid w:val="00B328A0"/>
    <w:rsid w:val="00BB7F48"/>
    <w:rsid w:val="00BD1DEF"/>
    <w:rsid w:val="00BD6072"/>
    <w:rsid w:val="00C117E5"/>
    <w:rsid w:val="00C70A14"/>
    <w:rsid w:val="00C77873"/>
    <w:rsid w:val="00C83E85"/>
    <w:rsid w:val="00CC026D"/>
    <w:rsid w:val="00D019D4"/>
    <w:rsid w:val="00D01B24"/>
    <w:rsid w:val="00D03678"/>
    <w:rsid w:val="00D63387"/>
    <w:rsid w:val="00DC3868"/>
    <w:rsid w:val="00DE007B"/>
    <w:rsid w:val="00DE253F"/>
    <w:rsid w:val="00E00D94"/>
    <w:rsid w:val="00E220DA"/>
    <w:rsid w:val="00E30664"/>
    <w:rsid w:val="00E32B89"/>
    <w:rsid w:val="00E4310C"/>
    <w:rsid w:val="00E91F5F"/>
    <w:rsid w:val="00F15541"/>
    <w:rsid w:val="00F3060C"/>
    <w:rsid w:val="00F90BF7"/>
    <w:rsid w:val="00FE1371"/>
    <w:rsid w:val="00FE5DD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0D76FF-525D-4B93-B2C0-6ACB2A15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6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92262A"/>
    <w:pPr>
      <w:spacing w:before="480" w:after="240"/>
    </w:pPr>
  </w:style>
  <w:style w:type="paragraph" w:styleId="TOC1">
    <w:name w:val="toc 1"/>
    <w:basedOn w:val="Normal"/>
    <w:next w:val="Normal"/>
    <w:autoRedefine/>
    <w:uiPriority w:val="39"/>
    <w:rsid w:val="00A347A7"/>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96B79"/>
    <w:pPr>
      <w:spacing w:before="80" w:after="80"/>
    </w:pPr>
    <w:rPr>
      <w:rFonts w:ascii="Arial Narrow" w:hAnsi="Arial Narrow" w:cs="Arial"/>
      <w:b/>
      <w:sz w:val="32"/>
      <w:szCs w:val="22"/>
    </w:rPr>
  </w:style>
  <w:style w:type="paragraph" w:customStyle="1" w:styleId="CoverNormal24a">
    <w:name w:val="CoverNormal24a"/>
    <w:basedOn w:val="Normal"/>
    <w:rsid w:val="000B55B4"/>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FE1371"/>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0B55B4"/>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AB44E4"/>
    <w:pPr>
      <w:tabs>
        <w:tab w:val="center" w:pos="4513"/>
        <w:tab w:val="right" w:pos="9026"/>
      </w:tabs>
    </w:pPr>
  </w:style>
  <w:style w:type="table" w:styleId="TableGrid">
    <w:name w:val="Table Grid"/>
    <w:basedOn w:val="TableNormal"/>
    <w:rsid w:val="0017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2E9"/>
    <w:pPr>
      <w:jc w:val="center"/>
    </w:pPr>
    <w:rPr>
      <w:rFonts w:ascii="Arial" w:hAnsi="Arial" w:cs="Arial"/>
      <w:i/>
      <w:sz w:val="22"/>
      <w:szCs w:val="22"/>
    </w:rPr>
  </w:style>
  <w:style w:type="paragraph" w:customStyle="1" w:styleId="LineTop">
    <w:name w:val="LineTop"/>
    <w:basedOn w:val="Normal"/>
    <w:next w:val="Normal"/>
    <w:rsid w:val="001742E9"/>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2E9"/>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96B79"/>
    <w:pPr>
      <w:spacing w:after="80"/>
    </w:pPr>
    <w:rPr>
      <w:rFonts w:ascii="Arial" w:hAnsi="Arial" w:cs="Arial"/>
      <w:sz w:val="20"/>
      <w:szCs w:val="22"/>
    </w:rPr>
  </w:style>
  <w:style w:type="paragraph" w:customStyle="1" w:styleId="EPLogo">
    <w:name w:val="EPLogo"/>
    <w:basedOn w:val="Normal"/>
    <w:qFormat/>
    <w:rsid w:val="00696B79"/>
    <w:pPr>
      <w:jc w:val="right"/>
    </w:pPr>
  </w:style>
  <w:style w:type="paragraph" w:customStyle="1" w:styleId="EPFooter">
    <w:name w:val="EPFooter"/>
    <w:basedOn w:val="Normal"/>
    <w:rsid w:val="000B55B4"/>
    <w:pPr>
      <w:tabs>
        <w:tab w:val="center" w:pos="4535"/>
        <w:tab w:val="right" w:pos="9071"/>
      </w:tabs>
      <w:spacing w:before="240" w:after="240"/>
    </w:pPr>
    <w:rPr>
      <w:color w:val="010000"/>
      <w:sz w:val="22"/>
    </w:rPr>
  </w:style>
  <w:style w:type="character" w:styleId="PageNumber">
    <w:name w:val="page number"/>
    <w:basedOn w:val="DefaultParagraphFont"/>
    <w:semiHidden/>
    <w:rsid w:val="009B3FB2"/>
  </w:style>
  <w:style w:type="character" w:customStyle="1" w:styleId="HeaderChar">
    <w:name w:val="Header Char"/>
    <w:basedOn w:val="DefaultParagraphFont"/>
    <w:link w:val="Header"/>
    <w:semiHidden/>
    <w:rsid w:val="00AB44E4"/>
    <w:rPr>
      <w:sz w:val="24"/>
    </w:rPr>
  </w:style>
  <w:style w:type="paragraph" w:customStyle="1" w:styleId="Lgendesigne">
    <w:name w:val="Légende signe"/>
    <w:basedOn w:val="Normal"/>
    <w:rsid w:val="009347B1"/>
    <w:pPr>
      <w:tabs>
        <w:tab w:val="right" w:pos="454"/>
        <w:tab w:val="left" w:pos="737"/>
      </w:tabs>
      <w:ind w:left="737" w:hanging="737"/>
    </w:pPr>
    <w:rPr>
      <w:snapToGrid w:val="0"/>
      <w:sz w:val="18"/>
      <w:lang w:eastAsia="en-US"/>
    </w:rPr>
  </w:style>
  <w:style w:type="paragraph" w:customStyle="1" w:styleId="Lgendetitre">
    <w:name w:val="Légende titre"/>
    <w:basedOn w:val="Normal"/>
    <w:rsid w:val="009347B1"/>
    <w:pPr>
      <w:spacing w:before="240" w:after="240"/>
    </w:pPr>
    <w:rPr>
      <w:b/>
      <w:i/>
      <w:snapToGrid w:val="0"/>
      <w:lang w:eastAsia="en-US"/>
    </w:rPr>
  </w:style>
  <w:style w:type="paragraph" w:customStyle="1" w:styleId="Lgendestandard">
    <w:name w:val="Légende standard"/>
    <w:basedOn w:val="Normal"/>
    <w:rsid w:val="009347B1"/>
    <w:rPr>
      <w:sz w:val="18"/>
    </w:rPr>
  </w:style>
  <w:style w:type="paragraph" w:styleId="FootnoteText">
    <w:name w:val="footnote text"/>
    <w:basedOn w:val="Normal"/>
    <w:link w:val="FootnoteTextChar"/>
    <w:rsid w:val="009347B1"/>
    <w:rPr>
      <w:sz w:val="20"/>
    </w:rPr>
  </w:style>
  <w:style w:type="character" w:customStyle="1" w:styleId="FootnoteTextChar">
    <w:name w:val="Footnote Text Char"/>
    <w:basedOn w:val="DefaultParagraphFont"/>
    <w:link w:val="FootnoteText"/>
    <w:rsid w:val="009347B1"/>
  </w:style>
  <w:style w:type="character" w:styleId="FootnoteReference">
    <w:name w:val="footnote reference"/>
    <w:basedOn w:val="DefaultParagraphFont"/>
    <w:rsid w:val="009347B1"/>
    <w:rPr>
      <w:vertAlign w:val="superscript"/>
    </w:rPr>
  </w:style>
  <w:style w:type="paragraph" w:styleId="Footer">
    <w:name w:val="footer"/>
    <w:basedOn w:val="Normal"/>
    <w:link w:val="FooterChar"/>
    <w:semiHidden/>
    <w:rsid w:val="00C70A14"/>
    <w:pPr>
      <w:tabs>
        <w:tab w:val="center" w:pos="4513"/>
        <w:tab w:val="right" w:pos="9026"/>
      </w:tabs>
    </w:pPr>
  </w:style>
  <w:style w:type="character" w:customStyle="1" w:styleId="FooterChar">
    <w:name w:val="Footer Char"/>
    <w:basedOn w:val="DefaultParagraphFont"/>
    <w:link w:val="Footer"/>
    <w:semiHidden/>
    <w:rsid w:val="00C70A14"/>
    <w:rPr>
      <w:sz w:val="24"/>
    </w:rPr>
  </w:style>
  <w:style w:type="paragraph" w:styleId="BalloonText">
    <w:name w:val="Balloon Text"/>
    <w:basedOn w:val="Normal"/>
    <w:link w:val="BalloonTextChar"/>
    <w:rsid w:val="001F12C1"/>
    <w:rPr>
      <w:rFonts w:ascii="Segoe UI" w:hAnsi="Segoe UI" w:cs="Segoe UI"/>
      <w:sz w:val="18"/>
      <w:szCs w:val="18"/>
    </w:rPr>
  </w:style>
  <w:style w:type="character" w:customStyle="1" w:styleId="BalloonTextChar">
    <w:name w:val="Balloon Text Char"/>
    <w:basedOn w:val="DefaultParagraphFont"/>
    <w:link w:val="BalloonText"/>
    <w:rsid w:val="001F1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8B56-A613-4417-BF24-1DE4A607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5AEFE8F6.dotm</Template>
  <TotalTime>0</TotalTime>
  <Pages>5</Pages>
  <Words>552</Words>
  <Characters>3842</Characters>
  <Application>Microsoft Office Word</Application>
  <DocSecurity>0</DocSecurity>
  <Lines>113</Lines>
  <Paragraphs>55</Paragraphs>
  <ScaleCrop>false</ScaleCrop>
  <HeadingPairs>
    <vt:vector size="2" baseType="variant">
      <vt:variant>
        <vt:lpstr>Title</vt:lpstr>
      </vt:variant>
      <vt:variant>
        <vt:i4>1</vt:i4>
      </vt:variant>
    </vt:vector>
  </HeadingPairs>
  <TitlesOfParts>
    <vt:vector size="1" baseType="lpstr">
      <vt:lpstr>PR_COD_2app</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PR_COD_2app</dc:title>
  <dc:subject/>
  <dc:creator>HALLER-UZOCHUKWU Karin</dc:creator>
  <cp:keywords/>
  <dc:description/>
  <cp:lastModifiedBy>VOWLES Staffan</cp:lastModifiedBy>
  <cp:revision>2</cp:revision>
  <cp:lastPrinted>2004-11-04T09:41:00Z</cp:lastPrinted>
  <dcterms:created xsi:type="dcterms:W3CDTF">2020-03-17T06:29:00Z</dcterms:created>
  <dcterms:modified xsi:type="dcterms:W3CDTF">2020-03-17T06:29:00Z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9.8.2 Build [20200208]</vt:lpwstr>
  </property>
  <property fmtid="{D5CDD505-2E9C-101B-9397-08002B2CF9AE}" pid="3" name="LastEdited with">
    <vt:lpwstr>9.8.0 Build [20191010]</vt:lpwstr>
  </property>
  <property fmtid="{D5CDD505-2E9C-101B-9397-08002B2CF9AE}" pid="4" name="&lt;FdR&gt;">
    <vt:lpwstr>1200734</vt:lpwstr>
  </property>
  <property fmtid="{D5CDD505-2E9C-101B-9397-08002B2CF9AE}" pid="5" name="&lt;Type&gt;">
    <vt:lpwstr>PR</vt:lpwstr>
  </property>
  <property fmtid="{D5CDD505-2E9C-101B-9397-08002B2CF9AE}" pid="6" name="&lt;ModelCod&gt;">
    <vt:lpwstr>\\eiciLUXpr1\pdocep$\DocEP\DOCS\General\PR\PR_Leg\COD\COD_2nd\PR_COD_2app.dotx(15/10/2019 06:17:23)</vt:lpwstr>
  </property>
  <property fmtid="{D5CDD505-2E9C-101B-9397-08002B2CF9AE}" pid="7" name="&lt;ModelTra&gt;">
    <vt:lpwstr>\\eiciLUXpr1\pdocep$\DocEP\TRANSFIL\EN\PR_COD_2app.EN(11/10/2019 09:25:41)</vt:lpwstr>
  </property>
  <property fmtid="{D5CDD505-2E9C-101B-9397-08002B2CF9AE}" pid="8" name="&lt;Model&gt;">
    <vt:lpwstr>PR_COD_2app</vt:lpwstr>
  </property>
  <property fmtid="{D5CDD505-2E9C-101B-9397-08002B2CF9AE}" pid="9" name="FooterPath">
    <vt:lpwstr>PR\1200734SV.docx</vt:lpwstr>
  </property>
  <property fmtid="{D5CDD505-2E9C-101B-9397-08002B2CF9AE}" pid="10" name="PE number">
    <vt:lpwstr>648.490</vt:lpwstr>
  </property>
  <property fmtid="{D5CDD505-2E9C-101B-9397-08002B2CF9AE}" pid="11" name="SubscribeElise">
    <vt:lpwstr/>
  </property>
  <property fmtid="{D5CDD505-2E9C-101B-9397-08002B2CF9AE}" pid="12" name="SendToEpades">
    <vt:lpwstr>OK - 2020/03/09 16:39</vt:lpwstr>
  </property>
  <property fmtid="{D5CDD505-2E9C-101B-9397-08002B2CF9AE}" pid="13" name="SDLStudio">
    <vt:lpwstr/>
  </property>
  <property fmtid="{D5CDD505-2E9C-101B-9397-08002B2CF9AE}" pid="14" name="&lt;Extension&gt;">
    <vt:lpwstr>SV</vt:lpwstr>
  </property>
  <property fmtid="{D5CDD505-2E9C-101B-9397-08002B2CF9AE}" pid="15" name="Bookout">
    <vt:lpwstr>OK - 2020/03/17 07:29</vt:lpwstr>
  </property>
</Properties>
</file>