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D5E3C" w:rsidRPr="009206B1" w:rsidTr="00C85D0F">
        <w:trPr>
          <w:trHeight w:hRule="exact" w:val="1418"/>
        </w:trPr>
        <w:tc>
          <w:tcPr>
            <w:tcW w:w="6804" w:type="dxa"/>
            <w:shd w:val="clear" w:color="auto" w:fill="auto"/>
            <w:vAlign w:val="center"/>
          </w:tcPr>
          <w:p w:rsidR="00041A79" w:rsidRPr="009206B1" w:rsidRDefault="00972226" w:rsidP="00C85D0F">
            <w:pPr>
              <w:pStyle w:val="EPName"/>
            </w:pPr>
            <w:r w:rsidRPr="009206B1">
              <w:t>Европейски парламент</w:t>
            </w:r>
          </w:p>
          <w:p w:rsidR="00041A79" w:rsidRPr="009206B1" w:rsidRDefault="00972226" w:rsidP="00A531E2">
            <w:pPr>
              <w:pStyle w:val="EPTerm"/>
            </w:pPr>
            <w:r w:rsidRPr="009206B1">
              <w:t>2019-2024</w:t>
            </w:r>
          </w:p>
        </w:tc>
        <w:tc>
          <w:tcPr>
            <w:tcW w:w="2268" w:type="dxa"/>
            <w:shd w:val="clear" w:color="auto" w:fill="auto"/>
          </w:tcPr>
          <w:p w:rsidR="00041A79" w:rsidRPr="009206B1" w:rsidRDefault="00972226" w:rsidP="00C85D0F">
            <w:pPr>
              <w:pStyle w:val="EPLogo"/>
            </w:pPr>
            <w:r w:rsidRPr="009206B1">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20498"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64B87" w:rsidRPr="009206B1" w:rsidRDefault="00F64B87" w:rsidP="00F64B87">
      <w:pPr>
        <w:pStyle w:val="LineTop"/>
      </w:pPr>
    </w:p>
    <w:p w:rsidR="00F64B87" w:rsidRPr="009206B1" w:rsidRDefault="00972226" w:rsidP="00F64B87">
      <w:pPr>
        <w:pStyle w:val="EPBody"/>
      </w:pPr>
      <w:r w:rsidRPr="009206B1">
        <w:rPr>
          <w:rStyle w:val="HideTWBExt"/>
          <w:noProof w:val="0"/>
        </w:rPr>
        <w:t>&lt;</w:t>
      </w:r>
      <w:r w:rsidRPr="009206B1">
        <w:rPr>
          <w:rStyle w:val="HideTWBExt"/>
          <w:i w:val="0"/>
          <w:noProof w:val="0"/>
        </w:rPr>
        <w:t>Commission&gt;</w:t>
      </w:r>
      <w:r w:rsidRPr="009206B1">
        <w:rPr>
          <w:rStyle w:val="HideTWBInt"/>
          <w:color w:val="auto"/>
        </w:rPr>
        <w:t>{ITRE}</w:t>
      </w:r>
      <w:r w:rsidRPr="009206B1">
        <w:t>Комисия по промишленост, изследвания и енергетика</w:t>
      </w:r>
      <w:r w:rsidRPr="009206B1">
        <w:rPr>
          <w:rStyle w:val="HideTWBExt"/>
          <w:noProof w:val="0"/>
        </w:rPr>
        <w:t>&lt;/</w:t>
      </w:r>
      <w:r w:rsidRPr="009206B1">
        <w:rPr>
          <w:rStyle w:val="HideTWBExt"/>
          <w:i w:val="0"/>
          <w:noProof w:val="0"/>
        </w:rPr>
        <w:t>Commission</w:t>
      </w:r>
      <w:r w:rsidRPr="009206B1">
        <w:rPr>
          <w:rStyle w:val="HideTWBExt"/>
          <w:noProof w:val="0"/>
        </w:rPr>
        <w:t>&gt;</w:t>
      </w:r>
    </w:p>
    <w:p w:rsidR="001173AC" w:rsidRPr="009206B1" w:rsidRDefault="001173AC" w:rsidP="001173AC">
      <w:pPr>
        <w:pStyle w:val="LineBottom"/>
      </w:pPr>
    </w:p>
    <w:p w:rsidR="00EA74BF" w:rsidRPr="009206B1" w:rsidRDefault="00972226" w:rsidP="001173AC">
      <w:pPr>
        <w:pStyle w:val="HeadingReferenceOJPV"/>
      </w:pPr>
      <w:r w:rsidRPr="009206B1">
        <w:t>ITRE_PV(2022)0621_1</w:t>
      </w:r>
    </w:p>
    <w:p w:rsidR="00EA74BF" w:rsidRPr="009206B1" w:rsidRDefault="00972226" w:rsidP="001173AC">
      <w:pPr>
        <w:pStyle w:val="HeadingDocType24a"/>
      </w:pPr>
      <w:r w:rsidRPr="009206B1">
        <w:t>ПРОТОКОЛ</w:t>
      </w:r>
    </w:p>
    <w:p w:rsidR="00EA74BF" w:rsidRPr="009206B1" w:rsidRDefault="00972226" w:rsidP="001173AC">
      <w:pPr>
        <w:pStyle w:val="HeadingCenter12a"/>
      </w:pPr>
      <w:r w:rsidRPr="009206B1">
        <w:t>Заседание от 21 юни 2022 г., 14.30 – 16.30 ч.</w:t>
      </w:r>
    </w:p>
    <w:p w:rsidR="00EA74BF" w:rsidRPr="009206B1" w:rsidRDefault="00972226" w:rsidP="001173AC">
      <w:pPr>
        <w:pStyle w:val="HeadingCenter12a"/>
      </w:pPr>
      <w:r w:rsidRPr="009206B1">
        <w:t>БРЮКСЕЛ</w:t>
      </w:r>
    </w:p>
    <w:p w:rsidR="00EA74BF" w:rsidRPr="009206B1" w:rsidRDefault="00972226" w:rsidP="001173AC">
      <w:pPr>
        <w:pStyle w:val="MeetingIntro"/>
      </w:pPr>
      <w:r w:rsidRPr="009206B1">
        <w:t>Заседанието беше открито във вторник, 21 юни 2022 г., в</w:t>
      </w:r>
      <w:r w:rsidRPr="009206B1">
        <w:t xml:space="preserve"> 14.37 ч., под председателството на Кристиан‑Силвиу Бушой (председател).</w:t>
      </w:r>
    </w:p>
    <w:p w:rsidR="00A531E2" w:rsidRPr="009206B1" w:rsidRDefault="00972226" w:rsidP="006167EF">
      <w:pPr>
        <w:pStyle w:val="PVxHeading"/>
        <w:numPr>
          <w:ilvl w:val="0"/>
          <w:numId w:val="0"/>
        </w:numPr>
        <w:tabs>
          <w:tab w:val="left" w:pos="567"/>
        </w:tabs>
        <w:ind w:left="720" w:hanging="720"/>
      </w:pPr>
      <w:r w:rsidRPr="009206B1">
        <w:t>1.</w:t>
      </w:r>
      <w:r w:rsidRPr="009206B1">
        <w:tab/>
        <w:t>Приемане на дневния ред</w:t>
      </w:r>
      <w:r w:rsidRPr="009206B1">
        <w:tab/>
      </w:r>
      <w:r w:rsidRPr="009206B1">
        <w:rPr>
          <w:b w:val="0"/>
        </w:rPr>
        <w:t>ITRE_OJ(2022)0621_1</w:t>
      </w:r>
    </w:p>
    <w:p w:rsidR="00A531E2" w:rsidRPr="009206B1" w:rsidRDefault="00972226" w:rsidP="006B2AF7">
      <w:pPr>
        <w:pStyle w:val="PVxIndent"/>
      </w:pPr>
      <w:r w:rsidRPr="009206B1">
        <w:t>Дневният ред беше приет.</w:t>
      </w:r>
    </w:p>
    <w:p w:rsidR="00A531E2" w:rsidRPr="009206B1" w:rsidRDefault="00972226" w:rsidP="006167EF">
      <w:pPr>
        <w:pStyle w:val="PVxHeading"/>
        <w:numPr>
          <w:ilvl w:val="0"/>
          <w:numId w:val="0"/>
        </w:numPr>
        <w:ind w:left="567" w:hanging="567"/>
      </w:pPr>
      <w:r w:rsidRPr="009206B1">
        <w:t>2.</w:t>
      </w:r>
      <w:r w:rsidRPr="009206B1">
        <w:tab/>
        <w:t>Съобщения на председателя</w:t>
      </w:r>
    </w:p>
    <w:p w:rsidR="00A20D13" w:rsidRPr="009206B1" w:rsidRDefault="00972226" w:rsidP="00A20D13">
      <w:pPr>
        <w:pStyle w:val="PVxSubheading12a"/>
        <w:rPr>
          <w:b w:val="0"/>
          <w:i w:val="0"/>
        </w:rPr>
      </w:pPr>
      <w:r w:rsidRPr="009206B1">
        <w:rPr>
          <w:b w:val="0"/>
          <w:i w:val="0"/>
        </w:rPr>
        <w:t>Заседанието беше излъчено пряко по интернет.</w:t>
      </w:r>
    </w:p>
    <w:p w:rsidR="006167EF" w:rsidRPr="009206B1" w:rsidRDefault="00972226" w:rsidP="006167EF">
      <w:pPr>
        <w:pStyle w:val="PVxSubheading12a"/>
        <w:rPr>
          <w:b w:val="0"/>
          <w:i w:val="0"/>
        </w:rPr>
      </w:pPr>
      <w:r w:rsidRPr="009206B1">
        <w:rPr>
          <w:b w:val="0"/>
          <w:i w:val="0"/>
        </w:rPr>
        <w:t xml:space="preserve">Устен превод бе осигурен на всички </w:t>
      </w:r>
      <w:r w:rsidRPr="009206B1">
        <w:rPr>
          <w:b w:val="0"/>
          <w:i w:val="0"/>
        </w:rPr>
        <w:t>езици, с изключение на малтийски.</w:t>
      </w:r>
    </w:p>
    <w:p w:rsidR="00A531E2" w:rsidRPr="009206B1" w:rsidRDefault="00972226" w:rsidP="006167EF">
      <w:pPr>
        <w:pStyle w:val="PVxHeading"/>
        <w:numPr>
          <w:ilvl w:val="0"/>
          <w:numId w:val="0"/>
        </w:numPr>
        <w:tabs>
          <w:tab w:val="left" w:pos="567"/>
        </w:tabs>
        <w:ind w:left="720" w:hanging="720"/>
      </w:pPr>
      <w:r w:rsidRPr="009206B1">
        <w:t>3.</w:t>
      </w:r>
      <w:r w:rsidRPr="009206B1">
        <w:tab/>
        <w:t>Съобщения на председателя относно решенията на координаторите от 14 юни 2022 г.</w:t>
      </w:r>
    </w:p>
    <w:p w:rsidR="00A531E2" w:rsidRPr="009206B1" w:rsidRDefault="00972226" w:rsidP="00A531E2">
      <w:pPr>
        <w:pStyle w:val="PVxSubheading12a"/>
        <w:rPr>
          <w:b w:val="0"/>
          <w:i w:val="0"/>
          <w:snapToGrid/>
        </w:rPr>
      </w:pPr>
      <w:r w:rsidRPr="009206B1">
        <w:rPr>
          <w:b w:val="0"/>
          <w:i w:val="0"/>
        </w:rPr>
        <w:t>Решенията на координаторите от 14 юни 2022 г. бяха съобщени на всички членове на комисията ITRE по електронната поща на 16 юни 2022 г.</w:t>
      </w:r>
    </w:p>
    <w:p w:rsidR="00A531E2" w:rsidRPr="009206B1" w:rsidRDefault="00972226" w:rsidP="009B3142">
      <w:pPr>
        <w:pStyle w:val="PVxSubheading12a"/>
        <w:rPr>
          <w:b w:val="0"/>
        </w:rPr>
      </w:pPr>
      <w:r w:rsidRPr="009206B1">
        <w:rPr>
          <w:b w:val="0"/>
        </w:rPr>
        <w:t>(вж.</w:t>
      </w:r>
      <w:r w:rsidRPr="009206B1">
        <w:rPr>
          <w:b w:val="0"/>
        </w:rPr>
        <w:t xml:space="preserve"> приложение І).</w:t>
      </w:r>
    </w:p>
    <w:p w:rsidR="009B3142" w:rsidRPr="009206B1" w:rsidRDefault="00972226" w:rsidP="006167EF">
      <w:pPr>
        <w:pStyle w:val="PVxHeading"/>
        <w:numPr>
          <w:ilvl w:val="0"/>
          <w:numId w:val="0"/>
        </w:numPr>
        <w:tabs>
          <w:tab w:val="left" w:pos="567"/>
        </w:tabs>
        <w:ind w:left="720" w:hanging="720"/>
        <w:rPr>
          <w:snapToGrid/>
        </w:rPr>
      </w:pPr>
      <w:r w:rsidRPr="009206B1">
        <w:rPr>
          <w:snapToGrid/>
        </w:rPr>
        <w:t>4.</w:t>
      </w:r>
      <w:r w:rsidRPr="009206B1">
        <w:rPr>
          <w:snapToGrid/>
        </w:rPr>
        <w:tab/>
      </w:r>
      <w:r w:rsidRPr="009206B1">
        <w:t>Одобряване на протоколите от заседанията</w:t>
      </w:r>
    </w:p>
    <w:p w:rsidR="009B3142" w:rsidRPr="009206B1" w:rsidRDefault="00972226" w:rsidP="006167EF">
      <w:pPr>
        <w:tabs>
          <w:tab w:val="left" w:pos="1106"/>
          <w:tab w:val="right" w:pos="9065"/>
        </w:tabs>
        <w:autoSpaceDE w:val="0"/>
        <w:autoSpaceDN w:val="0"/>
        <w:adjustRightInd w:val="0"/>
        <w:ind w:left="1137" w:hanging="400"/>
      </w:pPr>
      <w:r w:rsidRPr="009206B1">
        <w:rPr>
          <w:rFonts w:ascii="Symbol" w:hAnsi="Symbol"/>
          <w:color w:val="000000"/>
        </w:rPr>
        <w:sym w:font="Symbol" w:char="F0B7"/>
      </w:r>
      <w:r w:rsidRPr="009206B1">
        <w:rPr>
          <w:rFonts w:ascii="Symbol" w:hAnsi="Symbol"/>
          <w:color w:val="000000"/>
        </w:rPr>
        <w:tab/>
      </w:r>
      <w:r w:rsidRPr="009206B1">
        <w:t>16 – 17 май 2022 г.</w:t>
      </w:r>
      <w:r w:rsidRPr="009206B1">
        <w:tab/>
        <w:t>PV – PE732.627v01-00</w:t>
      </w:r>
    </w:p>
    <w:p w:rsidR="00B57A03" w:rsidRPr="009206B1" w:rsidRDefault="00B57A03" w:rsidP="006167EF">
      <w:pPr>
        <w:tabs>
          <w:tab w:val="left" w:pos="1106"/>
          <w:tab w:val="right" w:pos="9065"/>
        </w:tabs>
        <w:autoSpaceDE w:val="0"/>
        <w:autoSpaceDN w:val="0"/>
        <w:adjustRightInd w:val="0"/>
        <w:ind w:left="1137" w:hanging="400"/>
      </w:pPr>
    </w:p>
    <w:p w:rsidR="00B57A03" w:rsidRPr="009206B1" w:rsidRDefault="00972226" w:rsidP="00B57A03">
      <w:pPr>
        <w:pStyle w:val="PVxSubheading12a"/>
        <w:rPr>
          <w:b w:val="0"/>
          <w:i w:val="0"/>
        </w:rPr>
      </w:pPr>
      <w:r w:rsidRPr="009206B1">
        <w:rPr>
          <w:b w:val="0"/>
          <w:i w:val="0"/>
        </w:rPr>
        <w:t>Протоколите бяха одобрени.</w:t>
      </w:r>
    </w:p>
    <w:p w:rsidR="009B3142" w:rsidRPr="009206B1" w:rsidRDefault="00972226" w:rsidP="006167EF">
      <w:pPr>
        <w:pStyle w:val="PVxHeading"/>
        <w:numPr>
          <w:ilvl w:val="0"/>
          <w:numId w:val="0"/>
        </w:numPr>
        <w:tabs>
          <w:tab w:val="left" w:pos="567"/>
        </w:tabs>
        <w:spacing w:after="0"/>
        <w:ind w:left="720" w:hanging="720"/>
      </w:pPr>
      <w:r w:rsidRPr="009206B1">
        <w:lastRenderedPageBreak/>
        <w:t>5.</w:t>
      </w:r>
      <w:r w:rsidRPr="009206B1">
        <w:tab/>
        <w:t>Публично изслушване относно автомобилната промишленост: от производството до дистрибуцията</w:t>
      </w:r>
    </w:p>
    <w:p w:rsidR="009B3142" w:rsidRPr="009206B1" w:rsidRDefault="00972226" w:rsidP="009B3142">
      <w:pPr>
        <w:pStyle w:val="PVxSubheading12a"/>
        <w:rPr>
          <w:b w:val="0"/>
          <w:i w:val="0"/>
        </w:rPr>
      </w:pPr>
      <w:r w:rsidRPr="009206B1">
        <w:rPr>
          <w:b w:val="0"/>
          <w:i w:val="0"/>
        </w:rPr>
        <w:t>ITRE/9/07666</w:t>
      </w:r>
    </w:p>
    <w:p w:rsidR="00A20D13" w:rsidRPr="009206B1" w:rsidRDefault="00972226" w:rsidP="00A20D13">
      <w:pPr>
        <w:pStyle w:val="PVxSubheading12a"/>
        <w:rPr>
          <w:b w:val="0"/>
          <w:i w:val="0"/>
        </w:rPr>
      </w:pPr>
      <w:r w:rsidRPr="009206B1">
        <w:t xml:space="preserve">Оратори: </w:t>
      </w:r>
      <w:r w:rsidRPr="009206B1">
        <w:rPr>
          <w:b w:val="0"/>
          <w:i w:val="0"/>
        </w:rPr>
        <w:t>Ерик Марк</w:t>
      </w:r>
      <w:r w:rsidRPr="009206B1">
        <w:rPr>
          <w:b w:val="0"/>
          <w:i w:val="0"/>
        </w:rPr>
        <w:t xml:space="preserve"> Хойтема (генерален директор на Асоциацията на европейските автомобилни производители (ACEA)), Джанмарко Джорда (генерален дикертор на ANFIA), Кони Шьонхард (ръководител на отдел „Мобилност и конструкция на превозни средства“, IG Metall), Зигфрид де Врис (</w:t>
      </w:r>
      <w:r w:rsidRPr="009206B1">
        <w:rPr>
          <w:b w:val="0"/>
          <w:i w:val="0"/>
        </w:rPr>
        <w:t>генералент секретар на Европейската асоциация на доставчиците на автомобилни части (CLEPA)), Юлия Полисканова (старши директор на „Транспорт и околна среда“ (T&amp;E)), Кристиян Елер, Дан Ника, Доминик Рике, Михаел Блос, Изабела Товалиери, Пиетро Фиоки, Хена В</w:t>
      </w:r>
      <w:r w:rsidRPr="009206B1">
        <w:rPr>
          <w:b w:val="0"/>
          <w:i w:val="0"/>
        </w:rPr>
        <w:t>иркунен, Патриция Тоя, Сусана Солис Перес, Якоп Далунде, Карлуш Зориню, Франц Богович, Джозиан Кутаяр, Валтер Флего, Ладислав Илчич.</w:t>
      </w:r>
    </w:p>
    <w:p w:rsidR="009B3142" w:rsidRPr="009206B1" w:rsidRDefault="00972226" w:rsidP="006167EF">
      <w:pPr>
        <w:pStyle w:val="PVxHeading"/>
        <w:numPr>
          <w:ilvl w:val="0"/>
          <w:numId w:val="0"/>
        </w:numPr>
        <w:tabs>
          <w:tab w:val="left" w:pos="567"/>
        </w:tabs>
        <w:ind w:left="720" w:hanging="720"/>
        <w:rPr>
          <w:bCs/>
        </w:rPr>
      </w:pPr>
      <w:r w:rsidRPr="009206B1">
        <w:t>6.</w:t>
      </w:r>
      <w:r w:rsidRPr="009206B1">
        <w:tab/>
        <w:t>Разни въпроси</w:t>
      </w:r>
    </w:p>
    <w:p w:rsidR="009B3142" w:rsidRPr="009206B1" w:rsidRDefault="00972226" w:rsidP="009B3142">
      <w:pPr>
        <w:pStyle w:val="PVxSubheading12a"/>
        <w:rPr>
          <w:b w:val="0"/>
          <w:i w:val="0"/>
        </w:rPr>
      </w:pPr>
      <w:r w:rsidRPr="009206B1">
        <w:rPr>
          <w:b w:val="0"/>
          <w:i w:val="0"/>
        </w:rPr>
        <w:t>Няма.</w:t>
      </w:r>
    </w:p>
    <w:p w:rsidR="009B3142" w:rsidRPr="009206B1" w:rsidRDefault="00972226" w:rsidP="006167EF">
      <w:pPr>
        <w:pStyle w:val="PVxHeading"/>
        <w:numPr>
          <w:ilvl w:val="0"/>
          <w:numId w:val="0"/>
        </w:numPr>
        <w:tabs>
          <w:tab w:val="left" w:pos="567"/>
        </w:tabs>
        <w:ind w:left="720" w:hanging="720"/>
      </w:pPr>
      <w:r w:rsidRPr="009206B1">
        <w:t>7.</w:t>
      </w:r>
      <w:r w:rsidRPr="009206B1">
        <w:tab/>
        <w:t>Следващи заседания</w:t>
      </w:r>
    </w:p>
    <w:p w:rsidR="009B3142" w:rsidRPr="009206B1" w:rsidRDefault="00972226" w:rsidP="006167EF">
      <w:pPr>
        <w:tabs>
          <w:tab w:val="left" w:pos="1106"/>
          <w:tab w:val="right" w:pos="9065"/>
        </w:tabs>
        <w:autoSpaceDE w:val="0"/>
        <w:autoSpaceDN w:val="0"/>
        <w:adjustRightInd w:val="0"/>
        <w:ind w:left="1137" w:hanging="400"/>
      </w:pPr>
      <w:r w:rsidRPr="009206B1">
        <w:rPr>
          <w:rFonts w:ascii="Symbol" w:hAnsi="Symbol"/>
          <w:color w:val="000000"/>
        </w:rPr>
        <w:sym w:font="Symbol" w:char="F0B7"/>
      </w:r>
      <w:r w:rsidRPr="009206B1">
        <w:rPr>
          <w:rFonts w:ascii="Symbol" w:hAnsi="Symbol"/>
          <w:color w:val="000000"/>
        </w:rPr>
        <w:tab/>
      </w:r>
      <w:r w:rsidRPr="009206B1">
        <w:t>27 юни 2022 г., 15.00 – 18.30 ч. (Брюксел)</w:t>
      </w:r>
    </w:p>
    <w:p w:rsidR="009B3142" w:rsidRPr="009206B1" w:rsidRDefault="009B3142" w:rsidP="009B3142"/>
    <w:p w:rsidR="00D45997" w:rsidRPr="009206B1" w:rsidRDefault="00972226" w:rsidP="00A20D13">
      <w:pPr>
        <w:pStyle w:val="PVxSubheading12a"/>
        <w:rPr>
          <w:b w:val="0"/>
          <w:i w:val="0"/>
        </w:rPr>
      </w:pPr>
      <w:r w:rsidRPr="009206B1">
        <w:rPr>
          <w:b w:val="0"/>
          <w:i w:val="0"/>
        </w:rPr>
        <w:t>Заседанието е закрито в 16.25 ч.</w:t>
      </w:r>
    </w:p>
    <w:p w:rsidR="00250F5D" w:rsidRPr="009206B1" w:rsidRDefault="00250F5D" w:rsidP="00F4356E"/>
    <w:p w:rsidR="001E4EBD" w:rsidRPr="009206B1" w:rsidRDefault="001E4EBD" w:rsidP="001E4EBD">
      <w:pPr>
        <w:sectPr w:rsidR="001E4EBD" w:rsidRPr="009206B1" w:rsidSect="009206B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rsidR="008452E8" w:rsidRPr="009206B1" w:rsidRDefault="00972226" w:rsidP="00E2660A">
      <w:pPr>
        <w:pStyle w:val="AttendancePVTitle"/>
      </w:pPr>
      <w:r w:rsidRPr="009206B1">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w:t>
      </w:r>
      <w:r w:rsidRPr="009206B1">
        <w:t>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FD5E3C" w:rsidRPr="009206B1">
        <w:trPr>
          <w:cantSplit/>
        </w:trPr>
        <w:tc>
          <w:tcPr>
            <w:tcW w:w="9072" w:type="dxa"/>
            <w:shd w:val="pct10" w:color="000000" w:fill="FFFFFF"/>
          </w:tcPr>
          <w:p w:rsidR="008452E8" w:rsidRPr="009206B1" w:rsidRDefault="00972226" w:rsidP="00AD4CEB">
            <w:pPr>
              <w:pStyle w:val="AttendancePVTable"/>
            </w:pPr>
            <w:r w:rsidRPr="009206B1">
              <w:t>Бюро/Mesa/Předsednictvo/Formandskabet/Vorstand/Juhatus/Προεδρείο/Bureau/Predsjedništvo/Ufficio di preside</w:t>
            </w:r>
            <w:r w:rsidRPr="009206B1">
              <w:t>nza</w:t>
            </w:r>
            <w:bookmarkStart w:id="0" w:name="_GoBack"/>
            <w:bookmarkEnd w:id="0"/>
            <w:r w:rsidRPr="009206B1">
              <w:t>/Prezidijs/ Biuras/Elnökség/Prezydium/Birou/Predsedníctvo/Predsedstvo/Puheenjohtajisto/Presidiet (*)</w:t>
            </w:r>
          </w:p>
        </w:tc>
      </w:tr>
      <w:tr w:rsidR="00FD5E3C" w:rsidRPr="009206B1">
        <w:trPr>
          <w:cantSplit/>
          <w:trHeight w:val="720"/>
        </w:trPr>
        <w:tc>
          <w:tcPr>
            <w:tcW w:w="9072" w:type="dxa"/>
            <w:shd w:val="clear" w:color="000000" w:fill="FFFFFF"/>
          </w:tcPr>
          <w:p w:rsidR="008452E8" w:rsidRPr="009206B1" w:rsidRDefault="00972226" w:rsidP="00AD4CEB">
            <w:pPr>
              <w:pStyle w:val="AttendancePVTable"/>
            </w:pPr>
            <w:r w:rsidRPr="009206B1">
              <w:t>Cristian</w:t>
            </w:r>
            <w:r w:rsidRPr="009206B1">
              <w:noBreakHyphen/>
              <w:t>Silviu Buşoi (P), Patrizia Toia (3VP)</w:t>
            </w:r>
          </w:p>
        </w:tc>
      </w:tr>
      <w:tr w:rsidR="00FD5E3C" w:rsidRPr="009206B1">
        <w:trPr>
          <w:cantSplit/>
        </w:trPr>
        <w:tc>
          <w:tcPr>
            <w:tcW w:w="9072" w:type="dxa"/>
            <w:shd w:val="pct10" w:color="000000" w:fill="FFFFFF"/>
          </w:tcPr>
          <w:p w:rsidR="008452E8" w:rsidRPr="009206B1" w:rsidRDefault="00972226" w:rsidP="00AD4CEB">
            <w:pPr>
              <w:pStyle w:val="AttendancePVTable"/>
            </w:pPr>
            <w:r w:rsidRPr="009206B1">
              <w:t>Членове/Diputados/Poslanci/Medlemmer/Mitglieder/Parlamendiliikmed/Βουλευτές/Members/Députés/Zastupnici/Deputati/Deputāti/ Nariai/Képviselõk/Membri/Leden/Posłowie/Deputados/Deputaţi/Jäsenet/Ledamöter</w:t>
            </w:r>
          </w:p>
        </w:tc>
      </w:tr>
      <w:tr w:rsidR="00FD5E3C" w:rsidRPr="009206B1">
        <w:trPr>
          <w:cantSplit/>
          <w:trHeight w:val="1200"/>
        </w:trPr>
        <w:tc>
          <w:tcPr>
            <w:tcW w:w="9072" w:type="dxa"/>
            <w:shd w:val="clear" w:color="000000" w:fill="FFFFFF"/>
          </w:tcPr>
          <w:p w:rsidR="008452E8" w:rsidRPr="009206B1" w:rsidRDefault="00972226" w:rsidP="00CC6B58">
            <w:pPr>
              <w:pStyle w:val="AttendancePVTable"/>
            </w:pPr>
            <w:r w:rsidRPr="009206B1">
              <w:t>Matteo Adinolfi, Hildegard Bentele, Michael Bloss, Jerzy</w:t>
            </w:r>
            <w:r w:rsidRPr="009206B1">
              <w:t xml:space="preserve"> Buzek, Josianne Cutajar, Christian Ehler, Valter Flego, Dan Nica, Angelika Niebler, Isabella Tovaglieri, Henna Virkkunen, Carlos Zorrinho</w:t>
            </w:r>
          </w:p>
        </w:tc>
      </w:tr>
      <w:tr w:rsidR="00FD5E3C" w:rsidRPr="009206B1">
        <w:trPr>
          <w:cantSplit/>
        </w:trPr>
        <w:tc>
          <w:tcPr>
            <w:tcW w:w="9072" w:type="dxa"/>
            <w:shd w:val="pct10" w:color="000000" w:fill="FFFFFF"/>
          </w:tcPr>
          <w:p w:rsidR="008452E8" w:rsidRPr="009206B1" w:rsidRDefault="00972226" w:rsidP="00AD4CEB">
            <w:pPr>
              <w:pStyle w:val="AttendancePVTable"/>
            </w:pPr>
            <w:r w:rsidRPr="009206B1">
              <w:t>Заместници/Suplentes/Náhradníci/Stedfortrædere/Stellvertreter/Asendusliikmed/Αναπληρωτές/Substitutes/Suppléants/Zamj</w:t>
            </w:r>
            <w:r w:rsidRPr="009206B1">
              <w:t>enici/ Supplenti/Aizstājēji/Pavaduojantysnariai/Póttagok/Sostituti/Plaatsvervangers/Zastępcy/Membros suplentes/Supleanţi/Náhradníci/ Namestniki/Varajäsenet/Suppleanter</w:t>
            </w:r>
          </w:p>
        </w:tc>
      </w:tr>
      <w:tr w:rsidR="00FD5E3C" w:rsidRPr="009206B1">
        <w:trPr>
          <w:cantSplit/>
          <w:trHeight w:val="1200"/>
        </w:trPr>
        <w:tc>
          <w:tcPr>
            <w:tcW w:w="9072" w:type="dxa"/>
            <w:shd w:val="clear" w:color="000000" w:fill="FFFFFF"/>
          </w:tcPr>
          <w:p w:rsidR="008452E8" w:rsidRPr="009206B1" w:rsidRDefault="00972226" w:rsidP="00A531E2">
            <w:pPr>
              <w:pStyle w:val="AttendancePVTable"/>
            </w:pPr>
            <w:r w:rsidRPr="009206B1">
              <w:t>Pascal Arimont, Franc Bogovič, Jakop G. Dalunde, Eleonora Evi, Pietro Fiocchi, Ladislav</w:t>
            </w:r>
            <w:r w:rsidRPr="009206B1">
              <w:t xml:space="preserve"> Ilčić, Luděk Niedermayer, Dominique Riquet, Massimiliano Salini, Susana Solís Pérez, Emma Wiesner</w:t>
            </w:r>
          </w:p>
        </w:tc>
      </w:tr>
    </w:tbl>
    <w:p w:rsidR="008452E8" w:rsidRPr="009206B1" w:rsidRDefault="008452E8" w:rsidP="005D5A08">
      <w:pPr>
        <w:pStyle w:val="AttendancePV"/>
      </w:pPr>
    </w:p>
    <w:p w:rsidR="008452E8" w:rsidRPr="009206B1" w:rsidRDefault="008452E8" w:rsidP="005D5A08">
      <w:pPr>
        <w:pStyle w:val="AttendancePV"/>
      </w:pPr>
    </w:p>
    <w:p w:rsidR="00714F25" w:rsidRPr="009206B1"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FD5E3C" w:rsidRPr="009206B1">
        <w:trPr>
          <w:cantSplit/>
        </w:trPr>
        <w:tc>
          <w:tcPr>
            <w:tcW w:w="9072" w:type="dxa"/>
            <w:gridSpan w:val="2"/>
            <w:shd w:val="pct10" w:color="000000" w:fill="FFFFFF"/>
          </w:tcPr>
          <w:p w:rsidR="008452E8" w:rsidRPr="009206B1" w:rsidRDefault="00972226" w:rsidP="00467244">
            <w:pPr>
              <w:pStyle w:val="AttendancePVTable"/>
            </w:pPr>
            <w:r w:rsidRPr="009206B1">
              <w:t>209 (7)</w:t>
            </w:r>
          </w:p>
        </w:tc>
      </w:tr>
      <w:tr w:rsidR="00FD5E3C" w:rsidRPr="009206B1">
        <w:trPr>
          <w:cantSplit/>
          <w:trHeight w:val="720"/>
        </w:trPr>
        <w:tc>
          <w:tcPr>
            <w:tcW w:w="9072" w:type="dxa"/>
            <w:gridSpan w:val="2"/>
          </w:tcPr>
          <w:p w:rsidR="008452E8" w:rsidRPr="009206B1" w:rsidRDefault="008452E8" w:rsidP="00AD4CEB">
            <w:pPr>
              <w:pStyle w:val="AttendancePVTable"/>
            </w:pPr>
          </w:p>
        </w:tc>
      </w:tr>
      <w:tr w:rsidR="00FD5E3C" w:rsidRPr="009206B1">
        <w:trPr>
          <w:cantSplit/>
        </w:trPr>
        <w:tc>
          <w:tcPr>
            <w:tcW w:w="9072" w:type="dxa"/>
            <w:gridSpan w:val="2"/>
            <w:shd w:val="pct10" w:color="000000" w:fill="FFFFFF"/>
          </w:tcPr>
          <w:p w:rsidR="008452E8" w:rsidRPr="009206B1" w:rsidRDefault="00972226" w:rsidP="00AD4CEB">
            <w:pPr>
              <w:pStyle w:val="AttendancePVTable"/>
            </w:pPr>
            <w:r w:rsidRPr="009206B1">
              <w:t>216 (3)</w:t>
            </w:r>
          </w:p>
        </w:tc>
      </w:tr>
      <w:tr w:rsidR="00FD5E3C" w:rsidRPr="009206B1">
        <w:trPr>
          <w:cantSplit/>
          <w:trHeight w:val="720"/>
        </w:trPr>
        <w:tc>
          <w:tcPr>
            <w:tcW w:w="9072" w:type="dxa"/>
            <w:gridSpan w:val="2"/>
          </w:tcPr>
          <w:p w:rsidR="008452E8" w:rsidRPr="009206B1" w:rsidRDefault="008452E8" w:rsidP="00AD4CEB">
            <w:pPr>
              <w:pStyle w:val="AttendancePVTable"/>
            </w:pPr>
          </w:p>
        </w:tc>
      </w:tr>
      <w:tr w:rsidR="00FD5E3C" w:rsidRPr="009206B1">
        <w:trPr>
          <w:cantSplit/>
        </w:trPr>
        <w:tc>
          <w:tcPr>
            <w:tcW w:w="9072" w:type="dxa"/>
            <w:gridSpan w:val="2"/>
            <w:shd w:val="pct10" w:color="000000" w:fill="FFFFFF"/>
          </w:tcPr>
          <w:p w:rsidR="008452E8" w:rsidRPr="009206B1" w:rsidRDefault="00972226" w:rsidP="00467244">
            <w:pPr>
              <w:pStyle w:val="AttendancePVTable"/>
            </w:pPr>
            <w:r w:rsidRPr="009206B1">
              <w:t xml:space="preserve">56 (8) (Точка от дневния ред/Punto del orden del día/Bod pořadu jednání (OJ)/Punkt på dagsordenen/Tagesordnungspunkt/ </w:t>
            </w:r>
            <w:r w:rsidRPr="009206B1">
              <w:t>Päevakorra punkt/Σημείο της ημερήσιας διάταξης/Agenda item/Point OJ/Točka dnevnog reda/Punto all'ordine del giorno/Darba kārtības punkts/Darbotvarkės punktas/Napirendi pont/Punt Aġenda/Agendapunt/Punkt porządku dziennego/Ponto OD/Punct de pe ordinea de zi/</w:t>
            </w:r>
            <w:r w:rsidRPr="009206B1">
              <w:t>Bod programu schôdze/Točka UL/Esityslistan kohta/Punkt på föredragningslistan)</w:t>
            </w:r>
          </w:p>
        </w:tc>
      </w:tr>
      <w:tr w:rsidR="00FD5E3C" w:rsidRPr="009206B1">
        <w:trPr>
          <w:trHeight w:val="720"/>
        </w:trPr>
        <w:tc>
          <w:tcPr>
            <w:tcW w:w="7513" w:type="dxa"/>
          </w:tcPr>
          <w:p w:rsidR="008452E8" w:rsidRPr="009206B1" w:rsidRDefault="008452E8" w:rsidP="00AD4CEB">
            <w:pPr>
              <w:pStyle w:val="AttendancePVTable"/>
            </w:pPr>
          </w:p>
        </w:tc>
        <w:tc>
          <w:tcPr>
            <w:tcW w:w="1559" w:type="dxa"/>
          </w:tcPr>
          <w:p w:rsidR="008452E8" w:rsidRPr="009206B1" w:rsidRDefault="008452E8" w:rsidP="00AD4CEB">
            <w:pPr>
              <w:pStyle w:val="AttendancePVTable"/>
            </w:pPr>
          </w:p>
        </w:tc>
      </w:tr>
    </w:tbl>
    <w:p w:rsidR="008452E8" w:rsidRPr="009206B1" w:rsidRDefault="008452E8" w:rsidP="005D5A08">
      <w:pPr>
        <w:pStyle w:val="AttendancePV"/>
      </w:pPr>
    </w:p>
    <w:p w:rsidR="0083601E" w:rsidRPr="009206B1" w:rsidRDefault="0083601E" w:rsidP="005D5A08">
      <w:pPr>
        <w:pStyle w:val="AttendancePV"/>
      </w:pPr>
    </w:p>
    <w:p w:rsidR="0083601E" w:rsidRPr="009206B1" w:rsidRDefault="0083601E" w:rsidP="005D5A08">
      <w:pPr>
        <w:pStyle w:val="AttendancePV"/>
      </w:pPr>
    </w:p>
    <w:p w:rsidR="008452E8" w:rsidRPr="009206B1" w:rsidRDefault="008452E8" w:rsidP="005D5A08">
      <w:pPr>
        <w:pStyle w:val="AttendancePV"/>
      </w:pPr>
    </w:p>
    <w:p w:rsidR="0083601E" w:rsidRPr="009206B1" w:rsidRDefault="00972226" w:rsidP="005D5A08">
      <w:pPr>
        <w:pStyle w:val="AttendancePV"/>
      </w:pPr>
      <w:r w:rsidRPr="009206B1">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FD5E3C" w:rsidRPr="009206B1" w:rsidTr="00B15084">
        <w:trPr>
          <w:cantSplit/>
        </w:trPr>
        <w:tc>
          <w:tcPr>
            <w:tcW w:w="9072" w:type="dxa"/>
            <w:shd w:val="pct10" w:color="000000" w:fill="FFFFFF"/>
          </w:tcPr>
          <w:p w:rsidR="0083601E" w:rsidRPr="009206B1" w:rsidRDefault="00972226" w:rsidP="00AD4CEB">
            <w:pPr>
              <w:pStyle w:val="AttendancePVTable"/>
            </w:pPr>
            <w:r w:rsidRPr="009206B1">
              <w:lastRenderedPageBreak/>
              <w:t xml:space="preserve">Наблюдатели/Observadores/Pozorovatelé/Observatører/Beobachter/Vaatlejad/Παρατηρητές/Observers/Observateurs/Promatrači/ </w:t>
            </w:r>
            <w:r w:rsidRPr="009206B1">
              <w:t>Osservatori/Novērotāji/Stebėtojai/Megfigyelők/Osservaturi/Waarnemers/Obserwatorzy/Observadores/Observatori/Pozorovatelia/ Opazovalci/Tarkkailijat/Observatörer</w:t>
            </w:r>
          </w:p>
        </w:tc>
      </w:tr>
      <w:tr w:rsidR="00FD5E3C" w:rsidRPr="009206B1" w:rsidTr="00B15084">
        <w:trPr>
          <w:cantSplit/>
          <w:trHeight w:val="720"/>
        </w:trPr>
        <w:tc>
          <w:tcPr>
            <w:tcW w:w="9072" w:type="dxa"/>
          </w:tcPr>
          <w:p w:rsidR="0083601E" w:rsidRPr="009206B1" w:rsidRDefault="0083601E" w:rsidP="00AD4CEB">
            <w:pPr>
              <w:pStyle w:val="AttendancePVTable"/>
            </w:pPr>
          </w:p>
        </w:tc>
      </w:tr>
    </w:tbl>
    <w:p w:rsidR="008452E8" w:rsidRPr="009206B1" w:rsidRDefault="008452E8" w:rsidP="005D5A08">
      <w:pPr>
        <w:pStyle w:val="AttendancePV"/>
      </w:pPr>
    </w:p>
    <w:p w:rsidR="0083601E" w:rsidRPr="009206B1" w:rsidRDefault="0083601E" w:rsidP="005D5A08">
      <w:pPr>
        <w:pStyle w:val="AttendancePV"/>
      </w:pPr>
    </w:p>
    <w:p w:rsidR="00DB5CC6" w:rsidRPr="009206B1"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FD5E3C" w:rsidRPr="009206B1">
        <w:tc>
          <w:tcPr>
            <w:tcW w:w="9072" w:type="dxa"/>
            <w:shd w:val="pct10" w:color="000000" w:fill="FFFFFF"/>
          </w:tcPr>
          <w:p w:rsidR="008452E8" w:rsidRPr="009206B1" w:rsidRDefault="00972226" w:rsidP="00F51C97">
            <w:pPr>
              <w:pStyle w:val="AttendancePVTable"/>
            </w:pPr>
            <w:r w:rsidRPr="009206B1">
              <w:t xml:space="preserve">По покана на председателя/Por invitación del presidente/Na pozvání předsedy/Efter </w:t>
            </w:r>
            <w:r w:rsidRPr="009206B1">
              <w:t>indbydelse fra formanden/Auf Einladung des Vorsitzenden/Esimehe kutsel/Με πρόσκληση του Προέδρου/At the invitation of the Chair/Sur l’invitation du président/ Na poziv predsjednika/Su invito del presidente/Pēc priekšsēdētāja uzaicinājuma/Pirmininkui pakvie</w:t>
            </w:r>
            <w:r w:rsidRPr="009206B1">
              <w:t>tus/Az elnök meghívására/ Fuq stedina taċ</w:t>
            </w:r>
            <w:r w:rsidRPr="009206B1">
              <w:noBreakHyphen/>
              <w:t>'Chairman'/Op uitnodiging van de voorzitter/Na zaproszenie Przewodniczącego/A convite do Presidente/La invitaţia preşedintelui/ Na pozvanie predsedu/Na povabilo predsednika/Puheenjohtajan kutsusta/På ordförandens i</w:t>
            </w:r>
            <w:r w:rsidRPr="009206B1">
              <w:t>nbjudan</w:t>
            </w:r>
          </w:p>
        </w:tc>
      </w:tr>
      <w:tr w:rsidR="00FD5E3C" w:rsidRPr="009206B1">
        <w:trPr>
          <w:trHeight w:val="720"/>
        </w:trPr>
        <w:tc>
          <w:tcPr>
            <w:tcW w:w="9072" w:type="dxa"/>
          </w:tcPr>
          <w:p w:rsidR="008452E8" w:rsidRPr="009206B1" w:rsidRDefault="008452E8" w:rsidP="00AD4CEB">
            <w:pPr>
              <w:pStyle w:val="AttendancePVTable"/>
            </w:pPr>
          </w:p>
        </w:tc>
      </w:tr>
    </w:tbl>
    <w:p w:rsidR="008452E8" w:rsidRPr="009206B1" w:rsidRDefault="008452E8" w:rsidP="005D5A08">
      <w:pPr>
        <w:pStyle w:val="AttendancePV"/>
      </w:pPr>
    </w:p>
    <w:p w:rsidR="0083601E" w:rsidRPr="009206B1" w:rsidRDefault="0083601E" w:rsidP="005D5A08">
      <w:pPr>
        <w:pStyle w:val="AttendancePV"/>
      </w:pPr>
    </w:p>
    <w:p w:rsidR="008452E8" w:rsidRPr="009206B1"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FD5E3C" w:rsidRPr="009206B1">
        <w:tc>
          <w:tcPr>
            <w:tcW w:w="9072" w:type="dxa"/>
            <w:gridSpan w:val="2"/>
            <w:shd w:val="pct10" w:color="000000" w:fill="FFFFFF"/>
          </w:tcPr>
          <w:p w:rsidR="008452E8" w:rsidRPr="009206B1" w:rsidRDefault="00972226" w:rsidP="00AD4CEB">
            <w:pPr>
              <w:pStyle w:val="AttendancePVTable"/>
            </w:pPr>
            <w:r w:rsidRPr="009206B1">
              <w:t>Съвет/Consejo/Rada/Rådet/Rat/Nõukogu/Συμβούλιο/Council/Conseil/Vijeće/Consiglio/Padome/Taryba/Tanács/Kunsill/Raad/ Conselho/Consiliu/Svet/Neuvosto/Rådet (*)</w:t>
            </w:r>
          </w:p>
        </w:tc>
      </w:tr>
      <w:tr w:rsidR="00FD5E3C" w:rsidRPr="009206B1">
        <w:trPr>
          <w:trHeight w:val="720"/>
        </w:trPr>
        <w:tc>
          <w:tcPr>
            <w:tcW w:w="9072" w:type="dxa"/>
            <w:gridSpan w:val="2"/>
          </w:tcPr>
          <w:p w:rsidR="008452E8" w:rsidRPr="009206B1" w:rsidRDefault="008452E8" w:rsidP="00AD4CEB">
            <w:pPr>
              <w:pStyle w:val="AttendancePVTable"/>
            </w:pPr>
          </w:p>
        </w:tc>
      </w:tr>
      <w:tr w:rsidR="00FD5E3C" w:rsidRPr="009206B1">
        <w:tc>
          <w:tcPr>
            <w:tcW w:w="9072" w:type="dxa"/>
            <w:gridSpan w:val="2"/>
            <w:shd w:val="pct10" w:color="000000" w:fill="FFFFFF"/>
          </w:tcPr>
          <w:p w:rsidR="008452E8" w:rsidRPr="009206B1" w:rsidRDefault="00972226" w:rsidP="002E2B09">
            <w:pPr>
              <w:pStyle w:val="AttendancePVTable"/>
            </w:pPr>
            <w:r w:rsidRPr="009206B1">
              <w:t>Комисия/Comisión/Komise/Kommissionen/Kommission/Komisjon/Επιτροπή/Commission/Komisija/Commissione/Bizottság/ Kummissjoni/Commissie/Komisja/Comissão/Comisie/Komisia/Komissio/Kommissionen (*)</w:t>
            </w:r>
          </w:p>
        </w:tc>
      </w:tr>
      <w:tr w:rsidR="00FD5E3C" w:rsidRPr="009206B1">
        <w:trPr>
          <w:trHeight w:val="720"/>
        </w:trPr>
        <w:tc>
          <w:tcPr>
            <w:tcW w:w="9072" w:type="dxa"/>
            <w:gridSpan w:val="2"/>
          </w:tcPr>
          <w:p w:rsidR="008452E8" w:rsidRPr="009206B1" w:rsidRDefault="008452E8" w:rsidP="00AD4CEB">
            <w:pPr>
              <w:pStyle w:val="AttendancePVTable"/>
            </w:pPr>
          </w:p>
        </w:tc>
      </w:tr>
      <w:tr w:rsidR="00FD5E3C" w:rsidRPr="009206B1">
        <w:tc>
          <w:tcPr>
            <w:tcW w:w="9072" w:type="dxa"/>
            <w:gridSpan w:val="2"/>
            <w:shd w:val="pct10" w:color="000000" w:fill="FFFFFF"/>
          </w:tcPr>
          <w:p w:rsidR="008452E8" w:rsidRPr="009206B1" w:rsidRDefault="00972226" w:rsidP="00F0068D">
            <w:pPr>
              <w:pStyle w:val="AttendancePVTable"/>
            </w:pPr>
            <w:r w:rsidRPr="009206B1">
              <w:t>Други институции и органи/Otras instituciones y organismos/Osta</w:t>
            </w:r>
            <w:r w:rsidRPr="009206B1">
              <w:t>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w:t>
            </w:r>
            <w:r w:rsidRPr="009206B1">
              <w:t>oni e altri organi/Citas iestādes un struktūras/Kitos institucijos ir įstaigos/ Más intézmények és szervek/Istituzzjonijiet u korpi oħra/Andere instellingen en organen/Inne instytucje i organy/Outras instituições e outros órgãos/Alte instituții și organe/I</w:t>
            </w:r>
            <w:r w:rsidRPr="009206B1">
              <w:t>né inštitúcie a orgány/Muut toimielimet ja elimet/Andra institutioner och organ</w:t>
            </w:r>
          </w:p>
        </w:tc>
      </w:tr>
      <w:tr w:rsidR="00FD5E3C" w:rsidRPr="009206B1">
        <w:trPr>
          <w:cantSplit/>
          <w:trHeight w:val="720"/>
        </w:trPr>
        <w:tc>
          <w:tcPr>
            <w:tcW w:w="1701" w:type="dxa"/>
          </w:tcPr>
          <w:p w:rsidR="008452E8" w:rsidRPr="009206B1" w:rsidRDefault="008452E8" w:rsidP="00AD4CEB">
            <w:pPr>
              <w:pStyle w:val="AttendancePVTable"/>
            </w:pPr>
          </w:p>
        </w:tc>
        <w:tc>
          <w:tcPr>
            <w:tcW w:w="7371" w:type="dxa"/>
          </w:tcPr>
          <w:p w:rsidR="008452E8" w:rsidRPr="009206B1" w:rsidRDefault="008452E8" w:rsidP="00AD4CEB">
            <w:pPr>
              <w:pStyle w:val="AttendancePVTable"/>
            </w:pPr>
          </w:p>
        </w:tc>
      </w:tr>
    </w:tbl>
    <w:p w:rsidR="008452E8" w:rsidRPr="009206B1" w:rsidRDefault="008452E8" w:rsidP="005D5A08">
      <w:pPr>
        <w:pStyle w:val="AttendancePV"/>
      </w:pPr>
    </w:p>
    <w:p w:rsidR="008452E8" w:rsidRPr="009206B1"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FD5E3C" w:rsidRPr="009206B1">
        <w:trPr>
          <w:cantSplit/>
        </w:trPr>
        <w:tc>
          <w:tcPr>
            <w:tcW w:w="9072" w:type="dxa"/>
            <w:shd w:val="pct10" w:color="000000" w:fill="FFFFFF"/>
          </w:tcPr>
          <w:p w:rsidR="008452E8" w:rsidRPr="009206B1" w:rsidRDefault="00972226" w:rsidP="00AD4CEB">
            <w:pPr>
              <w:pStyle w:val="AttendancePVTable"/>
            </w:pPr>
            <w:r w:rsidRPr="009206B1">
              <w:t xml:space="preserve">Други участници/Otros participantes/Ostatní účastníci/Endvidere deltog/Andere Teilnehmer/Muud osalejad/Επίσης παρόντες/Other participants/Autres participants/Drugi </w:t>
            </w:r>
            <w:r w:rsidRPr="009206B1">
              <w:t>sudionici/Altri partecipanti/Citi klātesošie/Kiti dalyviai/Más résztvevők/Parteċipanti ohra/Andere aanwezigen/Inni uczestnicy/Outros participantes/Alţi participanţi/Iní účastníci/Drugi udeleženci/Muut osallistujat/Övriga deltagare</w:t>
            </w:r>
          </w:p>
        </w:tc>
      </w:tr>
      <w:tr w:rsidR="00FD5E3C" w:rsidRPr="009206B1">
        <w:trPr>
          <w:cantSplit/>
          <w:trHeight w:val="1200"/>
        </w:trPr>
        <w:tc>
          <w:tcPr>
            <w:tcW w:w="9072" w:type="dxa"/>
          </w:tcPr>
          <w:p w:rsidR="008452E8" w:rsidRPr="009206B1" w:rsidRDefault="00972226" w:rsidP="00A22851">
            <w:pPr>
              <w:pStyle w:val="AttendancePVTable"/>
            </w:pPr>
            <w:r w:rsidRPr="009206B1">
              <w:t>Sigrid de Vries (Secreta</w:t>
            </w:r>
            <w:r w:rsidRPr="009206B1">
              <w:t>ry General of CLEPA), Gianmarco Giorda (Director General of ANFIA), Erik Mark Huitema (Director General of ACEA), Julia Poliscanova (Senior Director of Transport &amp; Environment (T&amp;E)), Conny Schönhardt (Head of the Mobility and Vehicle Construction Unit, IG</w:t>
            </w:r>
            <w:r w:rsidRPr="009206B1">
              <w:t xml:space="preserve"> Metall)</w:t>
            </w:r>
          </w:p>
        </w:tc>
      </w:tr>
    </w:tbl>
    <w:p w:rsidR="0083601E" w:rsidRPr="009206B1" w:rsidRDefault="00972226" w:rsidP="005D5A08">
      <w:pPr>
        <w:pStyle w:val="AttendancePV"/>
      </w:pPr>
      <w:r w:rsidRPr="009206B1">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5E3C" w:rsidRPr="009206B1">
        <w:trPr>
          <w:cantSplit/>
        </w:trPr>
        <w:tc>
          <w:tcPr>
            <w:tcW w:w="9072" w:type="dxa"/>
            <w:gridSpan w:val="2"/>
            <w:shd w:val="pct10" w:color="000000" w:fill="FFFFFF"/>
          </w:tcPr>
          <w:p w:rsidR="008452E8" w:rsidRPr="009206B1" w:rsidRDefault="00972226" w:rsidP="005F6C89">
            <w:pPr>
              <w:pStyle w:val="AttendancePVTable"/>
            </w:pPr>
            <w:r w:rsidRPr="009206B1">
              <w:lastRenderedPageBreak/>
              <w:t xml:space="preserve">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w:t>
            </w:r>
            <w:r w:rsidRPr="009206B1">
              <w:t>groups/Secrétariat des groupes politiques/Tajništva klubova zastupnika/Segreteria gruppi politici/Politisko grupu sekretariāts/Frakcijų sekretoriai/ Képviselőcsoportok titkársága/Segretarjat gruppi politiċi/Fractiesecretariaten/Sekretariat Grup Politycznyc</w:t>
            </w:r>
            <w:r w:rsidRPr="009206B1">
              <w:t>h/Secretariado dos grupos políticos/Secretariate grupuri politice/Sekretariát politických skupín/Sekretariat političnih skupin/Poliittisten ryhmien sihteeristöt/ De politiska gruppernas sekretariat</w:t>
            </w:r>
          </w:p>
        </w:tc>
      </w:tr>
      <w:tr w:rsidR="00FD5E3C" w:rsidRPr="009206B1">
        <w:trPr>
          <w:cantSplit/>
        </w:trPr>
        <w:tc>
          <w:tcPr>
            <w:tcW w:w="1701" w:type="dxa"/>
            <w:shd w:val="clear" w:color="auto" w:fill="FFFFFF"/>
          </w:tcPr>
          <w:p w:rsidR="008452E8" w:rsidRPr="009206B1" w:rsidRDefault="00972226" w:rsidP="00A66B35">
            <w:pPr>
              <w:pStyle w:val="AttendancePVTable"/>
            </w:pPr>
            <w:r w:rsidRPr="009206B1">
              <w:t>PPE</w:t>
            </w:r>
          </w:p>
          <w:p w:rsidR="008452E8" w:rsidRPr="009206B1" w:rsidRDefault="00972226" w:rsidP="00A66B35">
            <w:pPr>
              <w:pStyle w:val="AttendancePVTable"/>
            </w:pPr>
            <w:r w:rsidRPr="009206B1">
              <w:t>S&amp;D</w:t>
            </w:r>
          </w:p>
          <w:p w:rsidR="00A5325A" w:rsidRPr="009206B1" w:rsidRDefault="00972226" w:rsidP="00A66B35">
            <w:pPr>
              <w:pStyle w:val="AttendancePVTable"/>
            </w:pPr>
            <w:r w:rsidRPr="009206B1">
              <w:t>Renew</w:t>
            </w:r>
          </w:p>
          <w:p w:rsidR="008452E8" w:rsidRPr="009206B1" w:rsidRDefault="00972226" w:rsidP="00A66B35">
            <w:pPr>
              <w:pStyle w:val="AttendancePVTable"/>
            </w:pPr>
            <w:r w:rsidRPr="009206B1">
              <w:t>ID</w:t>
            </w:r>
          </w:p>
          <w:p w:rsidR="00A5325A" w:rsidRPr="009206B1" w:rsidRDefault="00972226" w:rsidP="006D6EB9">
            <w:pPr>
              <w:pStyle w:val="AttendancePVTable"/>
            </w:pPr>
            <w:r w:rsidRPr="009206B1">
              <w:t>Verts/ALE</w:t>
            </w:r>
          </w:p>
          <w:p w:rsidR="00A5325A" w:rsidRPr="009206B1" w:rsidRDefault="00972226" w:rsidP="00A5325A">
            <w:pPr>
              <w:pStyle w:val="AttendancePVTable"/>
            </w:pPr>
            <w:r w:rsidRPr="009206B1">
              <w:t>ECR</w:t>
            </w:r>
          </w:p>
          <w:p w:rsidR="008452E8" w:rsidRPr="009206B1" w:rsidRDefault="00972226" w:rsidP="00A66B35">
            <w:pPr>
              <w:pStyle w:val="AttendancePVTable"/>
            </w:pPr>
            <w:r w:rsidRPr="009206B1">
              <w:t>The Left</w:t>
            </w:r>
          </w:p>
          <w:p w:rsidR="008452E8" w:rsidRPr="009206B1" w:rsidRDefault="00972226" w:rsidP="00A66B35">
            <w:pPr>
              <w:pStyle w:val="AttendancePVTable"/>
            </w:pPr>
            <w:r w:rsidRPr="009206B1">
              <w:t>NI</w:t>
            </w:r>
          </w:p>
        </w:tc>
        <w:tc>
          <w:tcPr>
            <w:tcW w:w="7371" w:type="dxa"/>
            <w:shd w:val="clear" w:color="auto" w:fill="FFFFFF"/>
          </w:tcPr>
          <w:p w:rsidR="0006514D" w:rsidRPr="009206B1" w:rsidRDefault="0006514D" w:rsidP="00374A20">
            <w:pPr>
              <w:pStyle w:val="AttendancePVTable"/>
            </w:pPr>
          </w:p>
        </w:tc>
      </w:tr>
    </w:tbl>
    <w:p w:rsidR="00DB5CC6" w:rsidRPr="009206B1" w:rsidRDefault="00DB5CC6" w:rsidP="005D5A08">
      <w:pPr>
        <w:pStyle w:val="AttendancePV"/>
      </w:pPr>
    </w:p>
    <w:p w:rsidR="0083601E" w:rsidRPr="009206B1" w:rsidRDefault="0083601E" w:rsidP="005D5A08">
      <w:pPr>
        <w:pStyle w:val="AttendancePV"/>
      </w:pPr>
    </w:p>
    <w:p w:rsidR="0083601E" w:rsidRPr="009206B1"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5E3C" w:rsidRPr="009206B1">
        <w:trPr>
          <w:cantSplit/>
        </w:trPr>
        <w:tc>
          <w:tcPr>
            <w:tcW w:w="9072" w:type="dxa"/>
            <w:gridSpan w:val="2"/>
            <w:shd w:val="pct10" w:color="000000" w:fill="FFFFFF"/>
          </w:tcPr>
          <w:p w:rsidR="008452E8" w:rsidRPr="009206B1" w:rsidRDefault="00972226" w:rsidP="00AD4CEB">
            <w:pPr>
              <w:pStyle w:val="AttendancePVTable"/>
            </w:pPr>
            <w:r w:rsidRPr="009206B1">
              <w:br w:type="page"/>
              <w:t xml:space="preserve">Кабинет </w:t>
            </w:r>
            <w:r w:rsidRPr="009206B1">
              <w:t>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w:t>
            </w:r>
            <w:r w:rsidRPr="009206B1">
              <w:t>ninko kabinetas/Elnöki hivatal/Kabinett tal-President/Kabinet van de Voorzitter/Gabinet Przewodniczącego/Gabinete do Presidente/Cabinet Preşedinte/Kancelária predsedu/Urad predsednika/Puhemiehen kabinetti/Talmannens kansli</w:t>
            </w:r>
          </w:p>
        </w:tc>
      </w:tr>
      <w:tr w:rsidR="00FD5E3C" w:rsidRPr="009206B1" w:rsidTr="003C7A12">
        <w:trPr>
          <w:cantSplit/>
          <w:trHeight w:val="510"/>
        </w:trPr>
        <w:tc>
          <w:tcPr>
            <w:tcW w:w="9072" w:type="dxa"/>
            <w:gridSpan w:val="2"/>
            <w:shd w:val="clear" w:color="auto" w:fill="FFFFFF"/>
          </w:tcPr>
          <w:p w:rsidR="008452E8" w:rsidRPr="009206B1" w:rsidRDefault="008452E8" w:rsidP="00AD4CEB">
            <w:pPr>
              <w:pStyle w:val="AttendancePVTable"/>
            </w:pPr>
          </w:p>
        </w:tc>
      </w:tr>
      <w:tr w:rsidR="00FD5E3C" w:rsidRPr="009206B1">
        <w:trPr>
          <w:cantSplit/>
        </w:trPr>
        <w:tc>
          <w:tcPr>
            <w:tcW w:w="9072" w:type="dxa"/>
            <w:gridSpan w:val="2"/>
            <w:shd w:val="pct10" w:color="000000" w:fill="FFFFFF"/>
          </w:tcPr>
          <w:p w:rsidR="008452E8" w:rsidRPr="009206B1" w:rsidRDefault="00972226" w:rsidP="002467F2">
            <w:pPr>
              <w:pStyle w:val="AttendancePVTable"/>
            </w:pPr>
            <w:r w:rsidRPr="009206B1">
              <w:t xml:space="preserve">Кабинет на генералния </w:t>
            </w:r>
            <w:r w:rsidRPr="009206B1">
              <w:t>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w:t>
            </w:r>
            <w:r w:rsidRPr="009206B1">
              <w:t>/Gabinetto del Segretario generale/Ģenerālsekretāra kabinets/Generalinio sekretoriaus kabinetas/ Főtitkári hivatal/Kabinett tas-Segretarju Ġenerali/Kabinet van de secretaris-generaal/Gabinet Sekretarza Generalnego/Gabinete do Secretário-Geral/Cabinet Secre</w:t>
            </w:r>
            <w:r w:rsidRPr="009206B1">
              <w:t>tar General/Kancelária generálneho tajomníka/Urad generalnega sekretarja/Pääsihteerin kabinetti/ Generalsekreterarens kansli</w:t>
            </w:r>
          </w:p>
        </w:tc>
      </w:tr>
      <w:tr w:rsidR="00FD5E3C" w:rsidRPr="009206B1" w:rsidTr="003C7A12">
        <w:trPr>
          <w:cantSplit/>
          <w:trHeight w:val="510"/>
        </w:trPr>
        <w:tc>
          <w:tcPr>
            <w:tcW w:w="9072" w:type="dxa"/>
            <w:gridSpan w:val="2"/>
            <w:shd w:val="clear" w:color="auto" w:fill="FFFFFF"/>
          </w:tcPr>
          <w:p w:rsidR="008452E8" w:rsidRPr="009206B1" w:rsidRDefault="008452E8" w:rsidP="00AD4CEB">
            <w:pPr>
              <w:pStyle w:val="AttendancePVTable"/>
            </w:pPr>
          </w:p>
        </w:tc>
      </w:tr>
      <w:tr w:rsidR="00FD5E3C" w:rsidRPr="009206B1">
        <w:trPr>
          <w:cantSplit/>
        </w:trPr>
        <w:tc>
          <w:tcPr>
            <w:tcW w:w="9072" w:type="dxa"/>
            <w:gridSpan w:val="2"/>
            <w:shd w:val="pct10" w:color="000000" w:fill="FFFFFF"/>
          </w:tcPr>
          <w:p w:rsidR="008452E8" w:rsidRPr="009206B1" w:rsidRDefault="00972226" w:rsidP="00AD4CEB">
            <w:pPr>
              <w:pStyle w:val="AttendancePVTable"/>
            </w:pPr>
            <w:r w:rsidRPr="009206B1">
              <w:t>Генерална дирекция/Dirección General/Generální ředitelství/Generaldirektorat/Generaldirektion/Peadirektoraat/Γενική Διεύθυνση/ D</w:t>
            </w:r>
            <w:r w:rsidRPr="009206B1">
              <w:t>irectorate-General/Direction générale/Glavna uprava/Direzione generale/Ģenerāldirektorāts/Generalinis direktoratas/Főigazgatóság/ Direttorat Ġenerali/Directoraten</w:t>
            </w:r>
            <w:r w:rsidRPr="009206B1">
              <w:noBreakHyphen/>
              <w:t>generaal/Dyrekcja Generalna/Direcção-Geral/Direcţii Generale/Generálne riaditeľstvo/Generalni</w:t>
            </w:r>
            <w:r w:rsidRPr="009206B1">
              <w:t xml:space="preserve"> direktorat/Pääosasto/Generaldirektorat</w:t>
            </w:r>
          </w:p>
        </w:tc>
      </w:tr>
      <w:tr w:rsidR="00FD5E3C" w:rsidRPr="009206B1">
        <w:trPr>
          <w:cantSplit/>
          <w:trHeight w:val="720"/>
        </w:trPr>
        <w:tc>
          <w:tcPr>
            <w:tcW w:w="1701" w:type="dxa"/>
            <w:shd w:val="clear" w:color="auto" w:fill="FFFFFF"/>
          </w:tcPr>
          <w:p w:rsidR="008452E8" w:rsidRPr="009206B1" w:rsidRDefault="00972226" w:rsidP="00A66B35">
            <w:pPr>
              <w:pStyle w:val="AttendancePVTable"/>
            </w:pPr>
            <w:r w:rsidRPr="009206B1">
              <w:t>DG PRES</w:t>
            </w:r>
          </w:p>
          <w:p w:rsidR="008452E8" w:rsidRPr="009206B1" w:rsidRDefault="00972226" w:rsidP="00A66B35">
            <w:pPr>
              <w:pStyle w:val="AttendancePVTable"/>
            </w:pPr>
            <w:r w:rsidRPr="009206B1">
              <w:t>DG IPOL</w:t>
            </w:r>
          </w:p>
          <w:p w:rsidR="008452E8" w:rsidRPr="009206B1" w:rsidRDefault="00972226" w:rsidP="00A66B35">
            <w:pPr>
              <w:pStyle w:val="AttendancePVTable"/>
            </w:pPr>
            <w:r w:rsidRPr="009206B1">
              <w:t>DG EXPO</w:t>
            </w:r>
          </w:p>
          <w:p w:rsidR="00CA53ED" w:rsidRPr="009206B1" w:rsidRDefault="00972226" w:rsidP="00A66B35">
            <w:pPr>
              <w:pStyle w:val="AttendancePVTable"/>
            </w:pPr>
            <w:r w:rsidRPr="009206B1">
              <w:t>DG EPRS</w:t>
            </w:r>
          </w:p>
          <w:p w:rsidR="008452E8" w:rsidRPr="009206B1" w:rsidRDefault="00972226" w:rsidP="00A66B35">
            <w:pPr>
              <w:pStyle w:val="AttendancePVTable"/>
            </w:pPr>
            <w:r w:rsidRPr="009206B1">
              <w:t>DG COMM</w:t>
            </w:r>
          </w:p>
          <w:p w:rsidR="008452E8" w:rsidRPr="009206B1" w:rsidRDefault="00972226" w:rsidP="00A66B35">
            <w:pPr>
              <w:pStyle w:val="AttendancePVTable"/>
            </w:pPr>
            <w:r w:rsidRPr="009206B1">
              <w:t>DG PERS</w:t>
            </w:r>
          </w:p>
          <w:p w:rsidR="008452E8" w:rsidRPr="009206B1" w:rsidRDefault="00972226" w:rsidP="00A66B35">
            <w:pPr>
              <w:pStyle w:val="AttendancePVTable"/>
            </w:pPr>
            <w:r w:rsidRPr="009206B1">
              <w:t>DG INLO</w:t>
            </w:r>
          </w:p>
          <w:p w:rsidR="008452E8" w:rsidRPr="009206B1" w:rsidRDefault="00972226" w:rsidP="00A66B35">
            <w:pPr>
              <w:pStyle w:val="AttendancePVTable"/>
            </w:pPr>
            <w:r w:rsidRPr="009206B1">
              <w:t>DG TRAD</w:t>
            </w:r>
          </w:p>
          <w:p w:rsidR="007C674A" w:rsidRPr="009206B1" w:rsidRDefault="00972226" w:rsidP="00A66B35">
            <w:pPr>
              <w:pStyle w:val="AttendancePVTable"/>
            </w:pPr>
            <w:r w:rsidRPr="009206B1">
              <w:t>DG LINC</w:t>
            </w:r>
          </w:p>
          <w:p w:rsidR="008452E8" w:rsidRPr="009206B1" w:rsidRDefault="00972226" w:rsidP="00A66B35">
            <w:pPr>
              <w:pStyle w:val="AttendancePVTable"/>
            </w:pPr>
            <w:r w:rsidRPr="009206B1">
              <w:t>DG FINS</w:t>
            </w:r>
          </w:p>
          <w:p w:rsidR="00CA53ED" w:rsidRPr="009206B1" w:rsidRDefault="00972226" w:rsidP="00A66B35">
            <w:pPr>
              <w:pStyle w:val="AttendancePVTable"/>
            </w:pPr>
            <w:r w:rsidRPr="009206B1">
              <w:t>DG ITEC</w:t>
            </w:r>
          </w:p>
          <w:p w:rsidR="007C674A" w:rsidRPr="009206B1" w:rsidRDefault="00972226" w:rsidP="00A66B35">
            <w:pPr>
              <w:pStyle w:val="AttendancePVTable"/>
            </w:pPr>
            <w:r w:rsidRPr="009206B1">
              <w:t>DG SAFE</w:t>
            </w:r>
          </w:p>
        </w:tc>
        <w:tc>
          <w:tcPr>
            <w:tcW w:w="7371" w:type="dxa"/>
            <w:shd w:val="clear" w:color="auto" w:fill="FFFFFF"/>
          </w:tcPr>
          <w:p w:rsidR="00CA53ED" w:rsidRPr="009206B1" w:rsidRDefault="00CA53ED" w:rsidP="00AD4CEB">
            <w:pPr>
              <w:pStyle w:val="AttendancePVTable"/>
            </w:pPr>
          </w:p>
        </w:tc>
      </w:tr>
    </w:tbl>
    <w:p w:rsidR="0083601E" w:rsidRPr="009206B1" w:rsidRDefault="00972226" w:rsidP="005D5A08">
      <w:pPr>
        <w:pStyle w:val="AttendancePV"/>
      </w:pPr>
      <w:r w:rsidRPr="009206B1">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FD5E3C" w:rsidRPr="009206B1">
        <w:trPr>
          <w:cantSplit/>
        </w:trPr>
        <w:tc>
          <w:tcPr>
            <w:tcW w:w="9072" w:type="dxa"/>
            <w:shd w:val="pct10" w:color="000000" w:fill="FFFFFF"/>
          </w:tcPr>
          <w:p w:rsidR="00A13D65" w:rsidRPr="009206B1" w:rsidRDefault="00972226" w:rsidP="00AD4CEB">
            <w:pPr>
              <w:pStyle w:val="AttendancePVTable"/>
            </w:pPr>
            <w:r w:rsidRPr="009206B1">
              <w:lastRenderedPageBreak/>
              <w:t xml:space="preserve">Правна служба/Servicio Jurídico/Právní služba/Juridisk Tjeneste/Juristischer Dienst/Õigusteenistus/Νομική </w:t>
            </w:r>
            <w:r w:rsidRPr="009206B1">
              <w:t>Υπηρεσία/Legal Service/ Service juridique/Pravna služba/Servizio giuridico/Juridiskais dienests/Teisės tarnyba/Jogi szolgálat/Servizz legali/Juridische Dienst/ Wydział prawny/Serviço Jurídico/Serviciu Juridic/Právny servis/Oikeudellinen yksikkö/Rättstjänst</w:t>
            </w:r>
            <w:r w:rsidRPr="009206B1">
              <w:t>en</w:t>
            </w:r>
          </w:p>
        </w:tc>
      </w:tr>
      <w:tr w:rsidR="00FD5E3C" w:rsidRPr="009206B1" w:rsidTr="003C7A12">
        <w:trPr>
          <w:cantSplit/>
          <w:trHeight w:val="510"/>
        </w:trPr>
        <w:tc>
          <w:tcPr>
            <w:tcW w:w="9072" w:type="dxa"/>
            <w:shd w:val="clear" w:color="auto" w:fill="FFFFFF"/>
          </w:tcPr>
          <w:p w:rsidR="00A13D65" w:rsidRPr="009206B1" w:rsidRDefault="00A13D65" w:rsidP="00AD4CEB">
            <w:pPr>
              <w:pStyle w:val="AttendancePVTable"/>
            </w:pPr>
          </w:p>
        </w:tc>
      </w:tr>
      <w:tr w:rsidR="00FD5E3C" w:rsidRPr="009206B1">
        <w:trPr>
          <w:cantSplit/>
        </w:trPr>
        <w:tc>
          <w:tcPr>
            <w:tcW w:w="9072" w:type="dxa"/>
            <w:shd w:val="pct10" w:color="000000" w:fill="FFFFFF"/>
          </w:tcPr>
          <w:p w:rsidR="00A13D65" w:rsidRPr="009206B1" w:rsidRDefault="00972226" w:rsidP="00E2213D">
            <w:pPr>
              <w:pStyle w:val="AttendancePVTable"/>
            </w:pPr>
            <w:r w:rsidRPr="009206B1">
              <w:t xml:space="preserve">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w:t>
            </w:r>
            <w:r w:rsidRPr="009206B1">
              <w:t>commissione/Komitejas sekretariāts/Komiteto sekretoriatas/A bizottság titkársága/Segretarjat tal-kumitat/Commissiesecretariaat/ Sekretariat komisji/Secretariado da comissão/Secretariat comisie/Sekretariat odbora/Valiokunnan sihteeristö/Utskottssekretariate</w:t>
            </w:r>
            <w:r w:rsidRPr="009206B1">
              <w:t>t</w:t>
            </w:r>
          </w:p>
        </w:tc>
      </w:tr>
      <w:tr w:rsidR="00FD5E3C" w:rsidRPr="009206B1" w:rsidTr="003C7A12">
        <w:trPr>
          <w:cantSplit/>
          <w:trHeight w:val="510"/>
        </w:trPr>
        <w:tc>
          <w:tcPr>
            <w:tcW w:w="9072" w:type="dxa"/>
            <w:shd w:val="clear" w:color="auto" w:fill="FFFFFF"/>
          </w:tcPr>
          <w:p w:rsidR="00A13D65" w:rsidRPr="009206B1" w:rsidRDefault="00A13D65" w:rsidP="00AD4CEB">
            <w:pPr>
              <w:pStyle w:val="AttendancePVTable"/>
            </w:pPr>
          </w:p>
        </w:tc>
      </w:tr>
      <w:tr w:rsidR="00FD5E3C" w:rsidRPr="009206B1">
        <w:trPr>
          <w:cantSplit/>
        </w:trPr>
        <w:tc>
          <w:tcPr>
            <w:tcW w:w="9072" w:type="dxa"/>
            <w:shd w:val="pct10" w:color="000000" w:fill="FFFFFF"/>
          </w:tcPr>
          <w:p w:rsidR="00A13D65" w:rsidRPr="009206B1" w:rsidRDefault="00972226" w:rsidP="00AD4CEB">
            <w:pPr>
              <w:pStyle w:val="AttendancePVTable"/>
            </w:pPr>
            <w:r w:rsidRPr="009206B1">
              <w:t>Сътрудник/Asistente/Asistent/Assistent/Assistenz/Βοηθός/Assistant/Assistente/Palīgs/Padėjėjas/Asszisztens/Asystent/Pomočnik/ Avustaja/Assistenter</w:t>
            </w:r>
          </w:p>
        </w:tc>
      </w:tr>
      <w:tr w:rsidR="00FD5E3C" w:rsidRPr="009206B1" w:rsidTr="003C7A12">
        <w:trPr>
          <w:cantSplit/>
          <w:trHeight w:val="510"/>
        </w:trPr>
        <w:tc>
          <w:tcPr>
            <w:tcW w:w="9072" w:type="dxa"/>
            <w:shd w:val="clear" w:color="auto" w:fill="FFFFFF"/>
          </w:tcPr>
          <w:p w:rsidR="00A13D65" w:rsidRPr="009206B1" w:rsidRDefault="00A13D65" w:rsidP="00AD4CEB">
            <w:pPr>
              <w:pStyle w:val="AttendancePVTable"/>
            </w:pPr>
          </w:p>
        </w:tc>
      </w:tr>
    </w:tbl>
    <w:p w:rsidR="008452E8" w:rsidRPr="009206B1" w:rsidRDefault="008452E8" w:rsidP="005D5A08">
      <w:pPr>
        <w:pStyle w:val="AttendancePV"/>
      </w:pPr>
    </w:p>
    <w:p w:rsidR="00801684" w:rsidRPr="009206B1" w:rsidRDefault="00801684" w:rsidP="005D5A08">
      <w:pPr>
        <w:pStyle w:val="AttendancePV"/>
      </w:pPr>
    </w:p>
    <w:p w:rsidR="00801684" w:rsidRPr="009206B1" w:rsidRDefault="00801684" w:rsidP="005D5A08">
      <w:pPr>
        <w:pStyle w:val="AttendancePV"/>
      </w:pPr>
    </w:p>
    <w:p w:rsidR="00C634EF" w:rsidRPr="009206B1" w:rsidRDefault="00972226" w:rsidP="00AD4CEB">
      <w:pPr>
        <w:pStyle w:val="AttendancePVFootnote"/>
      </w:pPr>
      <w:r w:rsidRPr="009206B1">
        <w:t xml:space="preserve">* </w:t>
      </w:r>
      <w:r w:rsidRPr="009206B1">
        <w:tab/>
        <w:t>(P)</w:t>
      </w:r>
      <w:r w:rsidRPr="009206B1">
        <w:tab/>
        <w:t>=</w:t>
      </w:r>
      <w:r w:rsidRPr="009206B1">
        <w:tab/>
      </w:r>
      <w:r w:rsidRPr="009206B1">
        <w:t>Председател/Presidente/Předseda/Formand/Vorsitzender/Esimees/Πρόεδρος/Chair/Président/Predsjednik/Priekšsēdētājs/ Pirmininkas/Elnök/'Chairman'/Voorzitter/Przewodniczący/Preşedinte/Predseda/Predsednik/Puheenjohtaja/Ordförande</w:t>
      </w:r>
    </w:p>
    <w:p w:rsidR="00C634EF" w:rsidRPr="009206B1" w:rsidRDefault="00972226" w:rsidP="00AD4CEB">
      <w:pPr>
        <w:pStyle w:val="AttendancePVFootnote"/>
      </w:pPr>
      <w:r w:rsidRPr="009206B1">
        <w:tab/>
        <w:t>(VP) =</w:t>
      </w:r>
      <w:r w:rsidRPr="009206B1">
        <w:tab/>
        <w:t>Заместник-председател/V</w:t>
      </w:r>
      <w:r w:rsidRPr="009206B1">
        <w:t>icepresidente/Místopředseda/Næstformand/Stellvertretender Vorsitzender/Aseesimees/Αντιπρόεδρος/ Vice</w:t>
      </w:r>
      <w:r w:rsidRPr="009206B1">
        <w:noBreakHyphen/>
        <w:t>Chair/Potpredsjednik/Vice</w:t>
      </w:r>
      <w:r w:rsidRPr="009206B1">
        <w:noBreakHyphen/>
        <w:t>Président/Potpredsjednik/Priekšsēdētāja vietnieks/Pirmininko pavaduotojas/Alelnök/ Viċi 'Chairman'/Ondervoorzitter/Wiceprzewodnic</w:t>
      </w:r>
      <w:r w:rsidRPr="009206B1">
        <w:t>zący/Vice-Presidente/Vicepreşedinte/Podpredseda/Podpredsednik/ Varapuheenjohtaja/Vice ordförande</w:t>
      </w:r>
    </w:p>
    <w:p w:rsidR="00C634EF" w:rsidRPr="009206B1" w:rsidRDefault="00972226" w:rsidP="00AD4CEB">
      <w:pPr>
        <w:pStyle w:val="AttendancePVFootnote"/>
      </w:pPr>
      <w:r w:rsidRPr="009206B1">
        <w:tab/>
        <w:t>(M)</w:t>
      </w:r>
      <w:r w:rsidRPr="009206B1">
        <w:tab/>
        <w:t>=</w:t>
      </w:r>
      <w:r w:rsidRPr="009206B1">
        <w:tab/>
        <w:t>Член/Miembro/Člen/Medlem/Mitglied/Parlamendiliige/Βουλευτής/Member/Membre/Član/Membro/Deputāts/Narys/Képviselő/ Membru/Lid/Członek/Membro/Membru/Člen/Po</w:t>
      </w:r>
      <w:r w:rsidRPr="009206B1">
        <w:t>slanec/Jäsen/Ledamot</w:t>
      </w:r>
    </w:p>
    <w:p w:rsidR="006275CD" w:rsidRPr="009206B1" w:rsidRDefault="00972226" w:rsidP="00AD4CEB">
      <w:pPr>
        <w:pStyle w:val="AttendancePVFootnote"/>
      </w:pPr>
      <w:r w:rsidRPr="009206B1">
        <w:tab/>
        <w:t>(F)</w:t>
      </w:r>
      <w:r w:rsidRPr="009206B1">
        <w:tab/>
        <w:t>=</w:t>
      </w:r>
      <w:r w:rsidRPr="009206B1">
        <w:tab/>
        <w:t>Длъжностно лице/Funcionario/Úředník/Tjenestemand/Beamter/Ametnik/Υπάλληλος/Official/Fonctionnaire/Dužnosnik/ Funzionario/Ierēdnis/Pareigūnas/Tisztviselő/Uffiċjal/Ambtenaar/Urzędnik/Funcionário/Funcţionar/Úradník/Uradnik/Virkamie</w:t>
      </w:r>
      <w:r w:rsidRPr="009206B1">
        <w:t>s/ Tjänsteman</w:t>
      </w:r>
    </w:p>
    <w:p w:rsidR="009B3142" w:rsidRPr="009206B1" w:rsidRDefault="00972226">
      <w:pPr>
        <w:widowControl/>
        <w:rPr>
          <w:sz w:val="16"/>
        </w:rPr>
      </w:pPr>
      <w:r w:rsidRPr="009206B1">
        <w:br w:type="page"/>
      </w:r>
    </w:p>
    <w:p w:rsidR="009B3142" w:rsidRPr="009206B1" w:rsidRDefault="00972226" w:rsidP="009B3142">
      <w:pPr>
        <w:jc w:val="center"/>
        <w:rPr>
          <w:snapToGrid/>
          <w:color w:val="FF0000"/>
        </w:rPr>
      </w:pPr>
      <w:r w:rsidRPr="009206B1">
        <w:rPr>
          <w:color w:val="FF0000"/>
        </w:rPr>
        <w:lastRenderedPageBreak/>
        <w:t>ANNEX 1</w:t>
      </w:r>
    </w:p>
    <w:p w:rsidR="009B3142" w:rsidRPr="009206B1" w:rsidRDefault="009B3142" w:rsidP="009B3142"/>
    <w:p w:rsidR="009B3142" w:rsidRPr="009206B1" w:rsidRDefault="009B3142" w:rsidP="009B3142"/>
    <w:p w:rsidR="009B3142" w:rsidRPr="009206B1" w:rsidRDefault="00972226" w:rsidP="009B3142">
      <w:pPr>
        <w:spacing w:after="240" w:line="320" w:lineRule="atLeast"/>
        <w:jc w:val="center"/>
        <w:rPr>
          <w:b/>
          <w:bCs/>
          <w:color w:val="000000"/>
          <w:sz w:val="48"/>
          <w:szCs w:val="48"/>
        </w:rPr>
      </w:pPr>
      <w:r w:rsidRPr="009206B1">
        <w:rPr>
          <w:b/>
          <w:color w:val="000000"/>
          <w:sz w:val="48"/>
        </w:rPr>
        <w:t xml:space="preserve">ITRE COORDINATORS’ </w:t>
      </w:r>
    </w:p>
    <w:p w:rsidR="009B3142" w:rsidRPr="009206B1" w:rsidRDefault="00972226" w:rsidP="009B3142">
      <w:pPr>
        <w:spacing w:after="240" w:line="320" w:lineRule="atLeast"/>
        <w:jc w:val="center"/>
        <w:rPr>
          <w:b/>
          <w:bCs/>
          <w:color w:val="000000"/>
          <w:sz w:val="48"/>
          <w:szCs w:val="48"/>
        </w:rPr>
      </w:pPr>
      <w:r w:rsidRPr="009206B1">
        <w:rPr>
          <w:b/>
          <w:color w:val="000000"/>
          <w:sz w:val="48"/>
        </w:rPr>
        <w:t>DECISIONS</w:t>
      </w:r>
    </w:p>
    <w:p w:rsidR="009B3142" w:rsidRPr="009206B1" w:rsidRDefault="00972226" w:rsidP="009B3142">
      <w:pPr>
        <w:spacing w:line="320" w:lineRule="atLeast"/>
        <w:jc w:val="center"/>
        <w:rPr>
          <w:b/>
          <w:bCs/>
          <w:snapToGrid/>
          <w:sz w:val="28"/>
          <w:szCs w:val="28"/>
        </w:rPr>
      </w:pPr>
      <w:r w:rsidRPr="009206B1">
        <w:rPr>
          <w:b/>
          <w:sz w:val="28"/>
        </w:rPr>
        <w:t>Tuesday 14 June 2022, 9.00 – 10.00</w:t>
      </w:r>
    </w:p>
    <w:p w:rsidR="009B3142" w:rsidRPr="009206B1" w:rsidRDefault="009B3142" w:rsidP="009B3142">
      <w:pPr>
        <w:spacing w:line="320" w:lineRule="atLeast"/>
        <w:jc w:val="center"/>
        <w:rPr>
          <w:b/>
          <w:bCs/>
          <w:sz w:val="28"/>
          <w:szCs w:val="28"/>
        </w:rPr>
      </w:pPr>
    </w:p>
    <w:p w:rsidR="009B3142" w:rsidRPr="009206B1" w:rsidRDefault="00972226" w:rsidP="009B3142">
      <w:pPr>
        <w:spacing w:line="320" w:lineRule="atLeast"/>
        <w:jc w:val="center"/>
        <w:rPr>
          <w:sz w:val="28"/>
          <w:szCs w:val="28"/>
        </w:rPr>
      </w:pPr>
      <w:r w:rsidRPr="009206B1">
        <w:rPr>
          <w:b/>
          <w:sz w:val="28"/>
        </w:rPr>
        <w:t>(in room SPAAK 3C050)</w:t>
      </w:r>
    </w:p>
    <w:p w:rsidR="009B3142" w:rsidRPr="009206B1" w:rsidRDefault="00972226" w:rsidP="009B3142">
      <w:pPr>
        <w:ind w:left="6480"/>
        <w:rPr>
          <w:b/>
          <w:bCs/>
          <w:szCs w:val="24"/>
        </w:rPr>
      </w:pPr>
      <w:r w:rsidRPr="009206B1">
        <w:br/>
      </w:r>
    </w:p>
    <w:p w:rsidR="009B3142" w:rsidRPr="009206B1" w:rsidRDefault="00972226" w:rsidP="009B3142">
      <w:pPr>
        <w:pStyle w:val="Heading2"/>
        <w:tabs>
          <w:tab w:val="left" w:pos="567"/>
        </w:tabs>
        <w:spacing w:before="0" w:after="0"/>
        <w:rPr>
          <w:rFonts w:ascii="Times New Roman" w:eastAsia="Calibri" w:hAnsi="Times New Roman"/>
          <w:bCs/>
          <w:i w:val="0"/>
          <w:szCs w:val="24"/>
        </w:rPr>
      </w:pPr>
      <w:r w:rsidRPr="009206B1">
        <w:rPr>
          <w:rFonts w:ascii="Times New Roman" w:hAnsi="Times New Roman"/>
          <w:i w:val="0"/>
        </w:rPr>
        <w:t>1.1</w:t>
      </w:r>
      <w:r w:rsidRPr="009206B1">
        <w:rPr>
          <w:rFonts w:ascii="Times New Roman" w:hAnsi="Times New Roman"/>
          <w:i w:val="0"/>
        </w:rPr>
        <w:tab/>
        <w:t>REFERRALS/ATTRIBUTIONS</w:t>
      </w:r>
    </w:p>
    <w:p w:rsidR="009B3142" w:rsidRPr="009206B1" w:rsidRDefault="009B3142" w:rsidP="009B3142">
      <w:pPr>
        <w:rPr>
          <w:rFonts w:eastAsiaTheme="minorHAnsi"/>
          <w:szCs w:val="24"/>
        </w:rPr>
      </w:pPr>
    </w:p>
    <w:p w:rsidR="009B3142" w:rsidRPr="009206B1" w:rsidRDefault="00972226" w:rsidP="009B3142">
      <w:pPr>
        <w:rPr>
          <w:b/>
          <w:i/>
          <w:sz w:val="28"/>
          <w:szCs w:val="28"/>
        </w:rPr>
      </w:pPr>
      <w:r w:rsidRPr="009206B1">
        <w:rPr>
          <w:b/>
          <w:i/>
          <w:sz w:val="28"/>
        </w:rPr>
        <w:t>Legislative reports</w:t>
      </w:r>
    </w:p>
    <w:p w:rsidR="009B3142" w:rsidRPr="009206B1" w:rsidRDefault="00972226" w:rsidP="009B3142">
      <w:pPr>
        <w:tabs>
          <w:tab w:val="left" w:pos="737"/>
        </w:tabs>
        <w:spacing w:before="240"/>
        <w:ind w:left="737" w:hanging="737"/>
        <w:rPr>
          <w:b/>
          <w:bCs/>
          <w:szCs w:val="24"/>
        </w:rPr>
      </w:pPr>
      <w:r w:rsidRPr="009206B1">
        <w:rPr>
          <w:b/>
        </w:rPr>
        <w:t>1.1.1.</w:t>
      </w:r>
      <w:r w:rsidRPr="009206B1">
        <w:tab/>
      </w:r>
      <w:r w:rsidRPr="009206B1">
        <w:rPr>
          <w:b/>
        </w:rPr>
        <w:t xml:space="preserve">Proposal for a directive of the European Parliament and of the Council amending </w:t>
      </w:r>
      <w:r w:rsidRPr="009206B1">
        <w:rPr>
          <w:b/>
        </w:rPr>
        <w:t>Directive (EU) 2018/2001 on the promotion of the use of energy from renewable sources, Directive 2010/31/EU on the energy performance of buildings and Directive 2012/27/EU on energy efficiency</w:t>
      </w:r>
    </w:p>
    <w:p w:rsidR="009B3142" w:rsidRPr="009206B1" w:rsidRDefault="00972226" w:rsidP="009B3142">
      <w:pPr>
        <w:tabs>
          <w:tab w:val="left" w:pos="737"/>
        </w:tabs>
        <w:ind w:left="737" w:hanging="737"/>
      </w:pPr>
      <w:r w:rsidRPr="009206B1">
        <w:rPr>
          <w:rFonts w:ascii="Arial" w:hAnsi="Arial"/>
          <w:sz w:val="20"/>
        </w:rPr>
        <w:tab/>
      </w:r>
      <w:r w:rsidRPr="009206B1">
        <w:t>COM(2022)0222 - 2022/0160 (COD)</w:t>
      </w:r>
    </w:p>
    <w:p w:rsidR="009B3142" w:rsidRPr="009206B1" w:rsidRDefault="009B3142" w:rsidP="009B3142">
      <w:pPr>
        <w:tabs>
          <w:tab w:val="left" w:pos="737"/>
        </w:tabs>
        <w:ind w:left="737" w:hanging="737"/>
      </w:pPr>
    </w:p>
    <w:p w:rsidR="009B3142" w:rsidRPr="009206B1" w:rsidRDefault="00972226" w:rsidP="009B3142">
      <w:pPr>
        <w:tabs>
          <w:tab w:val="left" w:pos="737"/>
        </w:tabs>
        <w:ind w:left="737" w:hanging="737"/>
      </w:pPr>
      <w:r w:rsidRPr="009206B1">
        <w:tab/>
        <w:t xml:space="preserve">The report was allocated to </w:t>
      </w:r>
      <w:r w:rsidRPr="009206B1">
        <w:t xml:space="preserve">EPP for 1 point, with a view to being attributed to the same team of Rapporteur and Shadows as for the RED. It will be dealt with an accelerated timetable in view of a vote in ITRE on 26 October 2022, so that it can be integrated in the interinstitutional </w:t>
      </w:r>
      <w:r w:rsidRPr="009206B1">
        <w:t>negotiations on the RED. The report will cover only the provisions on the permit-granting process for renewables and the “sandbox” provision to stimulate testing of new renewable technologies, while the rest of the provisions will be dealt with in the on-g</w:t>
      </w:r>
      <w:r w:rsidRPr="009206B1">
        <w:t>oing RED, EED and EPBD files, as follows:</w:t>
      </w:r>
      <w:r>
        <w:t xml:space="preserve"> </w:t>
      </w:r>
    </w:p>
    <w:p w:rsidR="009B3142" w:rsidRPr="009206B1" w:rsidRDefault="009B3142" w:rsidP="009B3142">
      <w:pPr>
        <w:tabs>
          <w:tab w:val="left" w:pos="737"/>
        </w:tabs>
        <w:ind w:left="737" w:hanging="737"/>
      </w:pPr>
    </w:p>
    <w:tbl>
      <w:tblPr>
        <w:tblW w:w="0" w:type="auto"/>
        <w:tblInd w:w="699" w:type="dxa"/>
        <w:tblCellMar>
          <w:left w:w="0" w:type="dxa"/>
          <w:right w:w="0" w:type="dxa"/>
        </w:tblCellMar>
        <w:tblLook w:val="04A0" w:firstRow="1" w:lastRow="0" w:firstColumn="1" w:lastColumn="0" w:noHBand="0" w:noVBand="1"/>
      </w:tblPr>
      <w:tblGrid>
        <w:gridCol w:w="2305"/>
        <w:gridCol w:w="3003"/>
        <w:gridCol w:w="2999"/>
      </w:tblGrid>
      <w:tr w:rsidR="00FD5E3C" w:rsidRPr="009206B1" w:rsidTr="009B3142">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b/>
              </w:rPr>
            </w:pPr>
            <w:r w:rsidRPr="009206B1">
              <w:rPr>
                <w:b/>
              </w:rPr>
              <w:t>Procedure</w:t>
            </w:r>
          </w:p>
        </w:tc>
        <w:tc>
          <w:tcPr>
            <w:tcW w:w="3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b/>
              </w:rPr>
            </w:pPr>
            <w:r w:rsidRPr="009206B1">
              <w:rPr>
                <w:b/>
              </w:rPr>
              <w:t>Operative provision</w:t>
            </w:r>
          </w:p>
        </w:tc>
        <w:tc>
          <w:tcPr>
            <w:tcW w:w="2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b/>
              </w:rPr>
            </w:pPr>
            <w:r w:rsidRPr="009206B1">
              <w:rPr>
                <w:b/>
              </w:rPr>
              <w:t>Recital(s)</w:t>
            </w:r>
          </w:p>
        </w:tc>
      </w:tr>
      <w:tr w:rsidR="00FD5E3C" w:rsidRPr="009206B1" w:rsidTr="009B3142">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b/>
              </w:rPr>
            </w:pPr>
            <w:r w:rsidRPr="009206B1">
              <w:rPr>
                <w:b/>
              </w:rPr>
              <w:t>RED existing</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rPr>
            </w:pPr>
            <w:r w:rsidRPr="009206B1">
              <w:t>Article 1(2)</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rPr>
            </w:pPr>
            <w:r w:rsidRPr="009206B1">
              <w:t>3</w:t>
            </w:r>
          </w:p>
        </w:tc>
      </w:tr>
      <w:tr w:rsidR="00FD5E3C" w:rsidRPr="009206B1" w:rsidTr="009B3142">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b/>
              </w:rPr>
            </w:pPr>
            <w:r w:rsidRPr="009206B1">
              <w:rPr>
                <w:b/>
              </w:rPr>
              <w:t>EPBD existing</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rPr>
            </w:pPr>
            <w:r w:rsidRPr="009206B1">
              <w:t>Article 2</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rPr>
            </w:pPr>
            <w:r w:rsidRPr="009206B1">
              <w:t>25-26</w:t>
            </w:r>
          </w:p>
        </w:tc>
      </w:tr>
      <w:tr w:rsidR="00FD5E3C" w:rsidRPr="009206B1" w:rsidTr="009B3142">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b/>
              </w:rPr>
            </w:pPr>
            <w:r w:rsidRPr="009206B1">
              <w:rPr>
                <w:b/>
              </w:rPr>
              <w:t>EED existing</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rPr>
            </w:pPr>
            <w:r w:rsidRPr="009206B1">
              <w:t>Article 3</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rPr>
            </w:pPr>
            <w:r w:rsidRPr="009206B1">
              <w:t>27-29</w:t>
            </w:r>
          </w:p>
        </w:tc>
      </w:tr>
      <w:tr w:rsidR="00FD5E3C" w:rsidRPr="009206B1" w:rsidTr="009B3142">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b/>
              </w:rPr>
            </w:pPr>
            <w:r w:rsidRPr="009206B1">
              <w:rPr>
                <w:b/>
              </w:rPr>
              <w:t>New file (sandbox and permitting)</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rPr>
            </w:pPr>
            <w:r w:rsidRPr="009206B1">
              <w:t>Article 1(1), 1(3) to (10), Articles 4 to 6</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rsidR="009B3142" w:rsidRPr="009206B1" w:rsidRDefault="00972226">
            <w:pPr>
              <w:rPr>
                <w:rFonts w:eastAsiaTheme="minorEastAsia"/>
              </w:rPr>
            </w:pPr>
            <w:r w:rsidRPr="009206B1">
              <w:t>1-2, 4-24, 30-31</w:t>
            </w:r>
          </w:p>
        </w:tc>
      </w:tr>
    </w:tbl>
    <w:p w:rsidR="009B3142" w:rsidRPr="009206B1" w:rsidRDefault="009B3142" w:rsidP="009B3142">
      <w:pPr>
        <w:tabs>
          <w:tab w:val="left" w:pos="737"/>
        </w:tabs>
        <w:ind w:left="737" w:hanging="737"/>
        <w:rPr>
          <w:rFonts w:eastAsiaTheme="minorHAnsi"/>
        </w:rPr>
      </w:pPr>
    </w:p>
    <w:p w:rsidR="009B3142" w:rsidRPr="009206B1" w:rsidRDefault="009B3142" w:rsidP="009B3142">
      <w:pPr>
        <w:tabs>
          <w:tab w:val="left" w:pos="737"/>
        </w:tabs>
        <w:ind w:left="737" w:hanging="737"/>
        <w:rPr>
          <w:rFonts w:eastAsiaTheme="minorHAnsi"/>
        </w:rPr>
      </w:pPr>
    </w:p>
    <w:p w:rsidR="009B3142" w:rsidRPr="009206B1" w:rsidRDefault="00972226" w:rsidP="009B3142">
      <w:pPr>
        <w:rPr>
          <w:b/>
          <w:i/>
          <w:sz w:val="28"/>
          <w:szCs w:val="28"/>
        </w:rPr>
      </w:pPr>
      <w:r w:rsidRPr="009206B1">
        <w:rPr>
          <w:b/>
          <w:i/>
          <w:sz w:val="28"/>
        </w:rPr>
        <w:t>Legislative opinions</w:t>
      </w:r>
    </w:p>
    <w:p w:rsidR="009B3142" w:rsidRPr="009206B1" w:rsidRDefault="00972226" w:rsidP="009B3142">
      <w:pPr>
        <w:tabs>
          <w:tab w:val="left" w:pos="737"/>
        </w:tabs>
        <w:spacing w:before="240"/>
        <w:ind w:left="737" w:hanging="737"/>
        <w:rPr>
          <w:szCs w:val="24"/>
        </w:rPr>
      </w:pPr>
      <w:r w:rsidRPr="009206B1">
        <w:rPr>
          <w:b/>
        </w:rPr>
        <w:t>1.1.2</w:t>
      </w:r>
      <w:r w:rsidRPr="009206B1">
        <w:tab/>
      </w:r>
      <w:r w:rsidRPr="009206B1">
        <w:rPr>
          <w:b/>
        </w:rPr>
        <w:t xml:space="preserve">Proposal for a regulation of the European Parliament and of the Council amending Regulation (EU) 2021/241 as regards REPowerEU chapters in recovery and resilience plans and amending Regulation (EU) 2021/1060, </w:t>
      </w:r>
      <w:r w:rsidRPr="009206B1">
        <w:rPr>
          <w:b/>
        </w:rPr>
        <w:t>Regulation (EU) 2021/2115, Directive 2003/87/EC and Decision (EU) 2015/1814</w:t>
      </w:r>
    </w:p>
    <w:p w:rsidR="009B3142" w:rsidRPr="009206B1" w:rsidRDefault="00972226" w:rsidP="009B3142">
      <w:pPr>
        <w:ind w:left="737"/>
      </w:pPr>
      <w:r w:rsidRPr="009206B1">
        <w:t>COM(2022)0231 - 2022/0164(COD)</w:t>
      </w:r>
    </w:p>
    <w:p w:rsidR="009B3142" w:rsidRPr="009206B1" w:rsidRDefault="009B3142" w:rsidP="009B3142">
      <w:pPr>
        <w:ind w:left="737"/>
      </w:pPr>
    </w:p>
    <w:p w:rsidR="009B3142" w:rsidRPr="009206B1" w:rsidRDefault="00972226" w:rsidP="009B3142">
      <w:pPr>
        <w:tabs>
          <w:tab w:val="left" w:pos="737"/>
        </w:tabs>
        <w:ind w:left="737" w:hanging="737"/>
      </w:pPr>
      <w:r w:rsidRPr="009206B1">
        <w:tab/>
        <w:t xml:space="preserve">The opinion was allocated to S&amp;D for 1 point. </w:t>
      </w:r>
    </w:p>
    <w:p w:rsidR="009B3142" w:rsidRPr="009206B1" w:rsidRDefault="00972226" w:rsidP="009B3142">
      <w:pPr>
        <w:tabs>
          <w:tab w:val="left" w:pos="737"/>
        </w:tabs>
        <w:spacing w:before="240"/>
        <w:ind w:left="737" w:hanging="737"/>
        <w:rPr>
          <w:b/>
          <w:bCs/>
        </w:rPr>
      </w:pPr>
      <w:r w:rsidRPr="009206B1">
        <w:rPr>
          <w:b/>
        </w:rPr>
        <w:t>1.1.3</w:t>
      </w:r>
      <w:r w:rsidRPr="009206B1">
        <w:tab/>
      </w:r>
      <w:r w:rsidRPr="009206B1">
        <w:rPr>
          <w:b/>
        </w:rPr>
        <w:t>Proposal for a regulation of the European Parliament and of the Council on the financial rules</w:t>
      </w:r>
      <w:r w:rsidRPr="009206B1">
        <w:rPr>
          <w:b/>
        </w:rPr>
        <w:t xml:space="preserve"> applicable to the general budget of the union </w:t>
      </w:r>
    </w:p>
    <w:p w:rsidR="009B3142" w:rsidRPr="009206B1" w:rsidRDefault="00972226" w:rsidP="009B3142">
      <w:pPr>
        <w:tabs>
          <w:tab w:val="left" w:pos="737"/>
        </w:tabs>
        <w:ind w:left="737" w:hanging="737"/>
        <w:rPr>
          <w:bCs/>
        </w:rPr>
      </w:pPr>
      <w:r w:rsidRPr="009206B1">
        <w:tab/>
        <w:t xml:space="preserve">COM(2022)0223 - 2022/0162(COD) </w:t>
      </w:r>
    </w:p>
    <w:p w:rsidR="009B3142" w:rsidRPr="009206B1" w:rsidRDefault="009B3142" w:rsidP="009B3142">
      <w:pPr>
        <w:ind w:left="737"/>
      </w:pPr>
    </w:p>
    <w:p w:rsidR="009B3142" w:rsidRPr="009206B1" w:rsidRDefault="00972226" w:rsidP="009B3142">
      <w:pPr>
        <w:tabs>
          <w:tab w:val="left" w:pos="737"/>
        </w:tabs>
        <w:ind w:left="737" w:hanging="737"/>
        <w:rPr>
          <w:b/>
          <w:bCs/>
        </w:rPr>
      </w:pPr>
      <w:r w:rsidRPr="009206B1">
        <w:tab/>
        <w:t>Postponed.</w:t>
      </w:r>
    </w:p>
    <w:p w:rsidR="009B3142" w:rsidRPr="009206B1" w:rsidRDefault="00972226" w:rsidP="009B3142">
      <w:pPr>
        <w:tabs>
          <w:tab w:val="left" w:pos="737"/>
        </w:tabs>
        <w:spacing w:before="240"/>
        <w:ind w:left="737" w:hanging="737"/>
        <w:rPr>
          <w:b/>
          <w:i/>
          <w:sz w:val="28"/>
          <w:szCs w:val="28"/>
        </w:rPr>
      </w:pPr>
      <w:r w:rsidRPr="009206B1">
        <w:rPr>
          <w:b/>
          <w:i/>
          <w:sz w:val="28"/>
        </w:rPr>
        <w:t xml:space="preserve">Non-legislative opinions </w:t>
      </w:r>
    </w:p>
    <w:p w:rsidR="009B3142" w:rsidRPr="009206B1" w:rsidRDefault="00972226" w:rsidP="009B3142">
      <w:pPr>
        <w:tabs>
          <w:tab w:val="left" w:pos="737"/>
        </w:tabs>
        <w:spacing w:before="240"/>
        <w:ind w:left="737" w:hanging="737"/>
        <w:rPr>
          <w:b/>
          <w:szCs w:val="24"/>
        </w:rPr>
      </w:pPr>
      <w:r w:rsidRPr="009206B1">
        <w:rPr>
          <w:b/>
        </w:rPr>
        <w:t>1.1.4</w:t>
      </w:r>
      <w:r w:rsidRPr="009206B1">
        <w:rPr>
          <w:b/>
        </w:rPr>
        <w:tab/>
        <w:t>A standardisation strategy for the Single Market (IMCO)</w:t>
      </w:r>
    </w:p>
    <w:p w:rsidR="009B3142" w:rsidRPr="009206B1" w:rsidRDefault="00972226" w:rsidP="009B3142">
      <w:pPr>
        <w:tabs>
          <w:tab w:val="left" w:pos="737"/>
        </w:tabs>
        <w:spacing w:before="240"/>
        <w:ind w:left="737" w:hanging="737"/>
      </w:pPr>
      <w:r w:rsidRPr="009206B1">
        <w:rPr>
          <w:b/>
        </w:rPr>
        <w:tab/>
      </w:r>
      <w:r w:rsidRPr="009206B1">
        <w:t>No opinion.</w:t>
      </w:r>
    </w:p>
    <w:p w:rsidR="009B3142" w:rsidRPr="009206B1" w:rsidRDefault="009B3142" w:rsidP="009B3142">
      <w:pPr>
        <w:ind w:firstLine="720"/>
        <w:rPr>
          <w:b/>
          <w:bCs/>
        </w:rPr>
      </w:pPr>
    </w:p>
    <w:p w:rsidR="009B3142" w:rsidRPr="009206B1" w:rsidRDefault="00972226" w:rsidP="009B3142">
      <w:pPr>
        <w:rPr>
          <w:b/>
        </w:rPr>
      </w:pPr>
      <w:r w:rsidRPr="009206B1">
        <w:rPr>
          <w:b/>
        </w:rPr>
        <w:t>1.1.5</w:t>
      </w:r>
      <w:r w:rsidRPr="009206B1">
        <w:rPr>
          <w:b/>
        </w:rPr>
        <w:tab/>
        <w:t>EU Strategy for Sustainable and Circular Textiles (ENV</w:t>
      </w:r>
      <w:r w:rsidRPr="009206B1">
        <w:rPr>
          <w:b/>
        </w:rPr>
        <w:t>I)</w:t>
      </w:r>
    </w:p>
    <w:p w:rsidR="009B3142" w:rsidRPr="009206B1" w:rsidRDefault="009B3142" w:rsidP="009B3142">
      <w:pPr>
        <w:ind w:left="720"/>
      </w:pPr>
    </w:p>
    <w:p w:rsidR="009B3142" w:rsidRPr="009206B1" w:rsidRDefault="00972226" w:rsidP="009B3142">
      <w:pPr>
        <w:tabs>
          <w:tab w:val="left" w:pos="737"/>
        </w:tabs>
        <w:ind w:left="737" w:hanging="737"/>
      </w:pPr>
      <w:r w:rsidRPr="009206B1">
        <w:tab/>
        <w:t>The opinion was allocated to EPP for 1 point.</w:t>
      </w:r>
    </w:p>
    <w:p w:rsidR="009B3142" w:rsidRPr="009206B1" w:rsidRDefault="009B3142" w:rsidP="009B3142">
      <w:pPr>
        <w:tabs>
          <w:tab w:val="left" w:pos="737"/>
        </w:tabs>
      </w:pPr>
    </w:p>
    <w:p w:rsidR="009B3142" w:rsidRPr="009206B1" w:rsidRDefault="00972226" w:rsidP="009B3142">
      <w:pPr>
        <w:spacing w:before="120" w:after="120"/>
        <w:jc w:val="center"/>
      </w:pPr>
      <w:r w:rsidRPr="009206B1">
        <w:t>***</w:t>
      </w:r>
    </w:p>
    <w:p w:rsidR="009B3142" w:rsidRPr="009206B1" w:rsidRDefault="009B3142" w:rsidP="009B3142">
      <w:pPr>
        <w:tabs>
          <w:tab w:val="left" w:pos="737"/>
        </w:tabs>
        <w:ind w:left="737" w:hanging="737"/>
        <w:rPr>
          <w:b/>
          <w:bCs/>
        </w:rPr>
      </w:pPr>
    </w:p>
    <w:p w:rsidR="009B3142" w:rsidRPr="009206B1" w:rsidRDefault="00972226" w:rsidP="009B3142">
      <w:pPr>
        <w:tabs>
          <w:tab w:val="left" w:pos="737"/>
        </w:tabs>
        <w:ind w:left="737" w:hanging="737"/>
        <w:rPr>
          <w:b/>
          <w:bCs/>
        </w:rPr>
      </w:pPr>
      <w:r w:rsidRPr="009206B1">
        <w:rPr>
          <w:b/>
        </w:rPr>
        <w:t>1.1.6</w:t>
      </w:r>
      <w:r w:rsidRPr="009206B1">
        <w:rPr>
          <w:b/>
        </w:rPr>
        <w:tab/>
        <w:t xml:space="preserve">Proposal for a directive of the European Parliament and of the Council amending Directive 2010/75/EU of the European Parliament and of the Council of 24 November 2010 on industrial emissions </w:t>
      </w:r>
      <w:r w:rsidRPr="009206B1">
        <w:rPr>
          <w:b/>
        </w:rPr>
        <w:t>(integrated pollution prevention and control) and Council Directive 1999/31/EC of 26 April 1999 on the landfill of waste</w:t>
      </w:r>
    </w:p>
    <w:p w:rsidR="009B3142" w:rsidRPr="009206B1" w:rsidRDefault="00972226" w:rsidP="009B3142">
      <w:pPr>
        <w:tabs>
          <w:tab w:val="left" w:pos="737"/>
        </w:tabs>
        <w:ind w:left="737" w:hanging="737"/>
        <w:rPr>
          <w:bCs/>
        </w:rPr>
      </w:pPr>
      <w:r w:rsidRPr="009206B1">
        <w:rPr>
          <w:b/>
        </w:rPr>
        <w:tab/>
      </w:r>
      <w:r w:rsidRPr="009206B1">
        <w:t xml:space="preserve">COM(2022)0156 </w:t>
      </w:r>
    </w:p>
    <w:p w:rsidR="009B3142" w:rsidRPr="009206B1" w:rsidRDefault="009B3142" w:rsidP="009B3142">
      <w:pPr>
        <w:tabs>
          <w:tab w:val="left" w:pos="737"/>
        </w:tabs>
        <w:ind w:left="737" w:hanging="737"/>
        <w:rPr>
          <w:bCs/>
        </w:rPr>
      </w:pPr>
    </w:p>
    <w:p w:rsidR="009B3142" w:rsidRPr="009206B1" w:rsidRDefault="00972226" w:rsidP="009B3142">
      <w:pPr>
        <w:ind w:left="737"/>
      </w:pPr>
      <w:r w:rsidRPr="009206B1">
        <w:t xml:space="preserve">The EPP proposed to reconsider the decision taken by the Coordinators on 20 April 2022 to draw up an opinion in the </w:t>
      </w:r>
      <w:r w:rsidRPr="009206B1">
        <w:t>form of a letter and to draw up instead a normal opinion. The decision was postponed to the next meeting. The Greens opposed as a matter of principle to reopening decisions taken by the Coordinators.</w:t>
      </w:r>
    </w:p>
    <w:p w:rsidR="009B3142" w:rsidRPr="009206B1" w:rsidRDefault="009B3142" w:rsidP="009B3142">
      <w:pPr>
        <w:spacing w:before="120" w:after="120"/>
        <w:jc w:val="center"/>
      </w:pPr>
    </w:p>
    <w:p w:rsidR="009B3142" w:rsidRPr="009206B1" w:rsidRDefault="00972226" w:rsidP="009B3142">
      <w:pPr>
        <w:spacing w:before="120" w:after="120"/>
        <w:jc w:val="center"/>
      </w:pPr>
      <w:r w:rsidRPr="009206B1">
        <w:t>***</w:t>
      </w:r>
    </w:p>
    <w:p w:rsidR="009B3142" w:rsidRPr="009206B1" w:rsidRDefault="009B3142" w:rsidP="009B3142">
      <w:pPr>
        <w:tabs>
          <w:tab w:val="left" w:pos="737"/>
        </w:tabs>
        <w:ind w:left="737" w:hanging="737"/>
      </w:pPr>
    </w:p>
    <w:p w:rsidR="009B3142" w:rsidRPr="009206B1" w:rsidRDefault="00972226" w:rsidP="009B3142">
      <w:pPr>
        <w:keepNext/>
        <w:tabs>
          <w:tab w:val="left" w:pos="567"/>
        </w:tabs>
        <w:spacing w:after="240"/>
        <w:ind w:left="567" w:hanging="567"/>
        <w:outlineLvl w:val="1"/>
        <w:rPr>
          <w:rFonts w:eastAsia="Calibri"/>
          <w:b/>
          <w:bCs/>
        </w:rPr>
      </w:pPr>
      <w:bookmarkStart w:id="1" w:name="_Toc105672611"/>
      <w:bookmarkStart w:id="2" w:name="_Toc62574571"/>
      <w:r w:rsidRPr="009206B1">
        <w:rPr>
          <w:b/>
        </w:rPr>
        <w:t>2.2</w:t>
      </w:r>
      <w:r w:rsidRPr="009206B1">
        <w:rPr>
          <w:b/>
        </w:rPr>
        <w:tab/>
        <w:t>COP 27: Procedure concerning the ITRE contribu</w:t>
      </w:r>
      <w:r w:rsidRPr="009206B1">
        <w:rPr>
          <w:b/>
        </w:rPr>
        <w:t>tion to the EP resolution</w:t>
      </w:r>
      <w:bookmarkEnd w:id="1"/>
    </w:p>
    <w:p w:rsidR="009B3142" w:rsidRPr="009206B1" w:rsidRDefault="00972226" w:rsidP="009B3142">
      <w:pPr>
        <w:spacing w:before="120" w:after="120"/>
        <w:ind w:left="567"/>
        <w:rPr>
          <w:rFonts w:eastAsiaTheme="minorHAnsi"/>
        </w:rPr>
      </w:pPr>
      <w:r w:rsidRPr="009206B1">
        <w:t>The Coordinators confirmed the previously applied procedure (Chair as draftsperson, drafting team and single vote in ITRE). The ITRE contribution will be drafted among the political group advisors with the assistance of the Secret</w:t>
      </w:r>
      <w:r w:rsidRPr="009206B1">
        <w:t xml:space="preserve">ariat and be voted in ITRE on 13 July 2022. Political groups may nominate shadows. The same procedure will be used for the remainder of this parliamentary term. </w:t>
      </w:r>
      <w:bookmarkEnd w:id="2"/>
    </w:p>
    <w:p w:rsidR="0022027F" w:rsidRPr="009206B1" w:rsidRDefault="0022027F" w:rsidP="0022027F">
      <w:pPr>
        <w:pStyle w:val="AttendancePV"/>
      </w:pPr>
    </w:p>
    <w:sectPr w:rsidR="0022027F" w:rsidRPr="009206B1" w:rsidSect="00A531E2">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9206B1" w:rsidRDefault="00972226">
      <w:r w:rsidRPr="009206B1">
        <w:separator/>
      </w:r>
    </w:p>
  </w:endnote>
  <w:endnote w:type="continuationSeparator" w:id="0">
    <w:p w:rsidR="00000000" w:rsidRPr="009206B1" w:rsidRDefault="00972226">
      <w:r w:rsidRPr="009206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B1" w:rsidRPr="009206B1" w:rsidRDefault="009206B1" w:rsidP="009206B1">
    <w:pPr>
      <w:pStyle w:val="EPFooter"/>
    </w:pPr>
    <w:r w:rsidRPr="009206B1">
      <w:t>PE</w:t>
    </w:r>
    <w:r w:rsidRPr="009206B1">
      <w:rPr>
        <w:rStyle w:val="HideTWBExt"/>
        <w:noProof w:val="0"/>
      </w:rPr>
      <w:t>&lt;NoPE&gt;</w:t>
    </w:r>
    <w:r w:rsidRPr="009206B1">
      <w:t>734.256</w:t>
    </w:r>
    <w:r w:rsidRPr="009206B1">
      <w:rPr>
        <w:rStyle w:val="HideTWBExt"/>
        <w:noProof w:val="0"/>
      </w:rPr>
      <w:t>&lt;/NoPE&gt;&lt;Version&gt;</w:t>
    </w:r>
    <w:r w:rsidRPr="009206B1">
      <w:t>v01-00</w:t>
    </w:r>
    <w:r w:rsidRPr="009206B1">
      <w:rPr>
        <w:rStyle w:val="HideTWBExt"/>
        <w:noProof w:val="0"/>
      </w:rPr>
      <w:t>&lt;/Version&gt;</w:t>
    </w:r>
    <w:r w:rsidRPr="009206B1">
      <w:tab/>
    </w:r>
    <w:r w:rsidRPr="009206B1">
      <w:fldChar w:fldCharType="begin"/>
    </w:r>
    <w:r w:rsidRPr="009206B1">
      <w:instrText xml:space="preserve"> PAGE  \* MERGEFORMAT </w:instrText>
    </w:r>
    <w:r w:rsidRPr="009206B1">
      <w:fldChar w:fldCharType="separate"/>
    </w:r>
    <w:r w:rsidR="00972226">
      <w:rPr>
        <w:noProof/>
      </w:rPr>
      <w:t>2</w:t>
    </w:r>
    <w:r w:rsidRPr="009206B1">
      <w:fldChar w:fldCharType="end"/>
    </w:r>
    <w:r w:rsidRPr="009206B1">
      <w:t>/</w:t>
    </w:r>
    <w:fldSimple w:instr=" NUMPAGES  \* MERGEFORMAT ">
      <w:r w:rsidR="00972226">
        <w:rPr>
          <w:noProof/>
        </w:rPr>
        <w:t>8</w:t>
      </w:r>
    </w:fldSimple>
    <w:r w:rsidRPr="009206B1">
      <w:tab/>
    </w:r>
    <w:r w:rsidRPr="009206B1">
      <w:rPr>
        <w:rStyle w:val="HideTWBExt"/>
        <w:noProof w:val="0"/>
      </w:rPr>
      <w:t>&lt;PathFdR&gt;</w:t>
    </w:r>
    <w:r w:rsidRPr="009206B1">
      <w:t>PV\1259071BG.docx</w:t>
    </w:r>
    <w:r w:rsidRPr="009206B1">
      <w:rPr>
        <w:rStyle w:val="HideTWBExt"/>
        <w:noProof w:val="0"/>
      </w:rPr>
      <w:t>&lt;/PathFdR&gt;</w:t>
    </w:r>
  </w:p>
  <w:p w:rsidR="00A13D65" w:rsidRPr="009206B1" w:rsidRDefault="009206B1" w:rsidP="009206B1">
    <w:pPr>
      <w:pStyle w:val="EPFooter2"/>
    </w:pPr>
    <w:r w:rsidRPr="009206B1">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B1" w:rsidRPr="009206B1" w:rsidRDefault="009206B1" w:rsidP="009206B1">
    <w:pPr>
      <w:pStyle w:val="EPFooter"/>
    </w:pPr>
    <w:r w:rsidRPr="009206B1">
      <w:rPr>
        <w:rStyle w:val="HideTWBExt"/>
        <w:noProof w:val="0"/>
      </w:rPr>
      <w:t>&lt;PathFdR&gt;</w:t>
    </w:r>
    <w:r w:rsidRPr="009206B1">
      <w:t>PV\1259071BG.docx</w:t>
    </w:r>
    <w:r w:rsidRPr="009206B1">
      <w:rPr>
        <w:rStyle w:val="HideTWBExt"/>
        <w:noProof w:val="0"/>
      </w:rPr>
      <w:t>&lt;/PathFdR&gt;</w:t>
    </w:r>
    <w:r w:rsidRPr="009206B1">
      <w:tab/>
    </w:r>
    <w:r w:rsidRPr="009206B1">
      <w:fldChar w:fldCharType="begin"/>
    </w:r>
    <w:r w:rsidRPr="009206B1">
      <w:instrText xml:space="preserve"> PAGE  \* MERGEFORMAT </w:instrText>
    </w:r>
    <w:r w:rsidRPr="009206B1">
      <w:fldChar w:fldCharType="separate"/>
    </w:r>
    <w:r w:rsidR="00972226">
      <w:rPr>
        <w:noProof/>
      </w:rPr>
      <w:t>3</w:t>
    </w:r>
    <w:r w:rsidRPr="009206B1">
      <w:fldChar w:fldCharType="end"/>
    </w:r>
    <w:r w:rsidRPr="009206B1">
      <w:t>/</w:t>
    </w:r>
    <w:fldSimple w:instr=" NUMPAGES  \* MERGEFORMAT ">
      <w:r w:rsidR="00972226">
        <w:rPr>
          <w:noProof/>
        </w:rPr>
        <w:t>8</w:t>
      </w:r>
    </w:fldSimple>
    <w:r w:rsidRPr="009206B1">
      <w:tab/>
      <w:t>PE</w:t>
    </w:r>
    <w:r w:rsidRPr="009206B1">
      <w:rPr>
        <w:rStyle w:val="HideTWBExt"/>
        <w:noProof w:val="0"/>
      </w:rPr>
      <w:t>&lt;NoPE&gt;</w:t>
    </w:r>
    <w:r w:rsidRPr="009206B1">
      <w:t>734.256</w:t>
    </w:r>
    <w:r w:rsidRPr="009206B1">
      <w:rPr>
        <w:rStyle w:val="HideTWBExt"/>
        <w:noProof w:val="0"/>
      </w:rPr>
      <w:t>&lt;/NoPE&gt;&lt;Version&gt;</w:t>
    </w:r>
    <w:r w:rsidRPr="009206B1">
      <w:t>v01-00</w:t>
    </w:r>
    <w:r w:rsidRPr="009206B1">
      <w:rPr>
        <w:rStyle w:val="HideTWBExt"/>
        <w:noProof w:val="0"/>
      </w:rPr>
      <w:t>&lt;/Version&gt;</w:t>
    </w:r>
  </w:p>
  <w:p w:rsidR="00A13D65" w:rsidRPr="009206B1" w:rsidRDefault="009206B1" w:rsidP="009206B1">
    <w:pPr>
      <w:pStyle w:val="EPFooter2"/>
    </w:pPr>
    <w:r w:rsidRPr="009206B1">
      <w:tab/>
    </w:r>
    <w:r w:rsidRPr="009206B1">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B1" w:rsidRPr="009206B1" w:rsidRDefault="009206B1" w:rsidP="009206B1">
    <w:pPr>
      <w:pStyle w:val="EPFooter"/>
    </w:pPr>
    <w:r w:rsidRPr="009206B1">
      <w:rPr>
        <w:rStyle w:val="HideTWBExt"/>
        <w:noProof w:val="0"/>
      </w:rPr>
      <w:t>&lt;PathFdR&gt;</w:t>
    </w:r>
    <w:r w:rsidRPr="009206B1">
      <w:t>PV\1259071BG.docx</w:t>
    </w:r>
    <w:r w:rsidRPr="009206B1">
      <w:rPr>
        <w:rStyle w:val="HideTWBExt"/>
        <w:noProof w:val="0"/>
      </w:rPr>
      <w:t>&lt;/PathFdR&gt;</w:t>
    </w:r>
    <w:r w:rsidRPr="009206B1">
      <w:tab/>
    </w:r>
    <w:r w:rsidRPr="009206B1">
      <w:tab/>
      <w:t>PE</w:t>
    </w:r>
    <w:r w:rsidRPr="009206B1">
      <w:rPr>
        <w:rStyle w:val="HideTWBExt"/>
        <w:noProof w:val="0"/>
      </w:rPr>
      <w:t>&lt;NoPE&gt;</w:t>
    </w:r>
    <w:r w:rsidRPr="009206B1">
      <w:t>734.256</w:t>
    </w:r>
    <w:r w:rsidRPr="009206B1">
      <w:rPr>
        <w:rStyle w:val="HideTWBExt"/>
        <w:noProof w:val="0"/>
      </w:rPr>
      <w:t>&lt;/NoPE&gt;&lt;Version&gt;</w:t>
    </w:r>
    <w:r w:rsidRPr="009206B1">
      <w:t>v01-00</w:t>
    </w:r>
    <w:r w:rsidRPr="009206B1">
      <w:rPr>
        <w:rStyle w:val="HideTWBExt"/>
        <w:noProof w:val="0"/>
      </w:rPr>
      <w:t>&lt;/Version&gt;</w:t>
    </w:r>
  </w:p>
  <w:p w:rsidR="00A13D65" w:rsidRPr="009206B1" w:rsidRDefault="009206B1" w:rsidP="009206B1">
    <w:pPr>
      <w:pStyle w:val="EPFooter2"/>
    </w:pPr>
    <w:r w:rsidRPr="009206B1">
      <w:t>BG</w:t>
    </w:r>
    <w:r w:rsidRPr="009206B1">
      <w:tab/>
    </w:r>
    <w:r w:rsidRPr="009206B1">
      <w:rPr>
        <w:b w:val="0"/>
        <w:i/>
        <w:color w:val="C0C0C0"/>
        <w:sz w:val="22"/>
      </w:rPr>
      <w:t>Единство в многообразието</w:t>
    </w:r>
    <w:r w:rsidRPr="009206B1">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9206B1" w:rsidRDefault="00972226">
      <w:r w:rsidRPr="009206B1">
        <w:separator/>
      </w:r>
    </w:p>
  </w:footnote>
  <w:footnote w:type="continuationSeparator" w:id="0">
    <w:p w:rsidR="00000000" w:rsidRPr="009206B1" w:rsidRDefault="00972226">
      <w:r w:rsidRPr="009206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26" w:rsidRDefault="0097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26" w:rsidRDefault="00972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26" w:rsidRDefault="0097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26B1508"/>
    <w:multiLevelType w:val="hybridMultilevel"/>
    <w:tmpl w:val="6205843E"/>
    <w:lvl w:ilvl="0" w:tplc="E9D896BC">
      <w:start w:val="1"/>
      <w:numFmt w:val="bullet"/>
      <w:lvlText w:val="·"/>
      <w:lvlJc w:val="left"/>
      <w:pPr>
        <w:tabs>
          <w:tab w:val="left" w:pos="1137"/>
        </w:tabs>
        <w:ind w:left="1137" w:hanging="400"/>
      </w:pPr>
      <w:rPr>
        <w:rFonts w:ascii="Symbol" w:hAnsi="Symbol"/>
        <w:color w:val="000000"/>
      </w:rPr>
    </w:lvl>
    <w:lvl w:ilvl="1" w:tplc="45C06064">
      <w:start w:val="1"/>
      <w:numFmt w:val="decimal"/>
      <w:lvlText w:val="%2."/>
      <w:lvlJc w:val="left"/>
      <w:pPr>
        <w:tabs>
          <w:tab w:val="left" w:pos="0"/>
        </w:tabs>
        <w:ind w:left="0" w:firstLine="0"/>
      </w:pPr>
      <w:rPr>
        <w:rFonts w:ascii="Times New Roman" w:hAnsi="Times New Roman" w:cs="Times New Roman"/>
        <w:color w:val="000000"/>
      </w:rPr>
    </w:lvl>
    <w:lvl w:ilvl="2" w:tplc="6A5E167E">
      <w:start w:val="1"/>
      <w:numFmt w:val="decimal"/>
      <w:lvlText w:val="%3."/>
      <w:lvlJc w:val="left"/>
      <w:pPr>
        <w:tabs>
          <w:tab w:val="left" w:pos="0"/>
        </w:tabs>
        <w:ind w:left="0" w:firstLine="0"/>
      </w:pPr>
      <w:rPr>
        <w:rFonts w:ascii="Times New Roman" w:hAnsi="Times New Roman" w:cs="Times New Roman"/>
        <w:color w:val="000000"/>
      </w:rPr>
    </w:lvl>
    <w:lvl w:ilvl="3" w:tplc="4A60DD06">
      <w:start w:val="1"/>
      <w:numFmt w:val="decimal"/>
      <w:lvlText w:val="%4."/>
      <w:lvlJc w:val="left"/>
      <w:pPr>
        <w:tabs>
          <w:tab w:val="left" w:pos="0"/>
        </w:tabs>
        <w:ind w:left="0" w:firstLine="0"/>
      </w:pPr>
      <w:rPr>
        <w:rFonts w:ascii="Times New Roman" w:hAnsi="Times New Roman" w:cs="Times New Roman"/>
        <w:color w:val="000000"/>
      </w:rPr>
    </w:lvl>
    <w:lvl w:ilvl="4" w:tplc="AF96BC6C">
      <w:start w:val="1"/>
      <w:numFmt w:val="decimal"/>
      <w:lvlText w:val="%5."/>
      <w:lvlJc w:val="left"/>
      <w:pPr>
        <w:tabs>
          <w:tab w:val="left" w:pos="0"/>
        </w:tabs>
        <w:ind w:left="0" w:firstLine="0"/>
      </w:pPr>
      <w:rPr>
        <w:rFonts w:ascii="Times New Roman" w:hAnsi="Times New Roman" w:cs="Times New Roman"/>
        <w:color w:val="000000"/>
      </w:rPr>
    </w:lvl>
    <w:lvl w:ilvl="5" w:tplc="FA7CFB06">
      <w:start w:val="1"/>
      <w:numFmt w:val="decimal"/>
      <w:lvlText w:val="%6."/>
      <w:lvlJc w:val="left"/>
      <w:pPr>
        <w:tabs>
          <w:tab w:val="left" w:pos="0"/>
        </w:tabs>
        <w:ind w:left="0" w:firstLine="0"/>
      </w:pPr>
      <w:rPr>
        <w:rFonts w:ascii="Times New Roman" w:hAnsi="Times New Roman" w:cs="Times New Roman"/>
        <w:color w:val="000000"/>
      </w:rPr>
    </w:lvl>
    <w:lvl w:ilvl="6" w:tplc="A21CA9D8">
      <w:start w:val="1"/>
      <w:numFmt w:val="decimal"/>
      <w:lvlText w:val="%7."/>
      <w:lvlJc w:val="left"/>
      <w:pPr>
        <w:tabs>
          <w:tab w:val="left" w:pos="0"/>
        </w:tabs>
        <w:ind w:left="0" w:firstLine="0"/>
      </w:pPr>
      <w:rPr>
        <w:rFonts w:ascii="Times New Roman" w:hAnsi="Times New Roman" w:cs="Times New Roman"/>
        <w:color w:val="000000"/>
      </w:rPr>
    </w:lvl>
    <w:lvl w:ilvl="7" w:tplc="5EEE5818">
      <w:start w:val="1"/>
      <w:numFmt w:val="decimal"/>
      <w:lvlText w:val="%8."/>
      <w:lvlJc w:val="left"/>
      <w:pPr>
        <w:tabs>
          <w:tab w:val="left" w:pos="0"/>
        </w:tabs>
        <w:ind w:left="0" w:firstLine="0"/>
      </w:pPr>
      <w:rPr>
        <w:rFonts w:ascii="Times New Roman" w:hAnsi="Times New Roman" w:cs="Times New Roman"/>
        <w:color w:val="000000"/>
      </w:rPr>
    </w:lvl>
    <w:lvl w:ilvl="8" w:tplc="F41EADE6">
      <w:start w:val="1"/>
      <w:numFmt w:val="decimal"/>
      <w:lvlText w:val="%9."/>
      <w:lvlJc w:val="left"/>
      <w:pPr>
        <w:tabs>
          <w:tab w:val="left" w:pos="0"/>
        </w:tabs>
        <w:ind w:left="0" w:firstLine="0"/>
      </w:pPr>
      <w:rPr>
        <w:rFonts w:ascii="Times New Roman" w:hAnsi="Times New Roman" w:cs="Times New Roman"/>
        <w:color w:val="000000"/>
      </w:r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CD01285"/>
    <w:multiLevelType w:val="hybridMultilevel"/>
    <w:tmpl w:val="63F1A2FF"/>
    <w:lvl w:ilvl="0" w:tplc="3B0224DA">
      <w:start w:val="1"/>
      <w:numFmt w:val="bullet"/>
      <w:lvlText w:val="·"/>
      <w:lvlJc w:val="left"/>
      <w:pPr>
        <w:tabs>
          <w:tab w:val="left" w:pos="1137"/>
        </w:tabs>
        <w:ind w:left="1137" w:hanging="400"/>
      </w:pPr>
      <w:rPr>
        <w:rFonts w:ascii="Symbol" w:hAnsi="Symbol"/>
        <w:color w:val="000000"/>
      </w:rPr>
    </w:lvl>
    <w:lvl w:ilvl="1" w:tplc="4A782E46">
      <w:start w:val="1"/>
      <w:numFmt w:val="decimal"/>
      <w:lvlText w:val="%2."/>
      <w:lvlJc w:val="left"/>
      <w:pPr>
        <w:tabs>
          <w:tab w:val="left" w:pos="0"/>
        </w:tabs>
        <w:ind w:left="0" w:firstLine="0"/>
      </w:pPr>
      <w:rPr>
        <w:rFonts w:ascii="Times New Roman" w:hAnsi="Times New Roman" w:cs="Times New Roman"/>
        <w:color w:val="000000"/>
      </w:rPr>
    </w:lvl>
    <w:lvl w:ilvl="2" w:tplc="8D207C04">
      <w:start w:val="1"/>
      <w:numFmt w:val="decimal"/>
      <w:lvlText w:val="%3."/>
      <w:lvlJc w:val="left"/>
      <w:pPr>
        <w:tabs>
          <w:tab w:val="left" w:pos="0"/>
        </w:tabs>
        <w:ind w:left="0" w:firstLine="0"/>
      </w:pPr>
      <w:rPr>
        <w:rFonts w:ascii="Times New Roman" w:hAnsi="Times New Roman" w:cs="Times New Roman"/>
        <w:color w:val="000000"/>
      </w:rPr>
    </w:lvl>
    <w:lvl w:ilvl="3" w:tplc="02A4943A">
      <w:start w:val="1"/>
      <w:numFmt w:val="decimal"/>
      <w:lvlText w:val="%4."/>
      <w:lvlJc w:val="left"/>
      <w:pPr>
        <w:tabs>
          <w:tab w:val="left" w:pos="0"/>
        </w:tabs>
        <w:ind w:left="0" w:firstLine="0"/>
      </w:pPr>
      <w:rPr>
        <w:rFonts w:ascii="Times New Roman" w:hAnsi="Times New Roman" w:cs="Times New Roman"/>
        <w:color w:val="000000"/>
      </w:rPr>
    </w:lvl>
    <w:lvl w:ilvl="4" w:tplc="EB4C897C">
      <w:start w:val="1"/>
      <w:numFmt w:val="decimal"/>
      <w:lvlText w:val="%5."/>
      <w:lvlJc w:val="left"/>
      <w:pPr>
        <w:tabs>
          <w:tab w:val="left" w:pos="0"/>
        </w:tabs>
        <w:ind w:left="0" w:firstLine="0"/>
      </w:pPr>
      <w:rPr>
        <w:rFonts w:ascii="Times New Roman" w:hAnsi="Times New Roman" w:cs="Times New Roman"/>
        <w:color w:val="000000"/>
      </w:rPr>
    </w:lvl>
    <w:lvl w:ilvl="5" w:tplc="D7964554">
      <w:start w:val="1"/>
      <w:numFmt w:val="decimal"/>
      <w:lvlText w:val="%6."/>
      <w:lvlJc w:val="left"/>
      <w:pPr>
        <w:tabs>
          <w:tab w:val="left" w:pos="0"/>
        </w:tabs>
        <w:ind w:left="0" w:firstLine="0"/>
      </w:pPr>
      <w:rPr>
        <w:rFonts w:ascii="Times New Roman" w:hAnsi="Times New Roman" w:cs="Times New Roman"/>
        <w:color w:val="000000"/>
      </w:rPr>
    </w:lvl>
    <w:lvl w:ilvl="6" w:tplc="209A2550">
      <w:start w:val="1"/>
      <w:numFmt w:val="decimal"/>
      <w:lvlText w:val="%7."/>
      <w:lvlJc w:val="left"/>
      <w:pPr>
        <w:tabs>
          <w:tab w:val="left" w:pos="0"/>
        </w:tabs>
        <w:ind w:left="0" w:firstLine="0"/>
      </w:pPr>
      <w:rPr>
        <w:rFonts w:ascii="Times New Roman" w:hAnsi="Times New Roman" w:cs="Times New Roman"/>
        <w:color w:val="000000"/>
      </w:rPr>
    </w:lvl>
    <w:lvl w:ilvl="7" w:tplc="D1DCA5D4">
      <w:start w:val="1"/>
      <w:numFmt w:val="decimal"/>
      <w:lvlText w:val="%8."/>
      <w:lvlJc w:val="left"/>
      <w:pPr>
        <w:tabs>
          <w:tab w:val="left" w:pos="0"/>
        </w:tabs>
        <w:ind w:left="0" w:firstLine="0"/>
      </w:pPr>
      <w:rPr>
        <w:rFonts w:ascii="Times New Roman" w:hAnsi="Times New Roman" w:cs="Times New Roman"/>
        <w:color w:val="000000"/>
      </w:rPr>
    </w:lvl>
    <w:lvl w:ilvl="8" w:tplc="30AEEDFC">
      <w:start w:val="1"/>
      <w:numFmt w:val="decimal"/>
      <w:lvlText w:val="%9."/>
      <w:lvlJc w:val="left"/>
      <w:pPr>
        <w:tabs>
          <w:tab w:val="left" w:pos="0"/>
        </w:tabs>
        <w:ind w:left="0" w:firstLine="0"/>
      </w:pPr>
      <w:rPr>
        <w:rFonts w:ascii="Times New Roman" w:hAnsi="Times New Roman" w:cs="Times New Roman"/>
        <w:color w:val="000000"/>
      </w:r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8"/>
  </w:num>
  <w:num w:numId="4">
    <w:abstractNumId w:val="6"/>
  </w:num>
  <w:num w:numId="5">
    <w:abstractNumId w:val="1"/>
  </w:num>
  <w:num w:numId="6">
    <w:abstractNumId w:val="5"/>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4"/>
  </w:num>
  <w:num w:numId="27">
    <w:abstractNumId w:val="3"/>
  </w:num>
  <w:num w:numId="28">
    <w:abstractNumId w:val="11"/>
  </w:num>
  <w:num w:numId="29">
    <w:abstractNumId w:val="0"/>
  </w:num>
  <w:num w:numId="30">
    <w:abstractNumId w:val="3"/>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LastEditedSection" w:val=" 1"/>
    <w:docVar w:name="MEETMNU" w:val="1"/>
    <w:docVar w:name="NVAR" w:val="0"/>
    <w:docVar w:name="STOREDT1" w:val="21/06/2022"/>
    <w:docVar w:name="strDocTypeID" w:val="PVx"/>
    <w:docVar w:name="strSubDir" w:val="1259"/>
    <w:docVar w:name="TXTLANGUE" w:val="EN"/>
    <w:docVar w:name="TXTLANGUEMIN" w:val="en"/>
    <w:docVar w:name="TXTMEMBERS" w:val="x"/>
    <w:docVar w:name="TXTNRPE" w:val="734.256"/>
    <w:docVar w:name="TXTPEorAP" w:val="PE"/>
    <w:docVar w:name="TXTROUTE" w:val="PV\1259071EN.docx"/>
    <w:docVar w:name="TXTSUBSTITUTES" w:val="x"/>
    <w:docVar w:name="TXTVERSION" w:val="01-00"/>
  </w:docVars>
  <w:rsids>
    <w:rsidRoot w:val="008764ED"/>
    <w:rsid w:val="00007788"/>
    <w:rsid w:val="00021AD6"/>
    <w:rsid w:val="000265BD"/>
    <w:rsid w:val="00041A79"/>
    <w:rsid w:val="000510B1"/>
    <w:rsid w:val="000533F1"/>
    <w:rsid w:val="000637F3"/>
    <w:rsid w:val="0006514D"/>
    <w:rsid w:val="00092111"/>
    <w:rsid w:val="0009235A"/>
    <w:rsid w:val="00094128"/>
    <w:rsid w:val="000952B6"/>
    <w:rsid w:val="000A769E"/>
    <w:rsid w:val="000B1C1A"/>
    <w:rsid w:val="000B727D"/>
    <w:rsid w:val="000C46ED"/>
    <w:rsid w:val="000D4F53"/>
    <w:rsid w:val="000D5FD7"/>
    <w:rsid w:val="000E082D"/>
    <w:rsid w:val="000F0B40"/>
    <w:rsid w:val="000F6376"/>
    <w:rsid w:val="0011399B"/>
    <w:rsid w:val="00114A86"/>
    <w:rsid w:val="00115EB2"/>
    <w:rsid w:val="001173AC"/>
    <w:rsid w:val="00164E56"/>
    <w:rsid w:val="00176DCC"/>
    <w:rsid w:val="001813D5"/>
    <w:rsid w:val="001857BA"/>
    <w:rsid w:val="00190F58"/>
    <w:rsid w:val="00194506"/>
    <w:rsid w:val="0019636C"/>
    <w:rsid w:val="001C4040"/>
    <w:rsid w:val="001D14AA"/>
    <w:rsid w:val="001E20EC"/>
    <w:rsid w:val="001E4EBD"/>
    <w:rsid w:val="001F4567"/>
    <w:rsid w:val="0020777E"/>
    <w:rsid w:val="0022027F"/>
    <w:rsid w:val="00225BAF"/>
    <w:rsid w:val="0022750E"/>
    <w:rsid w:val="00236A0D"/>
    <w:rsid w:val="002467F2"/>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D1F3F"/>
    <w:rsid w:val="003E0A41"/>
    <w:rsid w:val="003E0BDE"/>
    <w:rsid w:val="003E0D2D"/>
    <w:rsid w:val="003E582C"/>
    <w:rsid w:val="003E5BF7"/>
    <w:rsid w:val="003F18DC"/>
    <w:rsid w:val="00405A95"/>
    <w:rsid w:val="004062E2"/>
    <w:rsid w:val="0045430B"/>
    <w:rsid w:val="00467244"/>
    <w:rsid w:val="00472CBA"/>
    <w:rsid w:val="00481465"/>
    <w:rsid w:val="00481807"/>
    <w:rsid w:val="0048229C"/>
    <w:rsid w:val="00487BFD"/>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111AD"/>
    <w:rsid w:val="00543EF6"/>
    <w:rsid w:val="00553CD4"/>
    <w:rsid w:val="00556515"/>
    <w:rsid w:val="00557EE8"/>
    <w:rsid w:val="00563F61"/>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167EF"/>
    <w:rsid w:val="006275CD"/>
    <w:rsid w:val="00640211"/>
    <w:rsid w:val="006418F2"/>
    <w:rsid w:val="0064227F"/>
    <w:rsid w:val="00643758"/>
    <w:rsid w:val="00647446"/>
    <w:rsid w:val="00650AF2"/>
    <w:rsid w:val="00654687"/>
    <w:rsid w:val="00672690"/>
    <w:rsid w:val="00675887"/>
    <w:rsid w:val="0067649D"/>
    <w:rsid w:val="006A4FA9"/>
    <w:rsid w:val="006B2516"/>
    <w:rsid w:val="006B2AF7"/>
    <w:rsid w:val="006C1AC2"/>
    <w:rsid w:val="006C52AC"/>
    <w:rsid w:val="006C63B9"/>
    <w:rsid w:val="006C6F0A"/>
    <w:rsid w:val="006D0C4F"/>
    <w:rsid w:val="006D2283"/>
    <w:rsid w:val="006D3CC8"/>
    <w:rsid w:val="006D6EB9"/>
    <w:rsid w:val="006E2C80"/>
    <w:rsid w:val="006F0235"/>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A38E7"/>
    <w:rsid w:val="007B0C9D"/>
    <w:rsid w:val="007C556F"/>
    <w:rsid w:val="007C674A"/>
    <w:rsid w:val="007D1D46"/>
    <w:rsid w:val="007D6B19"/>
    <w:rsid w:val="007E0B3D"/>
    <w:rsid w:val="007E5C31"/>
    <w:rsid w:val="00801684"/>
    <w:rsid w:val="00803FD1"/>
    <w:rsid w:val="00804AE1"/>
    <w:rsid w:val="0082592C"/>
    <w:rsid w:val="0083601E"/>
    <w:rsid w:val="00844D91"/>
    <w:rsid w:val="008452E8"/>
    <w:rsid w:val="00872F47"/>
    <w:rsid w:val="008764ED"/>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06B1"/>
    <w:rsid w:val="00926DB0"/>
    <w:rsid w:val="009408CB"/>
    <w:rsid w:val="009515D1"/>
    <w:rsid w:val="00956466"/>
    <w:rsid w:val="00960270"/>
    <w:rsid w:val="0097066F"/>
    <w:rsid w:val="00972226"/>
    <w:rsid w:val="00972263"/>
    <w:rsid w:val="0099346B"/>
    <w:rsid w:val="00994629"/>
    <w:rsid w:val="009B2082"/>
    <w:rsid w:val="009B3142"/>
    <w:rsid w:val="009D17C3"/>
    <w:rsid w:val="009D762D"/>
    <w:rsid w:val="009E0B27"/>
    <w:rsid w:val="009E24B6"/>
    <w:rsid w:val="009E7A82"/>
    <w:rsid w:val="00A00F95"/>
    <w:rsid w:val="00A13D65"/>
    <w:rsid w:val="00A13DDE"/>
    <w:rsid w:val="00A16FC5"/>
    <w:rsid w:val="00A203BD"/>
    <w:rsid w:val="00A20D13"/>
    <w:rsid w:val="00A22851"/>
    <w:rsid w:val="00A36A4E"/>
    <w:rsid w:val="00A427A6"/>
    <w:rsid w:val="00A44C95"/>
    <w:rsid w:val="00A531E2"/>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E6463"/>
    <w:rsid w:val="00AF2827"/>
    <w:rsid w:val="00B01DC3"/>
    <w:rsid w:val="00B15084"/>
    <w:rsid w:val="00B2395C"/>
    <w:rsid w:val="00B408BE"/>
    <w:rsid w:val="00B501B7"/>
    <w:rsid w:val="00B51AD5"/>
    <w:rsid w:val="00B57A03"/>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85D0F"/>
    <w:rsid w:val="00C90B1B"/>
    <w:rsid w:val="00CA2394"/>
    <w:rsid w:val="00CA53ED"/>
    <w:rsid w:val="00CA70CB"/>
    <w:rsid w:val="00CB12EE"/>
    <w:rsid w:val="00CC5762"/>
    <w:rsid w:val="00CC6B58"/>
    <w:rsid w:val="00CC6E1E"/>
    <w:rsid w:val="00CD01A6"/>
    <w:rsid w:val="00CD0CF5"/>
    <w:rsid w:val="00CE29F4"/>
    <w:rsid w:val="00CE38BF"/>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507B"/>
    <w:rsid w:val="00DC629C"/>
    <w:rsid w:val="00DC63A9"/>
    <w:rsid w:val="00DC7AF1"/>
    <w:rsid w:val="00DD64B7"/>
    <w:rsid w:val="00DF0DC8"/>
    <w:rsid w:val="00DF5FF0"/>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72FEE"/>
    <w:rsid w:val="00F84353"/>
    <w:rsid w:val="00F87059"/>
    <w:rsid w:val="00F909BF"/>
    <w:rsid w:val="00F965F6"/>
    <w:rsid w:val="00F97A4F"/>
    <w:rsid w:val="00FA0152"/>
    <w:rsid w:val="00FA6AF5"/>
    <w:rsid w:val="00FB09D1"/>
    <w:rsid w:val="00FB3DF0"/>
    <w:rsid w:val="00FC1B11"/>
    <w:rsid w:val="00FD183B"/>
    <w:rsid w:val="00FD3096"/>
    <w:rsid w:val="00FD5E3C"/>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CD05C2-D4A3-44F3-977E-E0D5215E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customStyle="1" w:styleId="Heading2Char">
    <w:name w:val="Heading 2 Char"/>
    <w:basedOn w:val="DefaultParagraphFont"/>
    <w:link w:val="Heading2"/>
    <w:uiPriority w:val="9"/>
    <w:semiHidden/>
    <w:rsid w:val="009B3142"/>
    <w:rPr>
      <w:rFonts w:ascii="Arial" w:hAnsi="Arial"/>
      <w:b/>
      <w:i/>
      <w:snapToGrid w:val="0"/>
      <w:sz w:val="24"/>
      <w:lang w:eastAsia="en-US"/>
    </w:rPr>
  </w:style>
  <w:style w:type="paragraph" w:styleId="Footer">
    <w:name w:val="footer"/>
    <w:basedOn w:val="Normal"/>
    <w:link w:val="FooterChar"/>
    <w:rsid w:val="006167EF"/>
    <w:pPr>
      <w:tabs>
        <w:tab w:val="center" w:pos="4513"/>
        <w:tab w:val="right" w:pos="9026"/>
      </w:tabs>
    </w:pPr>
  </w:style>
  <w:style w:type="character" w:customStyle="1" w:styleId="FooterChar">
    <w:name w:val="Footer Char"/>
    <w:basedOn w:val="DefaultParagraphFont"/>
    <w:link w:val="Footer"/>
    <w:rsid w:val="006167EF"/>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etre\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9A0B-2549-4AC5-BEB2-784D22B1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8</Pages>
  <Words>1358</Words>
  <Characters>12573</Characters>
  <Application>Microsoft Office Word</Application>
  <DocSecurity>0</DocSecurity>
  <Lines>284</Lines>
  <Paragraphs>119</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creator>PETRE Hedwige</dc:creator>
  <cp:lastModifiedBy>DIMITROV Cvetan</cp:lastModifiedBy>
  <cp:revision>2</cp:revision>
  <cp:lastPrinted>2009-06-18T13:43:00Z</cp:lastPrinted>
  <dcterms:created xsi:type="dcterms:W3CDTF">2022-07-27T09:40:00Z</dcterms:created>
  <dcterms:modified xsi:type="dcterms:W3CDTF">2022-07-27T09:40:00Z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1259071</vt:lpwstr>
  </property>
  <property fmtid="{D5CDD505-2E9C-101B-9397-08002B2CF9AE}" pid="4" name="&lt;Model&gt;">
    <vt:lpwstr>PVx</vt:lpwstr>
  </property>
  <property fmtid="{D5CDD505-2E9C-101B-9397-08002B2CF9AE}" pid="5" name="&lt;ModelCod&gt;">
    <vt:lpwstr>\\eiciBRUpr1\pdocep$\DocEP\DOCS\General\PV\PVx.dotx(24/02/2022 20:38:05)</vt:lpwstr>
  </property>
  <property fmtid="{D5CDD505-2E9C-101B-9397-08002B2CF9AE}" pid="6" name="&lt;ModelTra&gt;">
    <vt:lpwstr>\\eiciBRUpr1\pdocep$\DocEP\TRANSFIL\EN\PVx.EN(15/02/2022 18:03:04)</vt:lpwstr>
  </property>
  <property fmtid="{D5CDD505-2E9C-101B-9397-08002B2CF9AE}" pid="7" name="&lt;Type&gt;">
    <vt:lpwstr>PV</vt:lpwstr>
  </property>
  <property fmtid="{D5CDD505-2E9C-101B-9397-08002B2CF9AE}" pid="8" name="Created with">
    <vt:lpwstr>9.12.2 Build [20220520]</vt:lpwstr>
  </property>
  <property fmtid="{D5CDD505-2E9C-101B-9397-08002B2CF9AE}" pid="9" name="FooterPath">
    <vt:lpwstr>PV\1259071BG.docx</vt:lpwstr>
  </property>
  <property fmtid="{D5CDD505-2E9C-101B-9397-08002B2CF9AE}" pid="10" name="LastEdited with">
    <vt:lpwstr>9.13.0 Build [20220701]</vt:lpwstr>
  </property>
  <property fmtid="{D5CDD505-2E9C-101B-9397-08002B2CF9AE}" pid="11" name="PE number">
    <vt:lpwstr>734.256</vt:lpwstr>
  </property>
  <property fmtid="{D5CDD505-2E9C-101B-9397-08002B2CF9AE}" pid="12" name="SDLStudio">
    <vt:lpwstr/>
  </property>
  <property fmtid="{D5CDD505-2E9C-101B-9397-08002B2CF9AE}" pid="13" name="SendToEpades">
    <vt:lpwstr>OK - 2022/07/26 16:06</vt:lpwstr>
  </property>
  <property fmtid="{D5CDD505-2E9C-101B-9397-08002B2CF9AE}" pid="14" name="Bookout">
    <vt:lpwstr>OK - 2022/07/27 11:40</vt:lpwstr>
  </property>
</Properties>
</file>