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E1655" w:rsidRPr="00E51FE4" w:rsidTr="00035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E1655" w:rsidRPr="00E51FE4" w:rsidRDefault="001F20C0" w:rsidP="00035402">
            <w:pPr>
              <w:pStyle w:val="EPName"/>
            </w:pPr>
            <w:r>
              <w:t>Parlament Europejski</w:t>
            </w:r>
          </w:p>
          <w:p w:rsidR="00CE1655" w:rsidRPr="00E51FE4" w:rsidRDefault="00B019CD" w:rsidP="00B019CD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CE1655" w:rsidRPr="00E51FE4" w:rsidRDefault="00304C7C" w:rsidP="00035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000C7D" w:rsidRPr="00E51FE4" w:rsidRDefault="00000C7D" w:rsidP="00000C7D">
      <w:pPr>
        <w:pStyle w:val="LineTop"/>
      </w:pPr>
    </w:p>
    <w:p w:rsidR="00000C7D" w:rsidRPr="00E51FE4" w:rsidRDefault="00000C7D" w:rsidP="00000C7D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{JURI}</w:t>
      </w:r>
      <w:r>
        <w:t>Komisja Prawna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000C7D" w:rsidRPr="00E51FE4" w:rsidRDefault="001F20C0" w:rsidP="00000C7D">
      <w:pPr>
        <w:pStyle w:val="ZCommittee"/>
      </w:pPr>
      <w:r>
        <w:t>Przewodniczący</w:t>
      </w:r>
    </w:p>
    <w:p w:rsidR="00000C7D" w:rsidRPr="00E51FE4" w:rsidRDefault="00000C7D" w:rsidP="00000C7D">
      <w:pPr>
        <w:pStyle w:val="LineBottom"/>
      </w:pPr>
    </w:p>
    <w:p w:rsidR="00E71F4C" w:rsidRPr="00E51FE4" w:rsidRDefault="00501E47" w:rsidP="00E71F4C">
      <w:pPr>
        <w:pStyle w:val="Normal12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{22/05/2017}</w:t>
      </w:r>
      <w:r>
        <w:t>22.5.2017</w:t>
      </w:r>
      <w:r>
        <w:rPr>
          <w:rStyle w:val="HideTWBExt"/>
          <w:noProof w:val="0"/>
        </w:rPr>
        <w:t>&lt;/Date&gt;</w:t>
      </w:r>
    </w:p>
    <w:p w:rsidR="007179A7" w:rsidRPr="00E51FE4" w:rsidRDefault="00B019CD">
      <w:r>
        <w:t>Sz. Pan Jean Arthuis</w:t>
      </w:r>
    </w:p>
    <w:p w:rsidR="007179A7" w:rsidRPr="00E51FE4" w:rsidRDefault="001F20C0">
      <w:r>
        <w:t>Przewodniczący</w:t>
      </w:r>
    </w:p>
    <w:p w:rsidR="007179A7" w:rsidRPr="00E51FE4" w:rsidRDefault="00B019CD">
      <w:r>
        <w:t>Komisja Budżetowa</w:t>
      </w:r>
    </w:p>
    <w:p w:rsidR="00B019CD" w:rsidRPr="00E51FE4" w:rsidRDefault="00B019CD">
      <w:r>
        <w:t>Sz. Pani Ingeborg Gräβle</w:t>
      </w:r>
    </w:p>
    <w:p w:rsidR="00B019CD" w:rsidRPr="00E51FE4" w:rsidRDefault="00B019CD">
      <w:r>
        <w:t>Komisja Kontroli Budżetowej</w:t>
      </w:r>
    </w:p>
    <w:p w:rsidR="007179A7" w:rsidRPr="00E51FE4" w:rsidRDefault="001F20C0">
      <w:r>
        <w:t>BRUKSELA</w:t>
      </w:r>
    </w:p>
    <w:p w:rsidR="007179A7" w:rsidRPr="00E51FE4" w:rsidRDefault="001F20C0">
      <w:pPr>
        <w:pStyle w:val="SubjectPajuri"/>
      </w:pPr>
      <w:r>
        <w:t>Przedmiot:</w:t>
      </w:r>
      <w:r>
        <w:tab/>
      </w:r>
      <w:r>
        <w:rPr>
          <w:rStyle w:val="HideTWBExt"/>
          <w:noProof w:val="0"/>
        </w:rPr>
        <w:t>&lt;Titre&gt;</w:t>
      </w:r>
      <w:r>
        <w:t>Opinia w sprawie podstawy prawnej wniosku dotyczącego rozporządzenia Parlamentu Europejskiego i Rady w sprawie zasad finansowych mających zastosowanie do budżetu ogólnego Unii oraz zmieniającego rozporządzenie (UE) nr 2012/2002, rozporządzenia (UE) nr 1296/2013, (UE) nr 1301/2013, (UE) nr 1304/2013, (UE) nr 1305/2013, (UE) nr 1306/2013, (UE)</w:t>
      </w:r>
      <w:r w:rsidR="002C75EE">
        <w:t xml:space="preserve"> </w:t>
      </w:r>
      <w:r>
        <w:t>nr</w:t>
      </w:r>
      <w:r w:rsidR="002C75EE">
        <w:t> </w:t>
      </w:r>
      <w:r>
        <w:t>1307/2013, (UE) nr 1308/2013, (UE) nr 1309/2013, (UE) nr</w:t>
      </w:r>
      <w:r w:rsidR="002C75EE">
        <w:t> </w:t>
      </w:r>
      <w:r>
        <w:t>1316/2013, (UE) nr 223/2014, (UE) nr 283/2014, (UE) nr 652/2014 Parlamentu Europejskiego i Rady oraz decyzję Parlamentu Europejskiego i</w:t>
      </w:r>
      <w:r w:rsidR="002C75EE">
        <w:t> </w:t>
      </w:r>
      <w:r>
        <w:t>Rady nr</w:t>
      </w:r>
      <w:r w:rsidR="002C75EE">
        <w:t> </w:t>
      </w:r>
      <w:r>
        <w:t>541/2014/UE (COM(2016)0605 – C8-0372/2016 – 2016/0282(COD))</w:t>
      </w:r>
      <w:r>
        <w:rPr>
          <w:rStyle w:val="HideTWBExt"/>
          <w:noProof w:val="0"/>
        </w:rPr>
        <w:t>&lt;/Titre&gt;</w:t>
      </w:r>
    </w:p>
    <w:p w:rsidR="007179A7" w:rsidRPr="00E51FE4" w:rsidRDefault="00B019CD">
      <w:pPr>
        <w:pStyle w:val="Normal12"/>
      </w:pPr>
      <w:r>
        <w:t>Szanowni Przewodniczący!</w:t>
      </w:r>
    </w:p>
    <w:p w:rsidR="00104F92" w:rsidRPr="00E51FE4" w:rsidRDefault="00104F92" w:rsidP="00104F92">
      <w:pPr>
        <w:jc w:val="both"/>
        <w:rPr>
          <w:szCs w:val="24"/>
        </w:rPr>
      </w:pPr>
      <w:r>
        <w:t>Pismem z dnia 31 marca 2017 r. Komisja Budżetowa i Komisja Kontroli Budżetowej zwróciły się do Komisji Prawnej na mocy art. 39 ust. 2 Regulaminu o wydanie opinii w</w:t>
      </w:r>
      <w:r w:rsidR="002C75EE">
        <w:t> </w:t>
      </w:r>
      <w:r>
        <w:t>sprawie adekwatności podstawy prawnej przedmiotowego wniosku.</w:t>
      </w:r>
    </w:p>
    <w:p w:rsidR="00104F92" w:rsidRPr="00E51FE4" w:rsidRDefault="00104F92" w:rsidP="00104F92">
      <w:pPr>
        <w:tabs>
          <w:tab w:val="left" w:pos="0"/>
        </w:tabs>
        <w:jc w:val="both"/>
        <w:rPr>
          <w:szCs w:val="24"/>
        </w:rPr>
      </w:pPr>
      <w:r>
        <w:t>Komisja Budżetowa i Komisja Kontroli Budżetowej chcą zasięgnąć opinii Komisji Prawnej w</w:t>
      </w:r>
      <w:r w:rsidR="002C75EE">
        <w:t> </w:t>
      </w:r>
      <w:r>
        <w:t>szczególności w kwestii tego, czy proponowana podstawa prawna jest oczywistym błędem, jako że:</w:t>
      </w:r>
    </w:p>
    <w:p w:rsidR="00104F92" w:rsidRPr="00E51FE4" w:rsidRDefault="00104F92" w:rsidP="00104F92">
      <w:pPr>
        <w:tabs>
          <w:tab w:val="left" w:pos="0"/>
        </w:tabs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ind w:left="720"/>
        <w:jc w:val="both"/>
        <w:rPr>
          <w:szCs w:val="24"/>
        </w:rPr>
      </w:pPr>
      <w:r>
        <w:t>- artykuł 322 ust. 1 odnosi się do zasad finansowych, podczas gdy art. 322 ust.</w:t>
      </w:r>
      <w:r w:rsidR="002C75EE">
        <w:t> </w:t>
      </w:r>
      <w:r>
        <w:t>2 dotyczy ustaleń związanych z zasobami własnymi Unii (decyzja Rady po konsultacji z</w:t>
      </w:r>
      <w:r w:rsidR="002C75EE">
        <w:t> </w:t>
      </w:r>
      <w:r>
        <w:t>PE),</w:t>
      </w:r>
    </w:p>
    <w:p w:rsidR="00104F92" w:rsidRPr="00E51FE4" w:rsidRDefault="00104F92" w:rsidP="00104F92">
      <w:pPr>
        <w:autoSpaceDE w:val="0"/>
        <w:autoSpaceDN w:val="0"/>
        <w:adjustRightInd w:val="0"/>
        <w:ind w:left="720"/>
        <w:jc w:val="both"/>
        <w:rPr>
          <w:szCs w:val="24"/>
        </w:rPr>
      </w:pPr>
      <w:r>
        <w:t>- artykuł 209 ust. 1 nie stanowi podstawy prawnej żadnego aktu sektorowego zmienionego na mocy COM(2016)0605.</w:t>
      </w:r>
    </w:p>
    <w:p w:rsidR="00104F92" w:rsidRPr="00E51FE4" w:rsidRDefault="00104F92" w:rsidP="00104F92">
      <w:pPr>
        <w:jc w:val="both"/>
        <w:rPr>
          <w:szCs w:val="24"/>
        </w:rPr>
      </w:pPr>
    </w:p>
    <w:p w:rsidR="00104F92" w:rsidRPr="00E51FE4" w:rsidRDefault="00104F92" w:rsidP="00104F92">
      <w:pPr>
        <w:spacing w:after="24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I. Kontekst</w:t>
      </w:r>
    </w:p>
    <w:p w:rsidR="00104F92" w:rsidRPr="00E51FE4" w:rsidRDefault="00104F92" w:rsidP="00104F92">
      <w:pPr>
        <w:jc w:val="both"/>
        <w:rPr>
          <w:szCs w:val="24"/>
        </w:rPr>
      </w:pPr>
      <w:r>
        <w:t>Komisja odwołuje się we wniosku do Traktatu o funkcjonowaniu Unii Europejskiej (TFUE), w szczególności do jego art. 42, art. 43 ust. 2, art. 46 lit. d), art. 149, 153 ust. 2 lit. a), art. 164, art. 168 ust. 4 lit. b), art. 172, 175, 177, 178, art. 189 ust. 2, art. 209 ust. 1, art. 212 ust. 2, art.</w:t>
      </w:r>
      <w:r w:rsidR="002C75EE">
        <w:t> </w:t>
      </w:r>
      <w:r>
        <w:t xml:space="preserve">322 ust. 2 i art. 349, a także do art. 106a Traktatu ustanawiającego Europejską Wspólnotę Energii Atomowej. </w:t>
      </w:r>
    </w:p>
    <w:p w:rsidR="00104F92" w:rsidRPr="00E51FE4" w:rsidRDefault="00104F92" w:rsidP="00104F92">
      <w:pPr>
        <w:jc w:val="both"/>
        <w:rPr>
          <w:szCs w:val="24"/>
        </w:rPr>
      </w:pPr>
    </w:p>
    <w:p w:rsidR="00104F92" w:rsidRPr="00E51FE4" w:rsidRDefault="00104F92" w:rsidP="00104F9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II. Odnośne artykuły Traktatu </w:t>
      </w:r>
    </w:p>
    <w:p w:rsidR="00104F92" w:rsidRPr="00E51FE4" w:rsidRDefault="00104F92" w:rsidP="00104F92">
      <w:pPr>
        <w:rPr>
          <w:szCs w:val="24"/>
        </w:rPr>
      </w:pPr>
      <w:r>
        <w:t>Jako część podstawy prawnej wniosku Komisja wskazuje art. 209 ust. 1 TFUE, w części piątej zatytułowanej „Działania zewnętrzne Unii”, w połączeniu z art. 322 ust. 2 TFUE, w</w:t>
      </w:r>
      <w:r w:rsidR="002C75EE">
        <w:t> </w:t>
      </w:r>
      <w:r>
        <w:t xml:space="preserve">części szóstej zatytułowanej „Postanowienia instytucjonalne i finansowe”. Mają one następujące brzmienie: </w:t>
      </w:r>
    </w:p>
    <w:p w:rsidR="00532BAF" w:rsidRPr="00E51FE4" w:rsidRDefault="00532BAF" w:rsidP="00104F92">
      <w:pPr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Artykuł 209</w:t>
      </w:r>
    </w:p>
    <w:p w:rsidR="00104F92" w:rsidRPr="00E51FE4" w:rsidRDefault="00104F92" w:rsidP="00104F92">
      <w:pPr>
        <w:autoSpaceDE w:val="0"/>
        <w:autoSpaceDN w:val="0"/>
        <w:adjustRightInd w:val="0"/>
        <w:jc w:val="center"/>
        <w:rPr>
          <w:i/>
          <w:szCs w:val="24"/>
        </w:rPr>
      </w:pPr>
      <w:r>
        <w:rPr>
          <w:i/>
          <w:szCs w:val="24"/>
        </w:rPr>
        <w:t>(dawny artykuł 179 TWE)</w:t>
      </w:r>
    </w:p>
    <w:p w:rsidR="00104F92" w:rsidRPr="00E51FE4" w:rsidRDefault="00104F92" w:rsidP="00104F92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1. Parlament Europejski i Rada, stanowiąc zgodnie ze zwykłą procedurą ustawodawczą, przyjmują środki niezbędne w celu realizacji polityki w dziedzinie współpracy na rzecz rozwoju, które mogą dotyczyć wieloletnich programów współpracy z krajami rozwijającymi się lub programów tematycznych. [...]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Artykuł 322</w:t>
      </w:r>
    </w:p>
    <w:p w:rsidR="00104F92" w:rsidRPr="00E51FE4" w:rsidRDefault="00104F92" w:rsidP="00104F92">
      <w:pPr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i/>
          <w:szCs w:val="24"/>
        </w:rPr>
        <w:t>(dawny artykuł 279 TWE)</w:t>
      </w:r>
    </w:p>
    <w:p w:rsidR="00104F92" w:rsidRPr="00E51FE4" w:rsidRDefault="00104F92" w:rsidP="00104F92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1. Parlament Europejski i Rada, stanowiąc zgodnie ze zwykłą procedurą ustawodawczą i po konsultacji z Trybunałem Obrachunkowym, przyjmują w drodze rozporządzenia:</w:t>
      </w:r>
    </w:p>
    <w:p w:rsidR="00104F92" w:rsidRPr="00E51FE4" w:rsidRDefault="00104F92" w:rsidP="00104F92">
      <w:pPr>
        <w:autoSpaceDE w:val="0"/>
        <w:autoSpaceDN w:val="0"/>
        <w:adjustRightInd w:val="0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ind w:left="720"/>
        <w:rPr>
          <w:i/>
          <w:szCs w:val="24"/>
        </w:rPr>
      </w:pPr>
      <w:r>
        <w:rPr>
          <w:i/>
          <w:szCs w:val="24"/>
        </w:rPr>
        <w:t>a) zasady finansowe określające w szczególności warunki uchwalania i wykonywania budżetu oraz przedstawiania i kontrolowania rachunków;</w:t>
      </w:r>
    </w:p>
    <w:p w:rsidR="00104F92" w:rsidRPr="00E51FE4" w:rsidRDefault="00104F92" w:rsidP="00104F92">
      <w:pPr>
        <w:autoSpaceDE w:val="0"/>
        <w:autoSpaceDN w:val="0"/>
        <w:adjustRightInd w:val="0"/>
        <w:ind w:firstLine="720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ind w:left="720"/>
        <w:rPr>
          <w:i/>
          <w:szCs w:val="24"/>
        </w:rPr>
      </w:pPr>
      <w:r>
        <w:rPr>
          <w:i/>
          <w:szCs w:val="24"/>
        </w:rPr>
        <w:t>b) zasady, które organizują kontrolę odpowiedzialności podmiotów finansowych, w</w:t>
      </w:r>
      <w:r w:rsidR="002C75EE">
        <w:rPr>
          <w:i/>
          <w:szCs w:val="24"/>
        </w:rPr>
        <w:t> </w:t>
      </w:r>
      <w:r>
        <w:rPr>
          <w:i/>
          <w:szCs w:val="24"/>
        </w:rPr>
        <w:t>szczególności urzędników zatwierdzających i księgowych.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2. Rada, stanowiąc na wniosek Komisji i po konsultacji z Parlamentem Europejskim oraz Trybunałem Obrachunkowym, określa sposoby i procedurę, według których dochody budżetowe przewidziane w ramach systemu zasobów własnych Unii są pozostawione do dyspozycji Komisji, oraz określa środki stosowane, w razie potrzeby, w celu zaspokojenia potrzeb gotówkowych.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III. Orzecznictwo dotyczące podstawy prawnej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t>Wybór podstawy prawnej ma zasadnicze znaczenie, jako że konstytucyjną podstawą Unii jest zasada przyznania uprawnień (art. 5 TUE), a jej instytucje mogą działać wyłącznie w sposób zgodny z mandatem udzielonym im na mocy Traktatu</w:t>
      </w:r>
      <w:r w:rsidRPr="00E51FE4">
        <w:rPr>
          <w:rStyle w:val="FootnoteReference"/>
          <w:szCs w:val="24"/>
        </w:rPr>
        <w:footnoteReference w:id="1"/>
      </w:r>
      <w:r>
        <w:t>. Z orzecznictwa Trybunału Sprawiedliwości wynikają określone zasady dotyczące wyboru podstawy prawnej. Po pierwsze, wybór właściwej podstawy prawnej ma zasadnicze znaczenie przede wszystkim z</w:t>
      </w:r>
      <w:r w:rsidR="002C75EE">
        <w:t> </w:t>
      </w:r>
      <w:r>
        <w:t>uwagi na skutki podstawy prawnej dla właściwości i procedury</w:t>
      </w:r>
      <w:r w:rsidRPr="00E51FE4">
        <w:rPr>
          <w:color w:val="000000"/>
          <w:szCs w:val="24"/>
          <w:vertAlign w:val="superscript"/>
        </w:rPr>
        <w:footnoteReference w:id="2"/>
      </w:r>
      <w:r>
        <w:t>.</w:t>
      </w:r>
      <w:r>
        <w:rPr>
          <w:color w:val="000000"/>
          <w:szCs w:val="24"/>
        </w:rPr>
        <w:t xml:space="preserve"> Po drugie, wybór podstawy prawnej aktu prawnego UE musi opierać się na obiektywnych czynnikach, które mogą zostać poddane kontroli sądowej. Należą do nich w szczególności cel i treść aktu</w:t>
      </w:r>
      <w:r w:rsidRPr="00E51FE4">
        <w:rPr>
          <w:color w:val="000000"/>
          <w:szCs w:val="24"/>
          <w:vertAlign w:val="superscript"/>
        </w:rPr>
        <w:footnoteReference w:id="3"/>
      </w:r>
      <w:r>
        <w:rPr>
          <w:color w:val="000000"/>
          <w:szCs w:val="24"/>
        </w:rPr>
        <w:t xml:space="preserve">. </w:t>
      </w:r>
      <w:r>
        <w:rPr>
          <w:iCs/>
          <w:color w:val="000000"/>
          <w:szCs w:val="24"/>
        </w:rPr>
        <w:t>Nieistotny jest przy tym ani fakt, że jakaś instytucja pragnie pełniej uczestniczyć w pracach związanych z przyjęciem danego aktu, ani prace wykonane z innego tytułu w sferze działań objętych aktem, ani też kontekst, w jakim akt został przyjęty.</w:t>
      </w:r>
      <w:r w:rsidRPr="00E51FE4">
        <w:rPr>
          <w:iCs/>
          <w:color w:val="000000"/>
          <w:szCs w:val="24"/>
          <w:vertAlign w:val="superscript"/>
        </w:rPr>
        <w:footnoteReference w:id="4"/>
      </w:r>
      <w:r>
        <w:rPr>
          <w:color w:val="000000"/>
          <w:szCs w:val="24"/>
        </w:rPr>
        <w:t xml:space="preserve"> Wybór niewłaściwej podstawy prawnej może zatem uzasadniać uchylenie danego aktu</w:t>
      </w:r>
      <w:r w:rsidRPr="00E51FE4">
        <w:rPr>
          <w:color w:val="000000"/>
          <w:szCs w:val="24"/>
          <w:vertAlign w:val="superscript"/>
        </w:rPr>
        <w:footnoteReference w:id="5"/>
      </w:r>
      <w:r>
        <w:rPr>
          <w:color w:val="000000"/>
          <w:szCs w:val="24"/>
        </w:rPr>
        <w:t>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złożonej podstawy prawnej należy ustalić, czy wniosek: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  <w:t xml:space="preserve">ma dwa cele lub dwie części składowe, a jeden z tych aspektów można określić jako główny lub przeważający, podczas gdy drugi ma jedynie charakter dodatkowy; czy też 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>dąży jednocześnie do realizacji większej liczby celów lub ma większą liczbę części składowych, które są ze sobą nierozerwalnie związane, przy czym żaden z aspektów nie jest drugorzędny lub pośredni w stosunku do innego aspektu.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 orzecznictwem Trybunału Sprawiedliwości w pierwszym przypadku akt musi opierać się na jednej podstawie prawnej, mianowicie tej wymaganej przez główny lub przeważający cel lub element, a w drugim przypadku akt musi opierać się na poszczególnych, odpowiednich podstawach prawnych.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IV. Cel i treść proponowanego rozporządzenia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 xml:space="preserve">Z uzasadnienia wynika, że głównym celem wniosku jest przegląd ogólnych i sektorowych zasad finansowych w celu ich uproszczenia i uelastycznienia, a tym samym zwiększenie zdolności budżetu UE do dostosowania się do zmieniających się okoliczności i do reagowania na nieoczekiwane wydarzenia. Konkretnie rzecz ujmując, wniosek skupia się na kilku kluczowych obszarach. 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Przewiduje on środki mające na celu uproszczenie, na czym skorzystają beneficjenci funduszy UE, w szczególności w zakresie treści wniosków o udzielenie dotacji, wartości wkładów niepieniężnych, uznania pracy wolontariuszy, warunków przyznawania dotacji bez zaproszenia do składania wniosków na rzecz państw członkowskich pod pewnymi warunkami, zasady niedochodowości, zasad niełączenia dotacji i decyzji w sprawie stopniowego wycofywania dotacji.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Wniosek ma zachęcać do polegania w miarę możliwości na jednym audycie, zezwoleniu lub jednej ocenie (np. w zakresie zgodności z zasadami pomocy państwa), gdy taki audyt, zezwolenie lub ocena spełnia warunki niezbędne do uwzględnienia w systemie UE.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lastRenderedPageBreak/>
        <w:t>Wniosek ma też doprowadzić do dalszych ułatwień dla partnerów UE w ramach wykonania pośredniego w możliwie największym stopniu.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We wniosku promuje się także skuteczniejsze wykorzystywanie instrumentów finansowych poprzez zoptymalizowanie korzystania ze środków powracających, zapewnienie równych warunków działania wśród najważniejszych unijnych partnerów wykonawczych, zmniejszenie uciążliwych wymogów związanych z publikacją indywidualnych danych ostatecznych odbiorców lub z kryteriami wykluczenia.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Ponadto we wniosku przedstawiono szereg sposobów na zwiększenie elastyczności zarządzania budżetem, aby umożliwić Unii skuteczniejsze reagowanie na nieprzewidziane wyzwania i nowe zadania oraz sprawniejsze zarządzanie kryzysami.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W celu skupienia się na wynikach i uproszczenia sprawozdawczości wniosek zawiera zestaw środków mających na celu lepsze ukierunkowanie budżetu na rezultaty, ustanowienie jasnych ram wykonania, zwiększenie przejrzystości i usprawnienie sprawozdawczości.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Wniosek skupia się też na uproszczeniu i uszczupleniu administracji UE poprzez ułatwianie porozumień i przekazywania zadań między instytucjami i organami w celu wspólnego wykorzystywania środków administracyjnych w europejskich urzędach lub agencjach wykonawczych, w tym poprzez połączenie zespołów konsultacyjnych ds. nieprawidłowości finansowych z zespołem EDES oraz przejście od rocznych na wieloletnie decyzje o</w:t>
      </w:r>
      <w:r w:rsidR="002C75EE">
        <w:t> </w:t>
      </w:r>
      <w:r>
        <w:t xml:space="preserve">finansowaniu.  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Na koniec, wniosek przewiduje możliwość prowadzenia konsultacji z obywatelami w sprawie wykonywania budżetu unijnego przez Komisję, państwa członkowskie i wszelkie inne podmioty wykonujące budżet UE.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V. Analiza i określenie właściwej podstawy prawnej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Jak wspomniano wyżej, wybór podstawy prawnej aktu prawnego UE musi opierać się na obiektywnych czynnikach, które mogą zostać poddane kontroli sądowej. Należą do nich w szczególności cel i treść aktu. Dlatego zgodnie z uzasadnieniem wniosku cel i treść proponowanego rozporządzenia to przegląd zasad finansowych UE w celu ich uproszczenia i</w:t>
      </w:r>
      <w:r w:rsidR="002C75EE">
        <w:t> </w:t>
      </w:r>
      <w:r>
        <w:t xml:space="preserve">uelastycznienia. 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Komisja zaproponowała między innymi art. 322 ust. 2 jako właściwą podstawę prawną proponowanego rozporządzenia. Artykuł ten przewiduje, że Rada, stanowiąc na wniosek Komisji i po konsultacji z Parlamentem Europejskim oraz Trybunałem Obrachunkowym, określa sposoby i procedurę, według których dochody budżetowe przewidziane w ramach systemu zasobów własnych Unii są pozostawione do dyspozycji Komisji, oraz określa środki stosowane, w razie potrzeby, w celu zaspokojenia potrzeb gotówkowych.  W rzeczywistości to art. 322 ust. 1 określa przepisy dotyczące zasad finansowych, które definiują w</w:t>
      </w:r>
      <w:r w:rsidR="002C75EE">
        <w:t> </w:t>
      </w:r>
      <w:r>
        <w:t>szczególności procedurę, jaką należy przyjąć w celu ustanowienia i wykonania budżetu.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 xml:space="preserve">Z celu i treści proponowanego rozporządzenia wynika, że nie wprowadza ono elementów związanych z ustępem drugim art. 322 TFUE i że ustęp ten jest zatem nieistotny z punktu widzenia celów wniosku. Natomiast art. 322 ust. 1 TFUE obejmuje wszystkie aspekty związane z celem i treścią wniosku w sprawie rozporządzenia finansowego. Dlatego za </w:t>
      </w:r>
      <w:r>
        <w:lastRenderedPageBreak/>
        <w:t>właściwe należy uznać skorygowanie podstawy prawnej poprzez ograniczenie jej do ust.</w:t>
      </w:r>
      <w:r w:rsidR="002C75EE">
        <w:t> </w:t>
      </w:r>
      <w:r>
        <w:t>1 zamiast ust. 2.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  <w:r>
        <w:t>Co do art. 209 ust. 1 TFUE, który obejmuje przepisy dotyczące realizacji polityki w</w:t>
      </w:r>
      <w:r w:rsidR="002C75EE">
        <w:t> </w:t>
      </w:r>
      <w:r>
        <w:t>dziedzinie współpracy na rzecz rozwoju, wydaje się, że warto byłoby wskazać, iż nie zawiera on przepisów podstawy prawnej i dlatego stanowi oczywisty błąd.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VI. Wnioski i zalecenia</w:t>
      </w:r>
    </w:p>
    <w:p w:rsidR="00104F92" w:rsidRPr="00E51FE4" w:rsidRDefault="00104F92" w:rsidP="00104F92">
      <w:pPr>
        <w:autoSpaceDE w:val="0"/>
        <w:autoSpaceDN w:val="0"/>
        <w:adjustRightInd w:val="0"/>
        <w:jc w:val="both"/>
        <w:rPr>
          <w:szCs w:val="24"/>
        </w:rPr>
      </w:pPr>
    </w:p>
    <w:p w:rsidR="00104F92" w:rsidRPr="00E51FE4" w:rsidRDefault="00104F92" w:rsidP="00104F92">
      <w:pPr>
        <w:tabs>
          <w:tab w:val="left" w:pos="0"/>
        </w:tabs>
        <w:jc w:val="both"/>
        <w:rPr>
          <w:szCs w:val="24"/>
        </w:rPr>
      </w:pPr>
      <w:r>
        <w:t>W związku z powyższym jasne jest, że art. 322 TFUE powinien stanowić część podstawy prawnej wniosku, lecz należało wskazać jego ust. 1, w związku z czym wniosek byłby rozpatrywany w ramach zwykłej procedury ustawodawczej. Należy usunąć odniesienie do ust. 2. Z uwagi na treść wniosku wydaje się, że nie ma też żadnego powodu, aby wśród przepisów stanowiących podstawę prawną uwzględniać art. 209 ust. 1 TFUE.</w:t>
      </w:r>
    </w:p>
    <w:p w:rsidR="00104F92" w:rsidRPr="00E51FE4" w:rsidRDefault="00104F92" w:rsidP="00104F92">
      <w:pPr>
        <w:jc w:val="both"/>
        <w:rPr>
          <w:szCs w:val="24"/>
        </w:rPr>
      </w:pPr>
    </w:p>
    <w:p w:rsidR="00104F92" w:rsidRPr="00E51FE4" w:rsidRDefault="00104F92">
      <w:pPr>
        <w:pStyle w:val="Normal12"/>
      </w:pPr>
    </w:p>
    <w:p w:rsidR="001825F2" w:rsidRPr="00E51FE4" w:rsidRDefault="001825F2" w:rsidP="001825F2">
      <w:pPr>
        <w:jc w:val="both"/>
      </w:pPr>
      <w:r>
        <w:t>Na posiedzeniu w dniu 4 maja 2017 r. Komisja Prawna postanowiła 21 głosami za i przy 2</w:t>
      </w:r>
      <w:r w:rsidR="002C75EE">
        <w:t> </w:t>
      </w:r>
      <w:bookmarkStart w:id="0" w:name="_GoBack"/>
      <w:bookmarkEnd w:id="0"/>
      <w:r>
        <w:t>głosach wstrzymujących się</w:t>
      </w:r>
      <w:r w:rsidRPr="00E51FE4">
        <w:rPr>
          <w:rStyle w:val="FootnoteReference"/>
        </w:rPr>
        <w:footnoteReference w:id="6"/>
      </w:r>
      <w:r>
        <w:t xml:space="preserve"> zalecić Komisji Budżetowej i Komisji Kontroli Budżetowej przedstawienie poprawek w celu stosownej zmiany podstawy prawnej.</w:t>
      </w:r>
    </w:p>
    <w:p w:rsidR="001825F2" w:rsidRPr="00E51FE4" w:rsidRDefault="001825F2">
      <w:pPr>
        <w:pStyle w:val="Normal12"/>
      </w:pPr>
    </w:p>
    <w:p w:rsidR="007179A7" w:rsidRPr="00E51FE4" w:rsidRDefault="001F20C0">
      <w:pPr>
        <w:pStyle w:val="Formule2"/>
      </w:pPr>
      <w:r>
        <w:t>Z wyrazami szacunku</w:t>
      </w:r>
      <w:bookmarkStart w:id="3" w:name="DocEPLastPosition"/>
      <w:bookmarkEnd w:id="3"/>
    </w:p>
    <w:p w:rsidR="007179A7" w:rsidRPr="00E51FE4" w:rsidRDefault="003A2EA3">
      <w:pPr>
        <w:pStyle w:val="Signature2"/>
      </w:pPr>
      <w:r>
        <w:t>Pavel Svoboda</w:t>
      </w:r>
    </w:p>
    <w:p w:rsidR="009D564F" w:rsidRPr="00E51FE4" w:rsidRDefault="009D564F">
      <w:pPr>
        <w:pStyle w:val="Signature2"/>
      </w:pPr>
    </w:p>
    <w:sectPr w:rsidR="009D564F" w:rsidRPr="00E51FE4" w:rsidSect="00AE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C0" w:rsidRPr="00E51FE4" w:rsidRDefault="001F20C0">
      <w:r w:rsidRPr="00E51FE4">
        <w:separator/>
      </w:r>
    </w:p>
  </w:endnote>
  <w:endnote w:type="continuationSeparator" w:id="0">
    <w:p w:rsidR="001F20C0" w:rsidRPr="00E51FE4" w:rsidRDefault="001F20C0">
      <w:r w:rsidRPr="00E51F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5B" w:rsidRPr="00E51FE4" w:rsidRDefault="00AE4A5B" w:rsidP="00AE4A5B">
    <w:pPr>
      <w:pStyle w:val="Footer"/>
    </w:pPr>
    <w:r w:rsidRPr="00E51FE4">
      <w:t>PE</w:t>
    </w:r>
    <w:r w:rsidRPr="00E51FE4">
      <w:rPr>
        <w:rStyle w:val="HideTWBExt"/>
        <w:noProof w:val="0"/>
      </w:rPr>
      <w:t>&lt;NoPE&gt;</w:t>
    </w:r>
    <w:r w:rsidRPr="00E51FE4">
      <w:t>604.641</w:t>
    </w:r>
    <w:r w:rsidRPr="00E51FE4">
      <w:rPr>
        <w:rStyle w:val="HideTWBExt"/>
        <w:noProof w:val="0"/>
      </w:rPr>
      <w:t>&lt;/NoPE&gt;&lt;Version&gt;</w:t>
    </w:r>
    <w:r w:rsidRPr="00E51FE4">
      <w:t>v02-00</w:t>
    </w:r>
    <w:r w:rsidRPr="00E51FE4">
      <w:rPr>
        <w:rStyle w:val="HideTWBExt"/>
        <w:noProof w:val="0"/>
      </w:rPr>
      <w:t>&lt;/Version&gt;</w:t>
    </w:r>
    <w:r w:rsidRPr="00E51FE4">
      <w:tab/>
    </w:r>
    <w:r w:rsidRPr="00E51FE4">
      <w:fldChar w:fldCharType="begin"/>
    </w:r>
    <w:r w:rsidRPr="00E51FE4">
      <w:instrText xml:space="preserve"> PAGE  \* MERGEFORMAT </w:instrText>
    </w:r>
    <w:r w:rsidRPr="00E51FE4">
      <w:fldChar w:fldCharType="separate"/>
    </w:r>
    <w:r w:rsidR="002C75EE">
      <w:rPr>
        <w:noProof/>
      </w:rPr>
      <w:t>4</w:t>
    </w:r>
    <w:r w:rsidRPr="00E51FE4">
      <w:fldChar w:fldCharType="end"/>
    </w:r>
    <w:r w:rsidRPr="00E51FE4">
      <w:t>/</w:t>
    </w:r>
    <w:fldSimple w:instr=" NUMPAGES  \* MERGEFORMAT ">
      <w:r w:rsidR="002C75EE">
        <w:rPr>
          <w:noProof/>
        </w:rPr>
        <w:t>5</w:t>
      </w:r>
    </w:fldSimple>
    <w:r w:rsidRPr="00E51FE4">
      <w:tab/>
    </w:r>
    <w:r w:rsidRPr="00E51FE4">
      <w:rPr>
        <w:rStyle w:val="HideTWBExt"/>
        <w:noProof w:val="0"/>
      </w:rPr>
      <w:t>&lt;PathFdR&gt;</w:t>
    </w:r>
    <w:r w:rsidRPr="00E51FE4">
      <w:t>AL\1126470PL.docx</w:t>
    </w:r>
    <w:r w:rsidRPr="00E51FE4">
      <w:rPr>
        <w:rStyle w:val="HideTWBExt"/>
        <w:noProof w:val="0"/>
      </w:rPr>
      <w:t>&lt;/PathFdR&gt;</w:t>
    </w:r>
  </w:p>
  <w:p w:rsidR="00000C7D" w:rsidRPr="00E51FE4" w:rsidRDefault="00AE4A5B" w:rsidP="00AE4A5B">
    <w:pPr>
      <w:pStyle w:val="Footer2"/>
    </w:pPr>
    <w:r w:rsidRPr="00E51FE4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5B" w:rsidRPr="00304C7C" w:rsidRDefault="00AE4A5B" w:rsidP="00AE4A5B">
    <w:pPr>
      <w:pStyle w:val="Footer"/>
      <w:rPr>
        <w:lang w:val="es-ES_tradnl"/>
      </w:rPr>
    </w:pPr>
    <w:r w:rsidRPr="00E51FE4">
      <w:rPr>
        <w:rStyle w:val="HideTWBExt"/>
        <w:noProof w:val="0"/>
      </w:rPr>
      <w:t>&lt;PathFdR&gt;</w:t>
    </w:r>
    <w:r w:rsidRPr="00304C7C">
      <w:rPr>
        <w:lang w:val="es-ES_tradnl"/>
      </w:rPr>
      <w:t>AL\1126470PL.docx</w:t>
    </w:r>
    <w:r w:rsidRPr="00304C7C">
      <w:rPr>
        <w:rStyle w:val="HideTWBExt"/>
        <w:noProof w:val="0"/>
        <w:lang w:val="es-ES_tradnl"/>
      </w:rPr>
      <w:t>&lt;/PathFdR&gt;</w:t>
    </w:r>
    <w:r w:rsidRPr="00304C7C">
      <w:rPr>
        <w:lang w:val="es-ES_tradnl"/>
      </w:rPr>
      <w:tab/>
    </w:r>
    <w:r w:rsidRPr="00E51FE4">
      <w:fldChar w:fldCharType="begin"/>
    </w:r>
    <w:r w:rsidRPr="00304C7C">
      <w:rPr>
        <w:lang w:val="es-ES_tradnl"/>
      </w:rPr>
      <w:instrText xml:space="preserve"> PAGE  \* MERGEFORMAT </w:instrText>
    </w:r>
    <w:r w:rsidRPr="00E51FE4">
      <w:fldChar w:fldCharType="separate"/>
    </w:r>
    <w:r w:rsidR="002C75EE">
      <w:rPr>
        <w:noProof/>
        <w:lang w:val="es-ES_tradnl"/>
      </w:rPr>
      <w:t>5</w:t>
    </w:r>
    <w:r w:rsidRPr="00E51FE4">
      <w:fldChar w:fldCharType="end"/>
    </w:r>
    <w:r w:rsidRPr="00304C7C">
      <w:rPr>
        <w:lang w:val="es-ES_tradnl"/>
      </w:rPr>
      <w:t>/</w:t>
    </w:r>
    <w:r w:rsidR="00305377">
      <w:fldChar w:fldCharType="begin"/>
    </w:r>
    <w:r w:rsidR="00305377" w:rsidRPr="00304C7C">
      <w:rPr>
        <w:lang w:val="es-ES_tradnl"/>
      </w:rPr>
      <w:instrText xml:space="preserve"> NUMPAGES  \* MERGEFORMAT </w:instrText>
    </w:r>
    <w:r w:rsidR="00305377">
      <w:fldChar w:fldCharType="separate"/>
    </w:r>
    <w:r w:rsidR="002C75EE">
      <w:rPr>
        <w:noProof/>
        <w:lang w:val="es-ES_tradnl"/>
      </w:rPr>
      <w:t>5</w:t>
    </w:r>
    <w:r w:rsidR="00305377">
      <w:rPr>
        <w:noProof/>
      </w:rPr>
      <w:fldChar w:fldCharType="end"/>
    </w:r>
    <w:r w:rsidRPr="00304C7C">
      <w:rPr>
        <w:lang w:val="es-ES_tradnl"/>
      </w:rPr>
      <w:tab/>
      <w:t>PE</w:t>
    </w:r>
    <w:r w:rsidRPr="00304C7C">
      <w:rPr>
        <w:rStyle w:val="HideTWBExt"/>
        <w:noProof w:val="0"/>
        <w:lang w:val="es-ES_tradnl"/>
      </w:rPr>
      <w:t>&lt;NoPE&gt;</w:t>
    </w:r>
    <w:r w:rsidRPr="00304C7C">
      <w:rPr>
        <w:lang w:val="es-ES_tradnl"/>
      </w:rPr>
      <w:t>604.641</w:t>
    </w:r>
    <w:r w:rsidRPr="00304C7C">
      <w:rPr>
        <w:rStyle w:val="HideTWBExt"/>
        <w:noProof w:val="0"/>
        <w:lang w:val="es-ES_tradnl"/>
      </w:rPr>
      <w:t>&lt;/NoPE&gt;&lt;Version&gt;</w:t>
    </w:r>
    <w:r w:rsidRPr="00304C7C">
      <w:rPr>
        <w:lang w:val="es-ES_tradnl"/>
      </w:rPr>
      <w:t>v02-00</w:t>
    </w:r>
    <w:r w:rsidRPr="00304C7C">
      <w:rPr>
        <w:rStyle w:val="HideTWBExt"/>
        <w:noProof w:val="0"/>
        <w:lang w:val="es-ES_tradnl"/>
      </w:rPr>
      <w:t>&lt;/Version&gt;</w:t>
    </w:r>
  </w:p>
  <w:p w:rsidR="00000C7D" w:rsidRPr="00304C7C" w:rsidRDefault="00AE4A5B" w:rsidP="00AE4A5B">
    <w:pPr>
      <w:pStyle w:val="Footer2"/>
      <w:rPr>
        <w:lang w:val="es-ES_tradnl"/>
      </w:rPr>
    </w:pPr>
    <w:r w:rsidRPr="00304C7C">
      <w:rPr>
        <w:lang w:val="es-ES_tradnl"/>
      </w:rPr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5B" w:rsidRPr="00304C7C" w:rsidRDefault="00AE4A5B" w:rsidP="00AE4A5B">
    <w:pPr>
      <w:pStyle w:val="Footer"/>
      <w:rPr>
        <w:lang w:val="es-ES_tradnl"/>
      </w:rPr>
    </w:pPr>
    <w:r w:rsidRPr="00304C7C">
      <w:rPr>
        <w:rStyle w:val="HideTWBExt"/>
        <w:noProof w:val="0"/>
        <w:lang w:val="es-ES_tradnl"/>
      </w:rPr>
      <w:t>&lt;PathFdR&gt;</w:t>
    </w:r>
    <w:r w:rsidRPr="00304C7C">
      <w:rPr>
        <w:lang w:val="es-ES_tradnl"/>
      </w:rPr>
      <w:t>AL\1126470PL.docx</w:t>
    </w:r>
    <w:r w:rsidRPr="00304C7C">
      <w:rPr>
        <w:rStyle w:val="HideTWBExt"/>
        <w:noProof w:val="0"/>
        <w:lang w:val="es-ES_tradnl"/>
      </w:rPr>
      <w:t>&lt;/PathFdR&gt;</w:t>
    </w:r>
    <w:r w:rsidRPr="00304C7C">
      <w:rPr>
        <w:lang w:val="es-ES_tradnl"/>
      </w:rPr>
      <w:tab/>
    </w:r>
    <w:r w:rsidRPr="00304C7C">
      <w:rPr>
        <w:lang w:val="es-ES_tradnl"/>
      </w:rPr>
      <w:tab/>
      <w:t>PE</w:t>
    </w:r>
    <w:r w:rsidRPr="00304C7C">
      <w:rPr>
        <w:rStyle w:val="HideTWBExt"/>
        <w:noProof w:val="0"/>
        <w:lang w:val="es-ES_tradnl"/>
      </w:rPr>
      <w:t>&lt;NoPE&gt;</w:t>
    </w:r>
    <w:r w:rsidRPr="00304C7C">
      <w:rPr>
        <w:lang w:val="es-ES_tradnl"/>
      </w:rPr>
      <w:t>604.641</w:t>
    </w:r>
    <w:r w:rsidRPr="00304C7C">
      <w:rPr>
        <w:rStyle w:val="HideTWBExt"/>
        <w:noProof w:val="0"/>
        <w:lang w:val="es-ES_tradnl"/>
      </w:rPr>
      <w:t>&lt;/NoPE&gt;&lt;Version&gt;</w:t>
    </w:r>
    <w:r w:rsidRPr="00304C7C">
      <w:rPr>
        <w:lang w:val="es-ES_tradnl"/>
      </w:rPr>
      <w:t>v02-00</w:t>
    </w:r>
    <w:r w:rsidRPr="00304C7C">
      <w:rPr>
        <w:rStyle w:val="HideTWBExt"/>
        <w:noProof w:val="0"/>
        <w:lang w:val="es-ES_tradnl"/>
      </w:rPr>
      <w:t>&lt;/Version&gt;</w:t>
    </w:r>
  </w:p>
  <w:p w:rsidR="00000C7D" w:rsidRPr="00304C7C" w:rsidRDefault="00AE4A5B" w:rsidP="00AE4A5B">
    <w:pPr>
      <w:pStyle w:val="Footer2"/>
      <w:rPr>
        <w:lang w:val="es-ES_tradnl"/>
      </w:rPr>
    </w:pPr>
    <w:r w:rsidRPr="00304C7C">
      <w:rPr>
        <w:lang w:val="es-ES_tradnl"/>
      </w:rPr>
      <w:t>PL</w:t>
    </w:r>
    <w:r w:rsidRPr="00304C7C">
      <w:rPr>
        <w:lang w:val="es-ES_tradnl"/>
      </w:rP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C0" w:rsidRPr="00E51FE4" w:rsidRDefault="001F20C0">
      <w:r w:rsidRPr="00E51FE4">
        <w:separator/>
      </w:r>
    </w:p>
  </w:footnote>
  <w:footnote w:type="continuationSeparator" w:id="0">
    <w:p w:rsidR="001F20C0" w:rsidRPr="00E51FE4" w:rsidRDefault="001F20C0">
      <w:r w:rsidRPr="00E51FE4">
        <w:continuationSeparator/>
      </w:r>
    </w:p>
  </w:footnote>
  <w:footnote w:id="1">
    <w:p w:rsidR="00104F92" w:rsidRPr="00E51FE4" w:rsidRDefault="00104F92" w:rsidP="00104F92">
      <w:pPr>
        <w:pStyle w:val="FootnoteText"/>
        <w:jc w:val="both"/>
      </w:pPr>
      <w:r w:rsidRPr="00E51FE4">
        <w:rPr>
          <w:rStyle w:val="FootnoteReference"/>
        </w:rPr>
        <w:footnoteRef/>
      </w:r>
      <w:r>
        <w:t xml:space="preserve"> Opinia 2/00 nt. Protokół kartageński, Zb.Orz. [2001], s. I-9713, pkt 3; opinia 1/08 nt. Układ ogólny w sprawie handlu usługami, Zb.Orz. [2009], s. I-01255, pkt 110. </w:t>
      </w:r>
    </w:p>
  </w:footnote>
  <w:footnote w:id="2">
    <w:p w:rsidR="00104F92" w:rsidRPr="00E51FE4" w:rsidRDefault="00104F92" w:rsidP="00104F92">
      <w:pPr>
        <w:pStyle w:val="FootnoteText"/>
        <w:jc w:val="both"/>
      </w:pPr>
      <w:r w:rsidRPr="00E51FE4">
        <w:rPr>
          <w:rStyle w:val="FootnoteReference"/>
        </w:rPr>
        <w:footnoteRef/>
      </w:r>
      <w:r>
        <w:t xml:space="preserve"> Opinia 2/00 nt. Protokół kartageński, Zb.Orz. [2001], s. I-9713, pkt 5; sprawa C-370/07 Komisja przeciwko Radzie, Zb.Orz. [2009], s. I-08917, pkt 46-49; opinia 1/08 nt. Układ ogólny w sprawie handlu usługami, Zb.Orz. [2009], s. I-01255, pkt 110.</w:t>
      </w:r>
    </w:p>
  </w:footnote>
  <w:footnote w:id="3">
    <w:p w:rsidR="00104F92" w:rsidRPr="00E51FE4" w:rsidRDefault="00104F92" w:rsidP="00104F92">
      <w:pPr>
        <w:pStyle w:val="FootnoteText"/>
        <w:jc w:val="both"/>
      </w:pPr>
      <w:r w:rsidRPr="00E51FE4">
        <w:rPr>
          <w:rStyle w:val="FootnoteReference"/>
        </w:rPr>
        <w:footnoteRef/>
      </w:r>
      <w:r>
        <w:t xml:space="preserve"> Sprawa C-411/06 Komisja przeciwko Parlamentowi i Radzie, Zb.Orz. [2009], s. I-7585, pkt 45 i przytoczone tam orzecznictwo oraz sprawa C-130/10 Parlament przeciwko Radzie, Zb.Orz. [2012], pkt 42 i przytoczone tam orzecznictwo.</w:t>
      </w:r>
    </w:p>
  </w:footnote>
  <w:footnote w:id="4">
    <w:p w:rsidR="00104F92" w:rsidRPr="00E51FE4" w:rsidRDefault="00104F92" w:rsidP="00104F92">
      <w:pPr>
        <w:pStyle w:val="FootnoteText"/>
        <w:jc w:val="both"/>
      </w:pPr>
      <w:r w:rsidRPr="00E51FE4">
        <w:rPr>
          <w:rStyle w:val="FootnoteReference"/>
        </w:rPr>
        <w:footnoteRef/>
      </w:r>
      <w:r>
        <w:t xml:space="preserve"> Sprawa C-269/97 Komisja przeciwko Radzie, Zb.Orz. [2000], s. I-2257, pkt 44. </w:t>
      </w:r>
    </w:p>
  </w:footnote>
  <w:footnote w:id="5">
    <w:p w:rsidR="00104F92" w:rsidRPr="00E51FE4" w:rsidRDefault="00104F92" w:rsidP="00104F92">
      <w:pPr>
        <w:pStyle w:val="FootnoteText"/>
        <w:jc w:val="both"/>
      </w:pPr>
      <w:r w:rsidRPr="00E51FE4">
        <w:rPr>
          <w:rStyle w:val="FootnoteReference"/>
        </w:rPr>
        <w:footnoteRef/>
      </w:r>
      <w:r>
        <w:t xml:space="preserve"> Opinia 2/00 nt. Protokół kartageński, Zb.Orz. [2001], s. I-9713, pkt 5.</w:t>
      </w:r>
    </w:p>
  </w:footnote>
  <w:footnote w:id="6">
    <w:p w:rsidR="001825F2" w:rsidRPr="00E51FE4" w:rsidRDefault="001825F2" w:rsidP="001825F2">
      <w:pPr>
        <w:pStyle w:val="FootnoteText"/>
      </w:pPr>
      <w:r w:rsidRPr="00E51FE4">
        <w:rPr>
          <w:rStyle w:val="FootnoteReference"/>
        </w:rPr>
        <w:footnoteRef/>
      </w:r>
      <w:r>
        <w:t xml:space="preserve"> W trakcie głosowania końcowego obecni byli: Pavel Svoboda (</w:t>
      </w:r>
      <w:bookmarkStart w:id="1" w:name="DocEPTmp"/>
      <w:bookmarkEnd w:id="1"/>
      <w:r>
        <w:t>przewodniczący</w:t>
      </w:r>
      <w:bookmarkStart w:id="2" w:name="DocEPTmp2"/>
      <w:bookmarkEnd w:id="2"/>
      <w:r>
        <w:t>), Lidia Joanna Geringer de Oedenberg (wiceprzewodnicząca), Therese Comodini Cachia, Rosa Estaràs Ferragut, Emil RadevMax Andersson, Joëlle Bergeron, Marie-Christine Boutonnet, Kostas Chrysogonos, Therese Comodini Cachia, Rosa Estaràs Ferragut, Enrico Gasbarra, Sylvia-Yvonne Kaufmann, Gilles Lebreton, António Marinho e Pinto, Emil Radev, Julia Reda, Axel Voss, Tadeusz Zwiefka (sprawozdawca) Isabella Adinolfi, Sergio Gaetano Cofferati, Angel Dzhambazki, Jytte Guteland, Constance Le Grip, Jens Rohde, Virginie Rozière, Tiemo Wölken, Kosma Złotowski (zastępcy).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E" w:rsidRDefault="002C7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E" w:rsidRDefault="002C7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E" w:rsidRDefault="002C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A28"/>
    <w:multiLevelType w:val="singleLevel"/>
    <w:tmpl w:val="A01CE988"/>
    <w:lvl w:ilvl="0">
      <w:start w:val="35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866D9D"/>
    <w:multiLevelType w:val="singleLevel"/>
    <w:tmpl w:val="88A23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092F1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DRESSMNU" w:val=" 1"/>
    <w:docVar w:name="CopyToNetwork" w:val="-1"/>
    <w:docVar w:name="LastEditedSection" w:val=" 1"/>
    <w:docVar w:name="strDocTypeID" w:val="AL_JURI"/>
    <w:docVar w:name="strSubDir" w:val="1126"/>
    <w:docVar w:name="TXTLANGUE" w:val="PL"/>
    <w:docVar w:name="TXTLANGUEMIN" w:val="pl"/>
    <w:docVar w:name="TXTNRC" w:val="2016/0282"/>
    <w:docVar w:name="TXTNRCOM" w:val="(2016)0605"/>
    <w:docVar w:name="TXTNRPE" w:val="604.641"/>
    <w:docVar w:name="TXTNRPROC" w:val="2016/0282"/>
    <w:docVar w:name="TXTPEorAP" w:val="PE"/>
    <w:docVar w:name="TXTROUTE" w:val="AL\1126470PL.docx"/>
    <w:docVar w:name="TXTVERSION" w:val="02-00"/>
  </w:docVars>
  <w:rsids>
    <w:rsidRoot w:val="001F20C0"/>
    <w:rsid w:val="00000C7D"/>
    <w:rsid w:val="00035402"/>
    <w:rsid w:val="00104F92"/>
    <w:rsid w:val="0012125F"/>
    <w:rsid w:val="00125D71"/>
    <w:rsid w:val="00152D2D"/>
    <w:rsid w:val="00153B24"/>
    <w:rsid w:val="001825F2"/>
    <w:rsid w:val="001D1646"/>
    <w:rsid w:val="001F20C0"/>
    <w:rsid w:val="00250B0D"/>
    <w:rsid w:val="002C75EE"/>
    <w:rsid w:val="00304C7C"/>
    <w:rsid w:val="00305377"/>
    <w:rsid w:val="00336BE9"/>
    <w:rsid w:val="00370F57"/>
    <w:rsid w:val="003763A3"/>
    <w:rsid w:val="003A2EA3"/>
    <w:rsid w:val="003C6D88"/>
    <w:rsid w:val="00482DA5"/>
    <w:rsid w:val="00493031"/>
    <w:rsid w:val="004D0D33"/>
    <w:rsid w:val="004F676F"/>
    <w:rsid w:val="00501E47"/>
    <w:rsid w:val="00532BAF"/>
    <w:rsid w:val="00571441"/>
    <w:rsid w:val="005901DF"/>
    <w:rsid w:val="005B6F70"/>
    <w:rsid w:val="005E172D"/>
    <w:rsid w:val="007179A7"/>
    <w:rsid w:val="007829F6"/>
    <w:rsid w:val="008157A4"/>
    <w:rsid w:val="008249C6"/>
    <w:rsid w:val="00841B05"/>
    <w:rsid w:val="00845739"/>
    <w:rsid w:val="00853AFA"/>
    <w:rsid w:val="0089799E"/>
    <w:rsid w:val="00912333"/>
    <w:rsid w:val="009D564F"/>
    <w:rsid w:val="00A21F45"/>
    <w:rsid w:val="00AC0580"/>
    <w:rsid w:val="00AE4A5B"/>
    <w:rsid w:val="00B019CD"/>
    <w:rsid w:val="00B02B8F"/>
    <w:rsid w:val="00BA3BE2"/>
    <w:rsid w:val="00CC5A13"/>
    <w:rsid w:val="00CE1655"/>
    <w:rsid w:val="00D87A59"/>
    <w:rsid w:val="00D92A83"/>
    <w:rsid w:val="00E06E46"/>
    <w:rsid w:val="00E51FE4"/>
    <w:rsid w:val="00E71F4C"/>
    <w:rsid w:val="00EC7473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43354B-4C10-41B1-9164-CE4BE60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a12b">
    <w:name w:val="Normal12a12b"/>
    <w:basedOn w:val="Normal"/>
    <w:pPr>
      <w:spacing w:before="240" w:after="240"/>
    </w:p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"/>
    <w:next w:val="Normal"/>
    <w:pPr>
      <w:tabs>
        <w:tab w:val="center" w:pos="4535"/>
        <w:tab w:val="right" w:pos="9071"/>
      </w:tabs>
      <w:spacing w:before="240"/>
    </w:pPr>
    <w:rPr>
      <w:sz w:val="22"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next w:val="Normal"/>
    <w:rsid w:val="004D0D33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PName">
    <w:name w:val="EPName"/>
    <w:basedOn w:val="Normal"/>
    <w:rsid w:val="00CE1655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E165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E1655"/>
    <w:pPr>
      <w:jc w:val="right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rmule2">
    <w:name w:val="Formule2"/>
    <w:basedOn w:val="Normal"/>
    <w:pPr>
      <w:keepNext/>
      <w:tabs>
        <w:tab w:val="left" w:pos="5670"/>
      </w:tabs>
      <w:spacing w:after="1440"/>
    </w:pPr>
  </w:style>
  <w:style w:type="paragraph" w:customStyle="1" w:styleId="SubjectPajuri">
    <w:name w:val="SubjectPajuri"/>
    <w:basedOn w:val="Normal24"/>
    <w:pPr>
      <w:tabs>
        <w:tab w:val="left" w:pos="1418"/>
      </w:tabs>
      <w:spacing w:before="960"/>
      <w:ind w:left="1418" w:hanging="1418"/>
    </w:pPr>
  </w:style>
  <w:style w:type="paragraph" w:customStyle="1" w:styleId="Signature2">
    <w:name w:val="Signature2"/>
    <w:basedOn w:val="Normal24"/>
    <w:pPr>
      <w:tabs>
        <w:tab w:val="left" w:pos="5670"/>
      </w:tabs>
    </w:pPr>
  </w:style>
  <w:style w:type="table" w:styleId="TableGrid">
    <w:name w:val="Table Grid"/>
    <w:basedOn w:val="TableNormal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000C7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000C7D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00C7D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019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19CD"/>
  </w:style>
  <w:style w:type="character" w:styleId="FootnoteReference">
    <w:name w:val="footnote reference"/>
    <w:basedOn w:val="DefaultParagraphFont"/>
    <w:rsid w:val="00B019CD"/>
    <w:rPr>
      <w:vertAlign w:val="superscript"/>
    </w:rPr>
  </w:style>
  <w:style w:type="paragraph" w:styleId="BalloonText">
    <w:name w:val="Balloon Text"/>
    <w:basedOn w:val="Normal"/>
    <w:link w:val="BalloonTextChar"/>
    <w:rsid w:val="00125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pedersen\AppData\Local\Temp\AL_JU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AL_JURI.dot</Template>
  <TotalTime>0</TotalTime>
  <Pages>5</Pages>
  <Words>1441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AL_JURI</vt:lpstr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AL_JURI</dc:title>
  <dc:subject/>
  <dc:creator>PUERTAS BERNARDO Carmen</dc:creator>
  <cp:keywords/>
  <dc:description/>
  <cp:lastModifiedBy>KUBIAK Wioletta</cp:lastModifiedBy>
  <cp:revision>2</cp:revision>
  <cp:lastPrinted>2017-05-05T10:43:00Z</cp:lastPrinted>
  <dcterms:created xsi:type="dcterms:W3CDTF">2017-05-24T14:41:00Z</dcterms:created>
  <dcterms:modified xsi:type="dcterms:W3CDTF">2017-05-24T14:41:00Z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1126470</vt:lpwstr>
  </property>
  <property fmtid="{D5CDD505-2E9C-101B-9397-08002B2CF9AE}" pid="5" name="&lt;Type&gt;">
    <vt:lpwstr>AL</vt:lpwstr>
  </property>
  <property fmtid="{D5CDD505-2E9C-101B-9397-08002B2CF9AE}" pid="6" name="&lt;ModelCod&gt;">
    <vt:lpwstr>\\eiciBRUpr1\pdocep$\DocEP\DOCS\General\AL\AL_JURI.dot(17/02/2016 11:46:09)</vt:lpwstr>
  </property>
  <property fmtid="{D5CDD505-2E9C-101B-9397-08002B2CF9AE}" pid="7" name="&lt;ModelTra&gt;">
    <vt:lpwstr>\\eiciBRUpr1\pdocep$\DocEP\TRANSFIL\EN\AL_JURI.EN(26/05/2015 07:20:27)</vt:lpwstr>
  </property>
  <property fmtid="{D5CDD505-2E9C-101B-9397-08002B2CF9AE}" pid="8" name="&lt;Model&gt;">
    <vt:lpwstr>AL_JURI</vt:lpwstr>
  </property>
  <property fmtid="{D5CDD505-2E9C-101B-9397-08002B2CF9AE}" pid="9" name="FooterPath">
    <vt:lpwstr>AL\1126470PL.docx</vt:lpwstr>
  </property>
  <property fmtid="{D5CDD505-2E9C-101B-9397-08002B2CF9AE}" pid="10" name="PE Number">
    <vt:lpwstr>604.641</vt:lpwstr>
  </property>
  <property fmtid="{D5CDD505-2E9C-101B-9397-08002B2CF9AE}" pid="11" name="SendToEpades">
    <vt:lpwstr>OK - 2017/05/22 12:09</vt:lpwstr>
  </property>
  <property fmtid="{D5CDD505-2E9C-101B-9397-08002B2CF9AE}" pid="12" name="SubscribeElise">
    <vt:lpwstr/>
  </property>
  <property fmtid="{D5CDD505-2E9C-101B-9397-08002B2CF9AE}" pid="13" name="Bookout">
    <vt:lpwstr>OK - 2017/05/24 16:40</vt:lpwstr>
  </property>
  <property fmtid="{D5CDD505-2E9C-101B-9397-08002B2CF9AE}" pid="14" name="SDLStudio">
    <vt:lpwstr>YES</vt:lpwstr>
  </property>
  <property fmtid="{D5CDD505-2E9C-101B-9397-08002B2CF9AE}" pid="15" name="&lt;Extension&gt;">
    <vt:lpwstr>PL</vt:lpwstr>
  </property>
</Properties>
</file>