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D28F4" w:rsidTr="00C85D0F">
        <w:trPr>
          <w:trHeight w:hRule="exact" w:val="1418"/>
        </w:trPr>
        <w:tc>
          <w:tcPr>
            <w:tcW w:w="6804" w:type="dxa"/>
            <w:shd w:val="clear" w:color="auto" w:fill="auto"/>
            <w:vAlign w:val="center"/>
          </w:tcPr>
          <w:p w:rsidR="00E4751A" w:rsidRPr="00B937C5" w:rsidRDefault="00207C1B" w:rsidP="00C85D0F">
            <w:pPr>
              <w:pStyle w:val="EPName"/>
            </w:pPr>
            <w:bookmarkStart w:id="0" w:name="_GoBack"/>
            <w:bookmarkEnd w:id="0"/>
            <w:r>
              <w:t>Evropski parlament</w:t>
            </w:r>
          </w:p>
          <w:p w:rsidR="00E4751A" w:rsidRPr="003238EC" w:rsidRDefault="00207C1B" w:rsidP="003238EC">
            <w:pPr>
              <w:pStyle w:val="EPTerm"/>
            </w:pPr>
            <w:r>
              <w:t>2019-2024</w:t>
            </w:r>
          </w:p>
        </w:tc>
        <w:tc>
          <w:tcPr>
            <w:tcW w:w="2268" w:type="dxa"/>
            <w:shd w:val="clear" w:color="auto" w:fill="auto"/>
          </w:tcPr>
          <w:p w:rsidR="00E4751A" w:rsidRPr="00B937C5" w:rsidRDefault="00207C1B" w:rsidP="00C85D0F">
            <w:pPr>
              <w:pStyle w:val="EPLogo"/>
            </w:pPr>
            <w:r w:rsidRPr="00B937C5">
              <w:rPr>
                <w:lang w:eastAsia="sl-SI"/>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19813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0856B6" w:rsidRPr="00B937C5" w:rsidRDefault="000856B6" w:rsidP="000856B6">
      <w:pPr>
        <w:pStyle w:val="LineTop"/>
      </w:pPr>
    </w:p>
    <w:p w:rsidR="000856B6" w:rsidRPr="00B937C5" w:rsidRDefault="00207C1B" w:rsidP="000856B6">
      <w:pPr>
        <w:pStyle w:val="EPBody"/>
      </w:pPr>
      <w:r>
        <w:rPr>
          <w:rStyle w:val="HideTWBExt"/>
          <w:noProof w:val="0"/>
        </w:rPr>
        <w:t>&lt;</w:t>
      </w:r>
      <w:r>
        <w:rPr>
          <w:rStyle w:val="HideTWBExt"/>
          <w:i w:val="0"/>
          <w:noProof w:val="0"/>
        </w:rPr>
        <w:t>Commission</w:t>
      </w:r>
      <w:r>
        <w:rPr>
          <w:rStyle w:val="HideTWBExt"/>
          <w:noProof w:val="0"/>
        </w:rPr>
        <w:t>&gt;</w:t>
      </w:r>
      <w:r>
        <w:rPr>
          <w:rStyle w:val="HideTWBInt"/>
          <w:color w:val="auto"/>
        </w:rPr>
        <w:t>{LIBE}</w:t>
      </w:r>
      <w:r>
        <w:t>Odbor za državljanske svoboščine, pravosodje in notranje zadeve</w:t>
      </w:r>
      <w:r>
        <w:rPr>
          <w:rStyle w:val="HideTWBExt"/>
          <w:noProof w:val="0"/>
        </w:rPr>
        <w:t>&lt;/</w:t>
      </w:r>
      <w:r>
        <w:rPr>
          <w:rStyle w:val="HideTWBExt"/>
          <w:i w:val="0"/>
          <w:noProof w:val="0"/>
        </w:rPr>
        <w:t>Commission</w:t>
      </w:r>
      <w:r>
        <w:rPr>
          <w:rStyle w:val="HideTWBExt"/>
          <w:noProof w:val="0"/>
        </w:rPr>
        <w:t>&gt;</w:t>
      </w:r>
    </w:p>
    <w:p w:rsidR="000856B6" w:rsidRPr="00B937C5" w:rsidRDefault="000856B6" w:rsidP="000856B6">
      <w:pPr>
        <w:pStyle w:val="LineBottom"/>
      </w:pPr>
    </w:p>
    <w:p w:rsidR="00D6787A" w:rsidRPr="00B937C5" w:rsidRDefault="00207C1B" w:rsidP="00D6787A">
      <w:pPr>
        <w:pStyle w:val="CoverReference"/>
      </w:pPr>
      <w:r>
        <w:rPr>
          <w:rStyle w:val="HideTWBExt"/>
          <w:b w:val="0"/>
          <w:noProof w:val="0"/>
        </w:rPr>
        <w:t>&lt;RefProc&gt;</w:t>
      </w:r>
      <w:r>
        <w:t>2020/1998</w:t>
      </w:r>
      <w:r>
        <w:rPr>
          <w:rStyle w:val="HideTWBExt"/>
          <w:b w:val="0"/>
          <w:noProof w:val="0"/>
        </w:rPr>
        <w:t>&lt;/RefProc&gt;&lt;RefTypeProc&gt;</w:t>
      </w:r>
      <w:r>
        <w:t>(BUD)</w:t>
      </w:r>
      <w:r>
        <w:rPr>
          <w:rStyle w:val="HideTWBExt"/>
          <w:b w:val="0"/>
          <w:noProof w:val="0"/>
        </w:rPr>
        <w:t>&lt;/RefTypeProc&gt;</w:t>
      </w:r>
    </w:p>
    <w:p w:rsidR="00D6787A" w:rsidRPr="00B937C5" w:rsidRDefault="00207C1B" w:rsidP="00D6787A">
      <w:pPr>
        <w:pStyle w:val="CoverDate"/>
      </w:pPr>
      <w:r>
        <w:rPr>
          <w:rStyle w:val="HideTWBExt"/>
          <w:noProof w:val="0"/>
        </w:rPr>
        <w:t>&lt;Date&gt;</w:t>
      </w:r>
      <w:r>
        <w:rPr>
          <w:rStyle w:val="HideTWBInt"/>
          <w:color w:val="auto"/>
        </w:rPr>
        <w:t>{17/08/2020}</w:t>
      </w:r>
      <w:r>
        <w:t>17.8.2020</w:t>
      </w:r>
      <w:r>
        <w:rPr>
          <w:rStyle w:val="HideTWBExt"/>
          <w:noProof w:val="0"/>
        </w:rPr>
        <w:t>&lt;/Date&gt;</w:t>
      </w:r>
    </w:p>
    <w:p w:rsidR="00860E96" w:rsidRPr="00B937C5" w:rsidRDefault="00207C1B" w:rsidP="00860E96">
      <w:pPr>
        <w:pStyle w:val="CoverDocType"/>
      </w:pPr>
      <w:r>
        <w:rPr>
          <w:rStyle w:val="HideTWBExt"/>
          <w:b w:val="0"/>
          <w:noProof w:val="0"/>
        </w:rPr>
        <w:t>&lt;TypeAM&gt;</w:t>
      </w:r>
      <w:r>
        <w:t>PREDLOGI SPREMEMB</w:t>
      </w:r>
      <w:r>
        <w:rPr>
          <w:rStyle w:val="HideTWBExt"/>
          <w:b w:val="0"/>
          <w:noProof w:val="0"/>
        </w:rPr>
        <w:t>&lt;/TypeAM&gt;</w:t>
      </w:r>
    </w:p>
    <w:p w:rsidR="00D6787A" w:rsidRPr="00B937C5" w:rsidRDefault="00207C1B" w:rsidP="00D6787A">
      <w:pPr>
        <w:pStyle w:val="CoverDocType24a"/>
      </w:pPr>
      <w:r>
        <w:rPr>
          <w:rStyle w:val="HideTWBExt"/>
          <w:b w:val="0"/>
          <w:noProof w:val="0"/>
        </w:rPr>
        <w:t>&lt;RangeAM&gt;</w:t>
      </w:r>
      <w:r>
        <w:t>1–44</w:t>
      </w:r>
      <w:r>
        <w:rPr>
          <w:rStyle w:val="HideTWBExt"/>
          <w:b w:val="0"/>
          <w:noProof w:val="0"/>
        </w:rPr>
        <w:t>&lt;/RangeAM&gt;</w:t>
      </w:r>
    </w:p>
    <w:p w:rsidR="00D6787A" w:rsidRPr="00B937C5" w:rsidRDefault="00207C1B" w:rsidP="00EF70AC">
      <w:pPr>
        <w:pStyle w:val="CoverBold"/>
      </w:pPr>
      <w:r>
        <w:rPr>
          <w:rStyle w:val="HideTWBExt"/>
          <w:b w:val="0"/>
          <w:noProof w:val="0"/>
        </w:rPr>
        <w:t>&lt;TitreType&gt;</w:t>
      </w:r>
      <w:r>
        <w:t>Osnutek mnenja</w:t>
      </w:r>
      <w:r>
        <w:rPr>
          <w:rStyle w:val="HideTWBExt"/>
          <w:b w:val="0"/>
          <w:noProof w:val="0"/>
        </w:rPr>
        <w:t>&lt;/TitreType&gt;</w:t>
      </w:r>
    </w:p>
    <w:p w:rsidR="00D6787A" w:rsidRPr="00B937C5" w:rsidRDefault="00207C1B" w:rsidP="00EF70AC">
      <w:pPr>
        <w:pStyle w:val="CoverBold"/>
      </w:pPr>
      <w:r>
        <w:rPr>
          <w:rStyle w:val="HideTWBExt"/>
          <w:b w:val="0"/>
          <w:noProof w:val="0"/>
        </w:rPr>
        <w:t>&lt;Rapporteur&gt;</w:t>
      </w:r>
      <w:r>
        <w:t>Karlo Ressler</w:t>
      </w:r>
      <w:r>
        <w:rPr>
          <w:rStyle w:val="HideTWBExt"/>
          <w:b w:val="0"/>
          <w:noProof w:val="0"/>
        </w:rPr>
        <w:t>&lt;/Rapporteur&gt;</w:t>
      </w:r>
    </w:p>
    <w:p w:rsidR="00390616" w:rsidRPr="00B937C5" w:rsidRDefault="00207C1B" w:rsidP="00390616">
      <w:pPr>
        <w:pStyle w:val="CoverNormal24a"/>
      </w:pPr>
      <w:r>
        <w:rPr>
          <w:rStyle w:val="HideTWBExt"/>
          <w:noProof w:val="0"/>
        </w:rPr>
        <w:t>&lt;DocRefPE&gt;</w:t>
      </w:r>
      <w:r>
        <w:t>(PE654.091v01-00)</w:t>
      </w:r>
      <w:r>
        <w:rPr>
          <w:rStyle w:val="HideTWBExt"/>
          <w:noProof w:val="0"/>
        </w:rPr>
        <w:t>&lt;/DocRefPE&gt;</w:t>
      </w:r>
    </w:p>
    <w:p w:rsidR="00D6787A" w:rsidRPr="00B937C5" w:rsidRDefault="00207C1B" w:rsidP="00D6787A">
      <w:pPr>
        <w:pStyle w:val="CoverNormal"/>
      </w:pPr>
      <w:r>
        <w:rPr>
          <w:rStyle w:val="HideTWBExt"/>
          <w:noProof w:val="0"/>
        </w:rPr>
        <w:t>&lt;Titre&gt;</w:t>
      </w:r>
      <w:r>
        <w:t>Splošni proračun Evropske unije za proračunsko leto 2021 – vsi oddelki</w:t>
      </w:r>
      <w:r>
        <w:rPr>
          <w:rStyle w:val="HideTWBExt"/>
          <w:noProof w:val="0"/>
        </w:rPr>
        <w:t>&lt;/Titre&gt;</w:t>
      </w:r>
    </w:p>
    <w:p w:rsidR="00D6787A" w:rsidRPr="00B937C5" w:rsidRDefault="00207C1B" w:rsidP="00D6787A">
      <w:pPr>
        <w:pStyle w:val="CoverNormal24a"/>
      </w:pPr>
      <w:r>
        <w:rPr>
          <w:rStyle w:val="HideTWBExt"/>
          <w:noProof w:val="0"/>
        </w:rPr>
        <w:t>&lt;DocRef&gt;</w:t>
      </w:r>
      <w:r>
        <w:t>(2020/1998(BUD))</w:t>
      </w:r>
      <w:r>
        <w:rPr>
          <w:rStyle w:val="HideTWBExt"/>
          <w:noProof w:val="0"/>
        </w:rPr>
        <w:t>&lt;/DocRef&gt;</w:t>
      </w:r>
    </w:p>
    <w:p w:rsidR="00D6787A" w:rsidRPr="00B937C5" w:rsidRDefault="00207C1B" w:rsidP="00A818D8">
      <w:pPr>
        <w:widowControl/>
        <w:tabs>
          <w:tab w:val="center" w:pos="4677"/>
        </w:tabs>
      </w:pPr>
      <w:r>
        <w:br w:type="page"/>
      </w:r>
      <w:r>
        <w:lastRenderedPageBreak/>
        <w:t>AM_Com_NonLegOpinion</w:t>
      </w:r>
    </w:p>
    <w:p w:rsidR="003238EC" w:rsidRPr="00B937C5" w:rsidRDefault="00207C1B" w:rsidP="003238EC">
      <w:pPr>
        <w:pStyle w:val="AmNumberTabs"/>
        <w:keepNext/>
      </w:pPr>
      <w:r>
        <w:br w:type="page"/>
      </w:r>
    </w:p>
    <w:p w:rsidR="003238EC" w:rsidRDefault="00207C1B" w:rsidP="003238EC">
      <w:pPr>
        <w:pStyle w:val="AmNumberTabs"/>
      </w:pPr>
      <w:r>
        <w:rPr>
          <w:rStyle w:val="HideTWBExt"/>
          <w:noProof w:val="0"/>
        </w:rPr>
        <w:t>&lt;RepeatBlock-Amend&gt;&lt;Amend&gt;</w:t>
      </w:r>
      <w:r>
        <w:t>Predlog spremembe</w:t>
      </w:r>
      <w:r>
        <w:tab/>
      </w:r>
      <w:r>
        <w:tab/>
      </w:r>
      <w:r>
        <w:rPr>
          <w:rStyle w:val="HideTWBExt"/>
          <w:noProof w:val="0"/>
        </w:rPr>
        <w:t>&lt;NumAm&gt;</w:t>
      </w:r>
      <w:r>
        <w:t>1</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w:t>
            </w:r>
            <w:r>
              <w:tab/>
              <w:t>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za spodbujanje in zaščito vrednot Unije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c>
          <w:tcPr>
            <w:tcW w:w="4876" w:type="dxa"/>
          </w:tcPr>
          <w:p w:rsidR="003238EC" w:rsidRDefault="00207C1B" w:rsidP="005B17FE">
            <w:pPr>
              <w:pStyle w:val="Normal6a"/>
            </w:pPr>
            <w:r>
              <w:t>1.</w:t>
            </w:r>
            <w:r>
              <w:tab/>
              <w:t>obžaluje, da je predlagani znesek za prevzem obveznosti v sklopu programa za državljanstvo, enakost, pravice in vrednote v višini 90.600.000 EUR veliko nižji, kot je prvotno zahteval Parlament</w:t>
            </w:r>
            <w:r>
              <w:rPr>
                <w:b/>
                <w:i/>
              </w:rPr>
              <w:t>, in sicer so sredstva za prevzem obveznosti v primerjavi z letom 2020 nižja za 9,9 %, sredstva za plačila pa za 17,8 %</w:t>
            </w:r>
            <w:r>
              <w:t>; v skladu s stališčem Parlamenta, sprejetim v prvi obravnavi 17. aprila 2019, zahteva, da se sredstva za prevzem obveznosti povišajo na 265.000.000 EUR in da se ustvari nova proračunska vrstica za spodbujanje in zaščito vrednot Unije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w:t>
            </w:r>
            <w:r>
              <w:tab/>
              <w:t>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za spodbujanje in zaščito vrednot Unije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c>
          <w:tcPr>
            <w:tcW w:w="4876" w:type="dxa"/>
          </w:tcPr>
          <w:p w:rsidR="003238EC" w:rsidRDefault="00207C1B" w:rsidP="005B17FE">
            <w:pPr>
              <w:pStyle w:val="Normal6a"/>
            </w:pPr>
            <w:r>
              <w:t>1.</w:t>
            </w:r>
            <w:r>
              <w:tab/>
              <w:t xml:space="preserve">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za spodbujanje in zaščito vrednot Unije (s 120.000.000 EUR za prevzem obveznosti); na osnovi delnega dogovora s Svetom poziva k povečanju sredstev za prevzem obveznosti v proračunski vrstici programa Daphne na 37.100.000 EUR in k oblikovanju nove podvrstice za boj proti vsem oblikam nasilja na podlagi spola </w:t>
            </w:r>
            <w:r>
              <w:rPr>
                <w:b/>
                <w:i/>
              </w:rPr>
              <w:t>zoper ženske in dekleta ter nasilja v družini</w:t>
            </w:r>
            <w:r>
              <w:t>,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w:t>
            </w:r>
            <w:r>
              <w:tab/>
              <w:t>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za spodbujanje in zaščito vrednot Unije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c>
          <w:tcPr>
            <w:tcW w:w="4876" w:type="dxa"/>
          </w:tcPr>
          <w:p w:rsidR="003238EC" w:rsidRDefault="00207C1B" w:rsidP="005B17FE">
            <w:pPr>
              <w:pStyle w:val="Normal6a"/>
            </w:pPr>
            <w:r>
              <w:t>1.</w:t>
            </w:r>
            <w:r>
              <w:tab/>
            </w:r>
            <w:r>
              <w:rPr>
                <w:b/>
                <w:i/>
              </w:rPr>
              <w:t>močno</w:t>
            </w:r>
            <w:r>
              <w:rPr>
                <w:i/>
              </w:rPr>
              <w:t xml:space="preserve"> </w:t>
            </w:r>
            <w:r>
              <w:t>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za spodbujanje in zaščito vrednot Unije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4</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w:t>
            </w:r>
            <w:r>
              <w:tab/>
              <w:t xml:space="preserve">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w:t>
            </w:r>
            <w:r>
              <w:rPr>
                <w:b/>
                <w:i/>
              </w:rPr>
              <w:t>za spodbujanje in zaščito vrednot</w:t>
            </w:r>
            <w:r>
              <w:t xml:space="preserve"> Unije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c>
          <w:tcPr>
            <w:tcW w:w="4876" w:type="dxa"/>
          </w:tcPr>
          <w:p w:rsidR="003238EC" w:rsidRDefault="00207C1B" w:rsidP="005B17FE">
            <w:pPr>
              <w:pStyle w:val="Normal6a"/>
            </w:pPr>
            <w:r>
              <w:t>1.</w:t>
            </w:r>
            <w:r>
              <w:tab/>
              <w:t xml:space="preserve">obžaluje, da je predlagani znesek za prevzem obveznosti v sklopu programa za državljanstvo, enakost, pravice in vrednote v višini 90.600.000 EUR veliko nižji, kot je prvotno zahteval Parlament; v skladu s stališčem Parlamenta, sprejetim v prvi obravnavi 17. aprila 2019, zahteva, da se sredstva za prevzem obveznosti povišajo na 265.000.000 EUR in da se ustvari nova proračunska vrstica </w:t>
            </w:r>
            <w:r>
              <w:rPr>
                <w:b/>
                <w:i/>
              </w:rPr>
              <w:t>„Vrednote</w:t>
            </w:r>
            <w:r>
              <w:t xml:space="preserve"> Unije</w:t>
            </w:r>
            <w:r>
              <w:rPr>
                <w:b/>
                <w:i/>
              </w:rPr>
              <w:t>“</w:t>
            </w:r>
            <w:r>
              <w:t xml:space="preserve"> (s 120.000.000 EUR za prevzem obveznosti); na osnovi delnega dogovora s Svetom poziva k povečanju sredstev za prevzem obveznosti v proračunski vrstici programa Daphne na 37.100.000 EUR in k oblikovanju nove podvrstice za boj proti vsem oblikam nasilja na podlagi spola, za katero bo od tega skupnega zneska namenjenih 27.300.000 EUR; poziva tudi k povečanju sredstev za prevzem obveznosti v proračunski vrstici „Spodbujanje udeležbe in sodelovanja državljanov v demokratičnem življenju Unije“ na 70.600.000 EUR, preimenovanju proračunske vrstice „Spodbujanje enakosti in pravic“ v „Spodbujanje enakosti, pravic in enakosti spolov“ ter k rezervaciji 10.300.000 EUR za spodbujanje enakosti spolov in vključevanje načela enakosti spolov v novi podvrstici;</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5</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1a.</w:t>
            </w:r>
            <w:r>
              <w:tab/>
            </w:r>
            <w:r>
              <w:rPr>
                <w:b/>
                <w:i/>
              </w:rPr>
              <w:t>poziva Komisijo, naj proračunski vrstici prihodnjega Sklada za azil, migracije in vključevanje ter prihodnjega instrumenta za upravljanje meja in vizume oblikuje ob upoštevanju posebnih ciljev teh skladov, da bi proračunskemu organu olajšala delo pri nadzoru nad njunim izvajanjem, s tem pa prispevala k pošteni in pregledni porazdelitvi financiranja med različnimi cilji skladov ter k razvidnosti in transparentnosti vsakoletnega dodeljevanja finančnih sredstev; poziva k povečanju sredstev Sklada za azil, migracije in vključevanje, in sicer obveznosti in plačil za 14 %, ter k večji podpori za njegove cilje na področju skupnega evropskega azilnega sistema, zakonitih migracij, vključevanja in solidarnosti;</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6</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1a.</w:t>
            </w:r>
            <w:r>
              <w:tab/>
            </w:r>
            <w:r>
              <w:rPr>
                <w:b/>
                <w:i/>
              </w:rPr>
              <w:t>znova opozarja, da je neodvisno in kakovostno preiskovalno novinarstvo bistvena sestavina dobro delujoče demokracije, saj proizvaja kakovostne in z dejstvi podprte informacije, se bori proti dezinformacijam, ozavešča državljane ter razkriva krivice in kazniva dejanja; poudarja, da se novinarstvo v Evropi sooča z velikimi izzivi, zlasti pomanjkanjem denarja, zaradi česar sta ogrožena njegova neodvisnost in preživetje; poziva k ambicioznim programom financiranja iz evropskega proračuna za to področje;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7</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1a.</w:t>
            </w:r>
            <w:r>
              <w:tab/>
            </w:r>
            <w:r>
              <w:rPr>
                <w:b/>
                <w:i/>
              </w:rPr>
              <w:t>v skladu s stališčem Evropskega parlamenta iz prve obravnave z dne 13. marca 2019 o predlogu za Sklad za migracije, azil in vključevanje poziva k uvedbi ločene proračunske vrstice za vsak posebni cilj tega sklada, da bi povečali preglednost ter zagotovili zadostno financiranje posameznih ciljev in boljši proračunski nadzor;</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8</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1a.</w:t>
            </w:r>
            <w:r>
              <w:tab/>
            </w:r>
            <w:r>
              <w:rPr>
                <w:b/>
                <w:i/>
              </w:rPr>
              <w:t>meni, da bi morale biti proračunske vrstice Sklada za migracije, azil in vključevanje ločene, da bo dodeljevanje finančnih sredstev za različne posebne cilje sklada preglednejše;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9</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 b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1b.</w:t>
            </w:r>
            <w:r>
              <w:tab/>
            </w:r>
            <w:r>
              <w:rPr>
                <w:b/>
                <w:i/>
              </w:rPr>
              <w:t>obžaluje nesorazmerno povečanje sredstev za instrument za upravljanje meja in vizume, medtem ko se druge proračunske vrstice, na primer za pravice in vrednote, zmanjšujejo in je vse več dokazov o kršitvah temeljnih pravic; zato poziva, da se ta sredstva obnovijo na raven iz leta 2020, Komisija pa naj uporabi svoja pooblastila in zagotovi, da bodo pri uporabi finančnih sredstev EU spoštovane temeljne pravice;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10</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 b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1b.</w:t>
            </w:r>
            <w:r>
              <w:tab/>
            </w:r>
            <w:r>
              <w:rPr>
                <w:b/>
                <w:i/>
              </w:rPr>
              <w:t>meni, da bi bilo treba namesto sedanjega ad hoc sprejemanja odločitev izbrati dolgoročnejši pristop k operacijam iskanja in reševanja; zato predlaga uvedbo nove proračunske vrstice za Sklad EU za iskanje in reševanje, da bi države članice spodbudili k darovanju sredstev za te operacije;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11</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2.</w:t>
            </w:r>
            <w:r>
              <w:tab/>
              <w:t xml:space="preserve">je seznanjen z manjšim, 3-odstotnim povečanjem sredstev za obveznosti in plačila Agencije Evropske unije za usposabljanje na področju preprečevanja, odkrivanja in preiskovanja kaznivih dejanj (CEPOL); zahteva dodatno povečanje z 10.400.000 EUR na </w:t>
            </w:r>
            <w:r>
              <w:rPr>
                <w:b/>
                <w:i/>
              </w:rPr>
              <w:t>17.100.000</w:t>
            </w:r>
            <w:r>
              <w:t xml:space="preserve"> EUR in dodatnih </w:t>
            </w:r>
            <w:r>
              <w:rPr>
                <w:b/>
                <w:i/>
              </w:rPr>
              <w:t>23</w:t>
            </w:r>
            <w:r>
              <w:t xml:space="preserve"> delovnih mest v kadrovskem načrtu agencije; </w:t>
            </w:r>
            <w:r>
              <w:rPr>
                <w:b/>
                <w:i/>
              </w:rPr>
              <w:t>poudarja</w:t>
            </w:r>
            <w:r>
              <w:t xml:space="preserve">, da </w:t>
            </w:r>
            <w:r>
              <w:rPr>
                <w:b/>
                <w:i/>
              </w:rPr>
              <w:t>bodo</w:t>
            </w:r>
            <w:r>
              <w:t xml:space="preserve"> dodatna </w:t>
            </w:r>
            <w:r>
              <w:rPr>
                <w:b/>
                <w:i/>
              </w:rPr>
              <w:t>finančna</w:t>
            </w:r>
            <w:r>
              <w:t xml:space="preserve"> sredstva agenciji </w:t>
            </w:r>
            <w:r>
              <w:rPr>
                <w:b/>
                <w:i/>
              </w:rPr>
              <w:t>omogočila izpolniti</w:t>
            </w:r>
            <w:r>
              <w:t xml:space="preserve"> vse številnejše zahteve držav članic;</w:t>
            </w:r>
          </w:p>
        </w:tc>
        <w:tc>
          <w:tcPr>
            <w:tcW w:w="4876" w:type="dxa"/>
          </w:tcPr>
          <w:p w:rsidR="003238EC" w:rsidRDefault="00207C1B" w:rsidP="005B17FE">
            <w:pPr>
              <w:pStyle w:val="Normal6a"/>
            </w:pPr>
            <w:r>
              <w:t>2.</w:t>
            </w:r>
            <w:r>
              <w:tab/>
              <w:t xml:space="preserve">je seznanjen z manjšim, 3-odstotnim povečanjem sredstev za obveznosti in plačila Agencije Evropske unije za usposabljanje na področju preprečevanja, odkrivanja in preiskovanja kaznivih dejanj (CEPOL); zahteva dodatno povečanje z 10.400.000 EUR na </w:t>
            </w:r>
            <w:r>
              <w:rPr>
                <w:b/>
                <w:i/>
              </w:rPr>
              <w:t>15.429.951</w:t>
            </w:r>
            <w:r>
              <w:t xml:space="preserve"> EUR in dodatnih </w:t>
            </w:r>
            <w:r>
              <w:rPr>
                <w:b/>
                <w:i/>
              </w:rPr>
              <w:t>18</w:t>
            </w:r>
            <w:r>
              <w:t xml:space="preserve"> delovnih mest v kadrovskem načrtu agencije; </w:t>
            </w:r>
            <w:r>
              <w:rPr>
                <w:b/>
                <w:i/>
              </w:rPr>
              <w:t>meni</w:t>
            </w:r>
            <w:r>
              <w:t xml:space="preserve">, da </w:t>
            </w:r>
            <w:r>
              <w:rPr>
                <w:b/>
                <w:i/>
              </w:rPr>
              <w:t>bi morala</w:t>
            </w:r>
            <w:r>
              <w:t xml:space="preserve"> dodatna sredstva agenciji </w:t>
            </w:r>
            <w:r>
              <w:rPr>
                <w:b/>
                <w:i/>
              </w:rPr>
              <w:t>omogočiti, da pospeši usposabljanje o raznolikosti in</w:t>
            </w:r>
            <w:r>
              <w:t xml:space="preserve"> </w:t>
            </w:r>
            <w:r>
              <w:rPr>
                <w:b/>
                <w:i/>
              </w:rPr>
              <w:t>izpolni</w:t>
            </w:r>
            <w:r>
              <w:t xml:space="preserve"> vse številnejše zahteve držav članic;</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12</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3.</w:t>
            </w:r>
            <w:r>
              <w:tab/>
              <w:t>je seznanjen z manjšim povečanjem (+0,5 %) sredstev za prevzem obveznosti in plačila programa za pravosodje; v skladu s stališčem o finančnih sredstvih programa za pravosodje, ki ga je Evropski parlament izrazil v resoluciji z dne 14. novembra 2018 o večletnem finančnem okviru 2021–2027, zahteva dodatno povečanje finančnih sredstev programa v letu 2021, in sicer za 6.800.000 EUR, tako da bodo skupaj znašala 50.500.000 EUR;</w:t>
            </w:r>
          </w:p>
        </w:tc>
        <w:tc>
          <w:tcPr>
            <w:tcW w:w="4876" w:type="dxa"/>
          </w:tcPr>
          <w:p w:rsidR="003238EC" w:rsidRDefault="00207C1B" w:rsidP="005B17FE">
            <w:pPr>
              <w:pStyle w:val="Normal6a"/>
            </w:pPr>
            <w:r>
              <w:t>3.</w:t>
            </w:r>
            <w:r>
              <w:tab/>
              <w:t xml:space="preserve">je seznanjen z manjšim povečanjem (+0,5 %) sredstev za prevzem obveznosti in plačila programa za pravosodje; v skladu s stališčem o finančnih sredstvih programa za pravosodje, ki ga je Evropski parlament izrazil v resoluciji z dne 14. novembra 2018 o večletnem finančnem okviru 2021–2027, zahteva dodatno povečanje finančnih sredstev programa v letu 2021, in sicer za 6.800.000 EUR, tako da bodo skupaj znašala 50.500.000 EUR; </w:t>
            </w:r>
            <w:r>
              <w:rPr>
                <w:b/>
                <w:i/>
              </w:rPr>
              <w:t>poudarja, da je pravosodje ključna sestavina varnostne unije, za kakršno se zavzema predsednica Evropske komisije, in da bi bilo treba pravosodno sodelovanje poglobiti s pomočjo evropskih agencij na področju pravosodja in notranjih zadev, zlasti v boju proti organiziranemu kriminalu in terorizmu;</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13</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3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3a.</w:t>
            </w:r>
            <w:r>
              <w:tab/>
            </w:r>
            <w:r>
              <w:rPr>
                <w:b/>
                <w:i/>
              </w:rPr>
              <w:t>je zaskrbljen zaradi zmanjšanja (–10,2 %) sredstev za prevzem obveznosti za Sklad za azil in migracije v času, ko so pritiski na državne azilne organe še vedno zelo veliki, obstajajo pa tudi hude pomanjkljivosti pri sprejemu prosilcev za azil in precejšnje zamude v azilnih postopkih v državah članicah; znova poudarja, da je pomembno zagotoviti zadostne finančne zmogljivosti za razvoj skupnega evropskega azilnega sistema, da bi lahko ravnali solidarno z državami članicami, ki so najbolj izpostavljene migracijskim in azilnim tokovom, pa tudi izvajali učinkovite in pravične azilne postopke in postopke vračanja; zahteva povečanje proračunskih sredstev za prevzem obveznosti za ta sklad vsaj na raven iz leta 2020, tj. 1.228,7 milijona EUR;</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14</w:t>
      </w:r>
      <w:r>
        <w:rPr>
          <w:rStyle w:val="HideTWBExt"/>
          <w:noProof w:val="0"/>
        </w:rPr>
        <w:t>&lt;/NumAm&gt;</w:t>
      </w:r>
    </w:p>
    <w:p w:rsidR="003238EC" w:rsidRDefault="00207C1B" w:rsidP="003238EC">
      <w:pPr>
        <w:pStyle w:val="NormalBold"/>
      </w:pPr>
      <w:r>
        <w:rPr>
          <w:rStyle w:val="HideTWBExt"/>
          <w:noProof w:val="0"/>
        </w:rPr>
        <w:t>&lt;RepeatBlock-By&gt;&lt;Members&gt;</w:t>
      </w:r>
      <w:r>
        <w:t>Fabienne Keller, Jan-Christoph Oetjen, Maite Pagazaurtundúa, Nathalie Loiseau,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3 b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3b.</w:t>
            </w:r>
            <w:r>
              <w:tab/>
            </w:r>
            <w:r>
              <w:rPr>
                <w:b/>
                <w:i/>
              </w:rPr>
              <w:t>je zelo zaskrbljen zaradi novih smrtnih žrtev v Sredozemskem morju in premajhnih zmogljivosti za operacije iskanja in reševanja; meni, da so te operacije odgovornost držav in da jih ne bi smeli prepustiti nedržavnim akterjem; poziva Komisijo, naj nemudoma ustanovi sklad za vzpostavitev misije EU za iskanje in reševanje v Sredozemskem morju;</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15</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4.</w:t>
            </w:r>
            <w:r>
              <w:tab/>
              <w:t>meni, da manjše povečanje finančnih sredstev (+1,8 %), predlagano za Evropski center za spremljanje drog in zasvojenosti z drogami, ne bo zadostovalo za izpolnjevanje pravnih obveznosti, izhajajočih iz kadrovskih predpisov in najemnih pogodb; prav tako poudarja, da bi moral center dobiti dodatna sredstva tudi zato, da bo lahko uporabil vse svoje operativne zmogljivosti in se učinkovito odzval na najnovejše dogajanje v svetu drog, tudi na posledice izbruha covida-19; zato zahteva, da se proračun centra poveča na 18.100.000 EUR;</w:t>
            </w:r>
          </w:p>
        </w:tc>
        <w:tc>
          <w:tcPr>
            <w:tcW w:w="4876" w:type="dxa"/>
          </w:tcPr>
          <w:p w:rsidR="003238EC" w:rsidRDefault="00207C1B" w:rsidP="005B17FE">
            <w:pPr>
              <w:pStyle w:val="Normal6a"/>
            </w:pPr>
            <w:r>
              <w:t>4.</w:t>
            </w:r>
            <w:r>
              <w:tab/>
              <w:t xml:space="preserve">meni, da manjše povečanje finančnih sredstev (+1,8 %), predlagano za Evropski center za spremljanje drog in zasvojenosti z drogami, ne bo zadostovalo za izpolnjevanje pravnih obveznosti, izhajajočih iz kadrovskih predpisov in najemnih pogodb; prav tako poudarja, da bi moral center dobiti dodatna sredstva tudi zato, da bo lahko uporabil vse svoje operativne zmogljivosti in se učinkovito odzval na najnovejše dogajanje v svetu drog, tudi na posledice izbruha covida-19; </w:t>
            </w:r>
            <w:r>
              <w:rPr>
                <w:b/>
                <w:i/>
              </w:rPr>
              <w:t>poudarja, da je bila maloprodajna vrednost drog v Evropi ocenjena na 30 milijard EUR letno in da je bilo v letu 2019 v EU zaseženih 100 ton kokaina;</w:t>
            </w:r>
            <w:r>
              <w:t xml:space="preserve"> zato zahteva, da se proračun centra poveča na 18.100.000 EUR;</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16</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5.</w:t>
            </w:r>
            <w:r>
              <w:tab/>
              <w:t xml:space="preserve">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w:t>
            </w:r>
            <w:r>
              <w:rPr>
                <w:b/>
                <w:i/>
              </w:rPr>
              <w:t>agencija</w:t>
            </w:r>
            <w:r>
              <w:t xml:space="preserve"> </w:t>
            </w:r>
            <w:r>
              <w:rPr>
                <w:b/>
                <w:i/>
              </w:rPr>
              <w:t>državam članicam</w:t>
            </w:r>
            <w:r>
              <w:t xml:space="preserve"> ponujati obsežnejšo operativno podporo in da je nedavno na zahtevo </w:t>
            </w:r>
            <w:r>
              <w:rPr>
                <w:b/>
                <w:i/>
              </w:rPr>
              <w:t>sprožila</w:t>
            </w:r>
            <w:r>
              <w:t xml:space="preserve"> nove pobude, za katere so potrebna dodatna sredstva, na primer evropski center za finančni in gospodarski kriminal ter inovacijski laboratorij; pričakuje, da bodo naloge agencije v letu 2021 še obsežnejše, saj se obeta revizija njenega poslanstva; zato meni, da treba zanjo nameniti 184.900.000 EUR, kolikor je tudi zahtevala; zahteva, da se v kadrovski načrt agencije doda še 63 delovnih mest;</w:t>
            </w:r>
          </w:p>
        </w:tc>
        <w:tc>
          <w:tcPr>
            <w:tcW w:w="4876" w:type="dxa"/>
          </w:tcPr>
          <w:p w:rsidR="003238EC" w:rsidRDefault="00207C1B" w:rsidP="005B17FE">
            <w:pPr>
              <w:pStyle w:val="Normal6a"/>
            </w:pPr>
            <w:r>
              <w:t>5.</w:t>
            </w:r>
            <w:r>
              <w:tab/>
              <w:t xml:space="preserve">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w:t>
            </w:r>
            <w:r>
              <w:rPr>
                <w:b/>
                <w:i/>
              </w:rPr>
              <w:t>Europol</w:t>
            </w:r>
            <w:r>
              <w:t xml:space="preserve"> </w:t>
            </w:r>
            <w:r>
              <w:rPr>
                <w:b/>
                <w:i/>
              </w:rPr>
              <w:t>organom pregona držav članic</w:t>
            </w:r>
            <w:r>
              <w:t xml:space="preserve"> ponujati obsežnejšo </w:t>
            </w:r>
            <w:r>
              <w:rPr>
                <w:b/>
                <w:i/>
              </w:rPr>
              <w:t>analitično in</w:t>
            </w:r>
            <w:r>
              <w:rPr>
                <w:i/>
              </w:rPr>
              <w:t xml:space="preserve"> </w:t>
            </w:r>
            <w:r>
              <w:t>operativno podporo</w:t>
            </w:r>
            <w:r>
              <w:rPr>
                <w:b/>
                <w:i/>
              </w:rPr>
              <w:t>, orodja in inovacije na področjih, kot so boj proti terorizmu in njegovemu financiranju, radikalizacija in ekstremizem, tihotapljenje migrantov in kibernetski kriminal,</w:t>
            </w:r>
            <w:r>
              <w:t xml:space="preserve"> in da je nedavno na zahtevo </w:t>
            </w:r>
            <w:r>
              <w:rPr>
                <w:b/>
                <w:i/>
              </w:rPr>
              <w:t>sprožil</w:t>
            </w:r>
            <w:r>
              <w:t xml:space="preserve"> nove pobude, za katere so potrebna dodatna sredstva, na primer evropski center za finančni in gospodarski kriminal ter inovacijski laboratorij</w:t>
            </w:r>
            <w:r>
              <w:rPr>
                <w:b/>
                <w:i/>
              </w:rPr>
              <w:t>; poudarja tudi, da se je med pandemijo povečal obseg kriminalnih dejavnosti, kot so kibernetski napadi in kibernetski kriminal, spletne zlorabe in izkoriščanje otrok ter ponarejanje izdelkov, v zadnjih letih pa so se pojavile tudi nove dejavnosti, na primer okoljska kazniva dejanja, kar priča o prilagodljivosti kriminalcev in o potrebi, da se prilagaja tudi Europol</w:t>
            </w:r>
            <w:r>
              <w:t>; pričakuje, da bodo naloge agencije v letu 2021 še obsežnejše, saj se obeta revizija njenega poslanstva; zato meni, da treba zanjo nameniti 184.900.000 EUR, kolikor je tudi zahtevala; zahteva, da se v kadrovski načrt agencije doda še 63 delovnih mest;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17</w:t>
      </w:r>
      <w:r>
        <w:rPr>
          <w:rStyle w:val="HideTWBExt"/>
          <w:noProof w:val="0"/>
        </w:rPr>
        <w:t>&lt;/NumAm&gt;</w:t>
      </w:r>
    </w:p>
    <w:p w:rsidR="003238EC" w:rsidRDefault="00207C1B" w:rsidP="003238EC">
      <w:pPr>
        <w:pStyle w:val="NormalBold"/>
      </w:pPr>
      <w:r>
        <w:rPr>
          <w:rStyle w:val="HideTWBExt"/>
          <w:noProof w:val="0"/>
        </w:rPr>
        <w:t>&lt;RepeatBlock-By&gt;&lt;Members&gt;</w:t>
      </w:r>
      <w:r>
        <w:t>Tomas Tobé</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5.</w:t>
            </w:r>
            <w:r>
              <w:tab/>
              <w:t>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agencija državam članicam ponujati obsežnejšo operativno podporo in da je nedavno na zahtevo sprožila nove pobude, za katere so potrebna dodatna sredstva, na primer evropski center za finančni in gospodarski kriminal ter inovacijski laboratorij; pričakuje, da bodo naloge agencije v letu 2021 še obsežnejše, saj se obeta revizija njenega poslanstva; zato meni, da treba zanjo nameniti 184.900.000 EUR, kolikor je tudi zahtevala; zahteva, da se v kadrovski načrt agencije doda še 63 delovnih mest;</w:t>
            </w:r>
          </w:p>
        </w:tc>
        <w:tc>
          <w:tcPr>
            <w:tcW w:w="4876" w:type="dxa"/>
          </w:tcPr>
          <w:p w:rsidR="003238EC" w:rsidRDefault="00207C1B" w:rsidP="005B17FE">
            <w:pPr>
              <w:pStyle w:val="Normal6a"/>
            </w:pPr>
            <w:r>
              <w:t>5.</w:t>
            </w:r>
            <w:r>
              <w:tab/>
              <w:t xml:space="preserve">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agencija državam članicam ponujati obsežnejšo operativno podporo in da je nedavno na zahtevo sprožila nove pobude, za katere so potrebna dodatna sredstva, na primer evropski center za finančni in gospodarski kriminal ter inovacijski laboratorij; pričakuje, da bodo naloge agencije v letu 2021 še obsežnejše, saj se obeta revizija njenega poslanstva; zato meni, da treba zanjo nameniti 184.900.000 EUR, kolikor je tudi zahtevala; zahteva, da se v kadrovski načrt agencije doda še 63 delovnih mest; </w:t>
            </w:r>
            <w:r>
              <w:rPr>
                <w:b/>
                <w:i/>
              </w:rPr>
              <w:t>meni, da je treba Europolu dodeliti zadostna sredstva, da se bo lahko boril proti organiziranemu premoženjskemu kriminalu; meni, da bi moral Europol ustanoviti nov center za preprečevanje te oblike kriminala;</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18</w:t>
      </w:r>
      <w:r>
        <w:rPr>
          <w:rStyle w:val="HideTWBExt"/>
          <w:noProof w:val="0"/>
        </w:rPr>
        <w:t>&lt;/NumAm&gt;</w:t>
      </w:r>
    </w:p>
    <w:p w:rsidR="003238EC" w:rsidRDefault="00207C1B" w:rsidP="003238EC">
      <w:pPr>
        <w:pStyle w:val="NormalBold"/>
      </w:pPr>
      <w:r>
        <w:rPr>
          <w:rStyle w:val="HideTWBExt"/>
          <w:noProof w:val="0"/>
        </w:rPr>
        <w:t>&lt;RepeatBlock-By&gt;&lt;Members&gt;</w:t>
      </w:r>
      <w:r>
        <w:t>Sabrina Pignedoli, Laura Ferrara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5.</w:t>
            </w:r>
            <w:r>
              <w:tab/>
              <w:t>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agencija državam članicam ponujati obsežnejšo operativno podporo in da je nedavno na zahtevo sprožila nove pobude, za katere so potrebna dodatna sredstva, na primer evropski center za finančni in gospodarski kriminal ter inovacijski laboratorij; pričakuje, da bodo naloge agencije v letu 2021 še obsežnejše, saj se obeta revizija njenega poslanstva; zato meni, da treba zanjo nameniti 184.900.000 EUR, kolikor je tudi zahtevala; zahteva, da se v kadrovski načrt agencije doda še 63 delovnih mest;</w:t>
            </w:r>
          </w:p>
        </w:tc>
        <w:tc>
          <w:tcPr>
            <w:tcW w:w="4876" w:type="dxa"/>
          </w:tcPr>
          <w:p w:rsidR="003238EC" w:rsidRDefault="00207C1B" w:rsidP="005B17FE">
            <w:pPr>
              <w:pStyle w:val="Normal6a"/>
            </w:pPr>
            <w:r>
              <w:t>5.</w:t>
            </w:r>
            <w:r>
              <w:tab/>
              <w:t>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w:t>
            </w:r>
            <w:r>
              <w:rPr>
                <w:b/>
                <w:i/>
              </w:rPr>
              <w:t xml:space="preserve"> je zaskrbljen zlasti zaradi tega, ker se kadrovski viri Europola niso povečali, kar bo preprečilo njegov razvoj in operativne dejavnosti v letu 2021</w:t>
            </w:r>
            <w:r>
              <w:t>; spominja, da mora agencija državam članicam ponujati obsežnejšo operativno podporo in da je nedavno na zahtevo sprožila nove pobude, za katere so potrebna dodatna sredstva, na primer evropski center za finančni in gospodarski kriminal ter inovacijski laboratorij; pričakuje, da bodo naloge agencije v letu 2021 še obsežnejše, saj se obeta revizija njenega poslanstva; zato meni, da treba zanjo nameniti 184.900.000 EUR, kolikor je tudi zahtevala; zahteva, da se v kadrovski načrt agencije doda še 63 delovnih mest;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19</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5.</w:t>
            </w:r>
            <w:r>
              <w:tab/>
              <w:t xml:space="preserve">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agencija državam članicam ponujati obsežnejšo operativno podporo in da je nedavno na zahtevo sprožila nove pobude, za katere so potrebna dodatna sredstva, na primer evropski center za finančni in gospodarski kriminal ter inovacijski laboratorij; </w:t>
            </w:r>
            <w:r>
              <w:rPr>
                <w:b/>
                <w:i/>
              </w:rPr>
              <w:t>pričakuje, da bodo naloge agencije v letu 2021 še obsežnejše, saj se obeta revizija njenega poslanstva;</w:t>
            </w:r>
            <w:r>
              <w:t xml:space="preserve"> zato meni, da treba zanjo nameniti </w:t>
            </w:r>
            <w:r>
              <w:rPr>
                <w:b/>
                <w:i/>
              </w:rPr>
              <w:t>184.900.000 EUR, kolikor je tudi zahtevala</w:t>
            </w:r>
            <w:r>
              <w:t xml:space="preserve">; zahteva, da se v kadrovski načrt agencije doda še </w:t>
            </w:r>
            <w:r>
              <w:rPr>
                <w:b/>
                <w:i/>
              </w:rPr>
              <w:t>63</w:t>
            </w:r>
            <w:r>
              <w:t xml:space="preserve"> delovnih mest;</w:t>
            </w:r>
          </w:p>
        </w:tc>
        <w:tc>
          <w:tcPr>
            <w:tcW w:w="4876" w:type="dxa"/>
          </w:tcPr>
          <w:p w:rsidR="003238EC" w:rsidRDefault="00207C1B" w:rsidP="005B17FE">
            <w:pPr>
              <w:pStyle w:val="Normal6a"/>
            </w:pPr>
            <w:r>
              <w:t>5.</w:t>
            </w:r>
            <w:r>
              <w:tab/>
              <w:t xml:space="preserve">je seznanjen s predlogom za povečanje proračunskih sredstev Agencije Evropske unije za sodelovanje na področju preprečevanja, odkrivanja in preiskovanja kaznivih dejanj (Europol) za 11,5 %, pri čemer mora število uslužbencev, zaposlenih po kadrovskih predpisih, ostati nespremenjeno; spominja, da mora agencija državam članicam ponujati obsežnejšo operativno podporo in da je nedavno na zahtevo sprožila nove pobude, za katere so potrebna dodatna sredstva, na primer evropski center za finančni in gospodarski kriminal ter inovacijski laboratorij; zato meni, da treba zanjo nameniti </w:t>
            </w:r>
            <w:r>
              <w:rPr>
                <w:b/>
                <w:i/>
              </w:rPr>
              <w:t>181.325.177 EUR</w:t>
            </w:r>
            <w:r>
              <w:t xml:space="preserve">; zahteva, da se v kadrovski načrt agencije doda še </w:t>
            </w:r>
            <w:r>
              <w:rPr>
                <w:b/>
                <w:i/>
              </w:rPr>
              <w:t>47</w:t>
            </w:r>
            <w:r>
              <w:t xml:space="preserve"> delovnih mest;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20</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5.</w:t>
            </w:r>
            <w:r>
              <w:tab/>
              <w:t>je seznanjen s predlogom za povečanje proračunskih sredstev Agencije Evropske unije za sodelovanje na področju preprečevanja, odkrivanja in preiskovanja kaznivih dejanj (Europol) za 11,5 %</w:t>
            </w:r>
            <w:r>
              <w:rPr>
                <w:b/>
                <w:i/>
              </w:rPr>
              <w:t>, pri čemer mora število</w:t>
            </w:r>
            <w:r>
              <w:t xml:space="preserve"> uslužbencev, zaposlenih po kadrovskih predpisih</w:t>
            </w:r>
            <w:r>
              <w:rPr>
                <w:b/>
                <w:i/>
              </w:rPr>
              <w:t>, ostati nespremenjeno</w:t>
            </w:r>
            <w:r>
              <w:t xml:space="preserve">; </w:t>
            </w:r>
            <w:r>
              <w:rPr>
                <w:b/>
                <w:i/>
              </w:rPr>
              <w:t>spominja</w:t>
            </w:r>
            <w:r>
              <w:t xml:space="preserve">, da mora agencija državam članicam ponujati obsežnejšo operativno podporo in da je nedavno </w:t>
            </w:r>
            <w:r>
              <w:rPr>
                <w:b/>
                <w:i/>
              </w:rPr>
              <w:t>na zahtevo</w:t>
            </w:r>
            <w:r>
              <w:t xml:space="preserve"> sprožila nove pobude, </w:t>
            </w:r>
            <w:r>
              <w:rPr>
                <w:b/>
                <w:i/>
              </w:rPr>
              <w:t>za katere so potrebna dodatna sredstva,</w:t>
            </w:r>
            <w:r>
              <w:t xml:space="preserve"> na primer evropski center za finančni in gospodarski kriminal ter inovacijski laboratorij;</w:t>
            </w:r>
            <w:r>
              <w:rPr>
                <w:b/>
                <w:i/>
              </w:rPr>
              <w:t xml:space="preserve"> pričakuje</w:t>
            </w:r>
            <w:r>
              <w:t xml:space="preserve">, da </w:t>
            </w:r>
            <w:r>
              <w:rPr>
                <w:b/>
                <w:i/>
              </w:rPr>
              <w:t>bodo</w:t>
            </w:r>
            <w:r>
              <w:t xml:space="preserve"> naloge </w:t>
            </w:r>
            <w:r>
              <w:rPr>
                <w:b/>
                <w:i/>
              </w:rPr>
              <w:t>agencije</w:t>
            </w:r>
            <w:r>
              <w:t xml:space="preserve"> v letu 2021 še obsežnejše, saj se obeta revizija </w:t>
            </w:r>
            <w:r>
              <w:rPr>
                <w:b/>
                <w:i/>
              </w:rPr>
              <w:t>njenega</w:t>
            </w:r>
            <w:r>
              <w:rPr>
                <w:i/>
              </w:rPr>
              <w:t xml:space="preserve"> </w:t>
            </w:r>
            <w:r>
              <w:t>poslanstva;</w:t>
            </w:r>
            <w:r>
              <w:rPr>
                <w:b/>
                <w:i/>
              </w:rPr>
              <w:t xml:space="preserve"> zato meni, da treba zanjo nameniti 184.900.000 EUR, kolikor je tudi zahtevala; zahteva, da se v kadrovski načrt agencije doda še 63 delovnih mest;</w:t>
            </w:r>
          </w:p>
        </w:tc>
        <w:tc>
          <w:tcPr>
            <w:tcW w:w="4876" w:type="dxa"/>
          </w:tcPr>
          <w:p w:rsidR="003238EC" w:rsidRDefault="00207C1B" w:rsidP="005B17FE">
            <w:pPr>
              <w:pStyle w:val="Normal6a"/>
            </w:pPr>
            <w:r>
              <w:t>5.</w:t>
            </w:r>
            <w:r>
              <w:tab/>
              <w:t xml:space="preserve">je seznanjen s predlogom za povečanje proračunskih sredstev Agencije Evropske unije za sodelovanje na področju preprečevanja, odkrivanja in preiskovanja kaznivih dejanj (Europol) za 11,5 % </w:t>
            </w:r>
            <w:r>
              <w:rPr>
                <w:b/>
                <w:i/>
              </w:rPr>
              <w:t>in za ohranitev nespremenjenega števila</w:t>
            </w:r>
            <w:r>
              <w:rPr>
                <w:i/>
              </w:rPr>
              <w:t xml:space="preserve"> </w:t>
            </w:r>
            <w:r>
              <w:t xml:space="preserve">uslužbencev, zaposlenih po kadrovskih predpisih; </w:t>
            </w:r>
            <w:r>
              <w:rPr>
                <w:b/>
                <w:i/>
              </w:rPr>
              <w:t>je seznanjen</w:t>
            </w:r>
            <w:r>
              <w:t>, da mora agencija državam članicam ponujati obsežnejšo operativno podporo in da je nedavno sprožila nove pobude, na primer evropski center za finančni in gospodarski kriminal ter inovacijski laboratorij;</w:t>
            </w:r>
            <w:r>
              <w:rPr>
                <w:b/>
                <w:i/>
              </w:rPr>
              <w:t xml:space="preserve"> ugotavlja tudi</w:t>
            </w:r>
            <w:r>
              <w:t xml:space="preserve">, da </w:t>
            </w:r>
            <w:r>
              <w:rPr>
                <w:b/>
                <w:i/>
              </w:rPr>
              <w:t>utegnejo biti</w:t>
            </w:r>
            <w:r>
              <w:t xml:space="preserve"> naloge </w:t>
            </w:r>
            <w:r>
              <w:rPr>
                <w:b/>
                <w:i/>
              </w:rPr>
              <w:t>Europola</w:t>
            </w:r>
            <w:r>
              <w:rPr>
                <w:i/>
              </w:rPr>
              <w:t xml:space="preserve"> </w:t>
            </w:r>
            <w:r>
              <w:t xml:space="preserve">v letu 2021 še obsežnejše, saj se obeta revizija </w:t>
            </w:r>
            <w:r>
              <w:rPr>
                <w:b/>
                <w:i/>
              </w:rPr>
              <w:t>njegovega</w:t>
            </w:r>
            <w:r>
              <w:rPr>
                <w:i/>
              </w:rPr>
              <w:t xml:space="preserve"> </w:t>
            </w:r>
            <w:r>
              <w:t>poslanstva</w:t>
            </w:r>
            <w:r>
              <w:rPr>
                <w:b/>
                <w:i/>
              </w:rPr>
              <w:t>, in opominja, da je treba vsako razširitev njegovega mandata pospremiti s povečanim parlamentarnim nadzorom</w:t>
            </w:r>
            <w:r>
              <w: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21</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5.</w:t>
            </w:r>
            <w:r>
              <w:tab/>
              <w:t>je seznanjen s predlogom za povečanje proračunskih sredstev Agencije Evropske unije za sodelovanje na področju preprečevanja, odkrivanja in preiskovanja kaznivih dejanj (Europol) za 11,5 %</w:t>
            </w:r>
            <w:r>
              <w:rPr>
                <w:b/>
                <w:i/>
              </w:rPr>
              <w:t>, pri čemer mora število uslužbencev, zaposlenih po kadrovskih predpisih, ostati nespremenjeno</w:t>
            </w:r>
            <w:r>
              <w:t>;</w:t>
            </w:r>
            <w:r>
              <w:rPr>
                <w:b/>
                <w:i/>
              </w:rPr>
              <w:t xml:space="preserve"> spominja</w:t>
            </w:r>
            <w:r>
              <w:t xml:space="preserve">, da mora agencija državam članicam ponujati obsežnejšo operativno podporo in da je nedavno </w:t>
            </w:r>
            <w:r>
              <w:rPr>
                <w:b/>
                <w:i/>
              </w:rPr>
              <w:t>na zahtevo</w:t>
            </w:r>
            <w:r>
              <w:t xml:space="preserve"> sprožila nove pobude</w:t>
            </w:r>
            <w:r>
              <w:rPr>
                <w:b/>
                <w:i/>
              </w:rPr>
              <w:t>, za katere so potrebna dodatna sredstva</w:t>
            </w:r>
            <w:r>
              <w:t>, na primer evropski center za finančni in gospodarski kriminal ter inovacijski laboratorij;</w:t>
            </w:r>
            <w:r>
              <w:rPr>
                <w:b/>
                <w:i/>
              </w:rPr>
              <w:t xml:space="preserve"> pričakuje, da bodo naloge agencije v letu 2021 še obsežnejše, saj se obeta revizija njenega</w:t>
            </w:r>
            <w:r>
              <w:t xml:space="preserve"> poslanstva;</w:t>
            </w:r>
            <w:r>
              <w:rPr>
                <w:b/>
                <w:i/>
              </w:rPr>
              <w:t xml:space="preserve"> zato meni, da treba zanjo nameniti 184.900.000 EUR, kolikor je tudi zahtevala;</w:t>
            </w:r>
            <w:r>
              <w:t xml:space="preserve"> </w:t>
            </w:r>
            <w:r>
              <w:rPr>
                <w:b/>
                <w:i/>
              </w:rPr>
              <w:t>zahteva, da se v kadrovski načrt agencije doda še 63 delovnih mest;</w:t>
            </w:r>
          </w:p>
        </w:tc>
        <w:tc>
          <w:tcPr>
            <w:tcW w:w="4876" w:type="dxa"/>
          </w:tcPr>
          <w:p w:rsidR="003238EC" w:rsidRDefault="00207C1B" w:rsidP="005B17FE">
            <w:pPr>
              <w:pStyle w:val="Normal6a"/>
            </w:pPr>
            <w:r>
              <w:t>5.</w:t>
            </w:r>
            <w:r>
              <w:tab/>
              <w:t>je seznanjen s predlogom za povečanje proračunskih sredstev Agencije Evropske unije za sodelovanje na področju preprečevanja, odkrivanja in preiskovanja kaznivih dejanj (Europol) za 11,5 %;</w:t>
            </w:r>
            <w:r>
              <w:rPr>
                <w:b/>
                <w:i/>
              </w:rPr>
              <w:t xml:space="preserve"> je seznanjen</w:t>
            </w:r>
            <w:r>
              <w:t>, da mora agencija državam članicam ponujati obsežnejšo operativno podporo in da je nedavno sprožila nove pobude, na primer evropski center za finančni in gospodarski kriminal ter inovacijski laboratorij;</w:t>
            </w:r>
            <w:r>
              <w:rPr>
                <w:b/>
                <w:i/>
              </w:rPr>
              <w:t xml:space="preserve"> je vseeno prepričan, da povečanje Europolovega proračuna ne bi smelo biti prednostna naloga, in predlaga, da ostane enak kot v letu 2020; meni, da je mogoče odločitev o dodatnem financiranju in delovnih mestih glede na bližnjo revizijo</w:t>
            </w:r>
            <w:r>
              <w:rPr>
                <w:i/>
              </w:rPr>
              <w:t xml:space="preserve"> </w:t>
            </w:r>
            <w:r>
              <w:rPr>
                <w:b/>
                <w:i/>
              </w:rPr>
              <w:t>Europolovega</w:t>
            </w:r>
            <w:r>
              <w:t xml:space="preserve"> poslanstva </w:t>
            </w:r>
            <w:r>
              <w:rPr>
                <w:b/>
                <w:i/>
              </w:rPr>
              <w:t>sprejeti šele po izteku zakonodajnega postopka; opominja, da bodo nove naloge pomenile dodatno delo za evropskega nadzornika za varstvo podatkov</w:t>
            </w:r>
            <w:r>
              <w: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22</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6.</w:t>
            </w:r>
            <w:r>
              <w:tab/>
              <w:t xml:space="preserve">poudarja, kako pomembno je integrirano upravljanje meja za delovanje schengenskega območja; opozarja na pomembno vlogo Evropske agencije za mejno in obalno stražo (Frontex) pri tem </w:t>
            </w:r>
            <w:r>
              <w:rPr>
                <w:b/>
                <w:i/>
              </w:rPr>
              <w:t>in</w:t>
            </w:r>
            <w:r>
              <w:t xml:space="preserve"> poziva k precejšnjemu povečanju njenega proračuna v letu 2021, na 838.000.000 EUR, da bo lahko razširila in usposabljala svoje stalne enote in kupila lastno opremo, kar bo omogočilo njihovo uspešno napotitev in uporabo ter operativno podporo državam članicam na zunanjih mejah</w:t>
            </w:r>
          </w:p>
        </w:tc>
        <w:tc>
          <w:tcPr>
            <w:tcW w:w="4876" w:type="dxa"/>
          </w:tcPr>
          <w:p w:rsidR="003238EC" w:rsidRDefault="00207C1B" w:rsidP="005B17FE">
            <w:pPr>
              <w:pStyle w:val="Normal6a"/>
            </w:pPr>
            <w:r>
              <w:t>6.</w:t>
            </w:r>
            <w:r>
              <w:tab/>
              <w:t xml:space="preserve">poudarja, kako pomembno je integrirano upravljanje meja za delovanje schengenskega območja; </w:t>
            </w:r>
            <w:r>
              <w:rPr>
                <w:b/>
                <w:i/>
              </w:rPr>
              <w:t>ugotavlja, da je izbruh covida-19 pokazal, kakšen vpliv ima upravljanje meja na različnih področjih, ne le na varnost in migracije, temveč tudi mobilnost;</w:t>
            </w:r>
            <w:r>
              <w:t xml:space="preserve"> opozarja na pomembno vlogo Evropske agencije za mejno in obalno stražo (Frontex) pri tem</w:t>
            </w:r>
            <w:r>
              <w:rPr>
                <w:b/>
                <w:i/>
              </w:rPr>
              <w:t>; obžaluje, da je predlog Komisije nižji od pričakovanega proračuna iz finančne ocene v uredbi agencije, kar bo ogrozilo sposobnost Frontexa za ustanovitev evropske stalne mejne enote do leta 2024, kot je zahtevala predsednica Evropske komisije; poudarja, da vpoklic, usposabljanje in napotitev 10.000 mejnih in obalnih stražnikov zahteva izjemno velike vire, ki jih ni mogoče zmanjšati;</w:t>
            </w:r>
            <w:r>
              <w:t xml:space="preserve"> opozarja na pomembno vlogo Evropske agencije za mejno in obalno stražo (Frontex) pri tem in poziva k precejšnjemu povečanju njenega proračuna v letu 2021, na 838.000.000 EUR, da bo lahko razširila in usposabljala svoje stalne enote in kupila lastno opremo, kar bo omogočilo njihovo uspešno </w:t>
            </w:r>
            <w:r>
              <w:rPr>
                <w:b/>
                <w:i/>
              </w:rPr>
              <w:t>in pravočasno</w:t>
            </w:r>
            <w:r>
              <w:rPr>
                <w:i/>
              </w:rPr>
              <w:t xml:space="preserve"> </w:t>
            </w:r>
            <w:r>
              <w:t>napotitev in uporabo ter operativno podporo državam članicam na zunanjih mejah;</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23</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6.</w:t>
            </w:r>
            <w:r>
              <w:tab/>
            </w:r>
            <w:r>
              <w:rPr>
                <w:b/>
                <w:i/>
              </w:rPr>
              <w:t>poudarja, kako pomembno je integrirano upravljanje meja za delovanje schengenskega območja; opozarja</w:t>
            </w:r>
            <w:r>
              <w:t xml:space="preserve"> </w:t>
            </w:r>
            <w:r>
              <w:rPr>
                <w:b/>
                <w:i/>
              </w:rPr>
              <w:t>na pomembno</w:t>
            </w:r>
            <w:r>
              <w:t xml:space="preserve"> </w:t>
            </w:r>
            <w:r>
              <w:rPr>
                <w:b/>
                <w:i/>
              </w:rPr>
              <w:t>vlogo</w:t>
            </w:r>
            <w:r>
              <w:t xml:space="preserve"> Evropske agencije za mejno in obalno stražo (Frontex) pri tem in poziva k </w:t>
            </w:r>
            <w:r>
              <w:rPr>
                <w:b/>
                <w:i/>
              </w:rPr>
              <w:t>precejšnjemu</w:t>
            </w:r>
            <w:r>
              <w:t xml:space="preserve"> povečanju njenega proračuna v letu 2021, na 838.000.000 EUR, da bo lahko razširila in usposabljala svoje stalne enote in kupila lastno opremo, kar bo omogočilo njihovo uspešno napotitev in uporabo ter operativno podporo državam članicam na zunanjih mejah;</w:t>
            </w:r>
          </w:p>
        </w:tc>
        <w:tc>
          <w:tcPr>
            <w:tcW w:w="4876" w:type="dxa"/>
          </w:tcPr>
          <w:p w:rsidR="003238EC" w:rsidRDefault="00207C1B" w:rsidP="005B17FE">
            <w:pPr>
              <w:pStyle w:val="Normal6a"/>
            </w:pPr>
            <w:r>
              <w:t>6.</w:t>
            </w:r>
            <w:r>
              <w:tab/>
            </w:r>
            <w:r>
              <w:rPr>
                <w:b/>
                <w:i/>
              </w:rPr>
              <w:t>se zaveda vloge</w:t>
            </w:r>
            <w:r>
              <w:t xml:space="preserve"> Evropske agencije za mejno in obalno stražo (Frontex) pri </w:t>
            </w:r>
            <w:r>
              <w:rPr>
                <w:b/>
                <w:i/>
              </w:rPr>
              <w:t>usklajevanju in razvoju integriranega upravljanja meja;</w:t>
            </w:r>
            <w:r>
              <w:t xml:space="preserve"> </w:t>
            </w:r>
            <w:r>
              <w:rPr>
                <w:b/>
                <w:i/>
              </w:rPr>
              <w:t>zato</w:t>
            </w:r>
            <w:r>
              <w:rPr>
                <w:i/>
              </w:rPr>
              <w:t xml:space="preserve"> </w:t>
            </w:r>
            <w:r>
              <w:t xml:space="preserve">poziva k povečanju njenega proračuna v letu 2021, na </w:t>
            </w:r>
            <w:r>
              <w:rPr>
                <w:b/>
                <w:i/>
              </w:rPr>
              <w:t>770.365.795</w:t>
            </w:r>
            <w:r>
              <w:t> EUR, da bo lahko razširila in usposabljala svoje stalne enote in kupila lastno opremo, kar bo omogočilo njihovo uspešno</w:t>
            </w:r>
            <w:r>
              <w:rPr>
                <w:i/>
              </w:rPr>
              <w:t xml:space="preserve"> </w:t>
            </w:r>
            <w:r>
              <w:t xml:space="preserve">napotitev in uporabo ter operativno podporo državam članicam na zunanjih mejah; </w:t>
            </w:r>
            <w:r>
              <w:rPr>
                <w:b/>
                <w:i/>
              </w:rPr>
              <w:t>poudarja, da je treba pri izvajanju te naloge spoštovati temeljne pravice; obžaluje, da se število smrti na morju še naprej povečuje, ker se ne izvajajo operacije iskanja in reševanja v Sredozemlju; predlaga, da se morebitna dodatna sredstva uporabijo tudi za reševanje življenj na morju in kadrovske okrepitve za nadzornike temeljnih pravic v Frontexu;</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24</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6.</w:t>
            </w:r>
            <w:r>
              <w:tab/>
              <w:t xml:space="preserve">poudarja, kako pomembno je integrirano upravljanje meja za delovanje schengenskega območja; opozarja na </w:t>
            </w:r>
            <w:r>
              <w:rPr>
                <w:b/>
                <w:i/>
              </w:rPr>
              <w:t>pomembno</w:t>
            </w:r>
            <w:r>
              <w:rPr>
                <w:i/>
              </w:rPr>
              <w:t xml:space="preserve"> </w:t>
            </w:r>
            <w:r>
              <w:t>vlogo Evropske agencije za mejno in obalno stražo (Frontex) pri tem in</w:t>
            </w:r>
            <w:r>
              <w:rPr>
                <w:b/>
                <w:i/>
              </w:rPr>
              <w:t xml:space="preserve"> poziva k precejšnjemu povečanju njenega</w:t>
            </w:r>
            <w:r>
              <w:t xml:space="preserve"> proračuna </w:t>
            </w:r>
            <w:r>
              <w:rPr>
                <w:b/>
                <w:i/>
              </w:rPr>
              <w:t>v letu 2021, na 838.000.000 EUR, da bo lahko razširila in usposabljala svoje stalne enote in kupila lastno opremo, kar bo omogočilo njihovo uspešno in pravočasno napotitev in uporabo ter operativno podporo državam članicam na zunanjih mejah</w:t>
            </w:r>
            <w:r>
              <w:t>;</w:t>
            </w:r>
          </w:p>
        </w:tc>
        <w:tc>
          <w:tcPr>
            <w:tcW w:w="4876" w:type="dxa"/>
          </w:tcPr>
          <w:p w:rsidR="003238EC" w:rsidRDefault="00207C1B" w:rsidP="005B17FE">
            <w:pPr>
              <w:pStyle w:val="Normal6a"/>
            </w:pPr>
            <w:r>
              <w:t>6.</w:t>
            </w:r>
            <w:r>
              <w:tab/>
              <w:t xml:space="preserve">poudarja, kako pomembno je integrirano upravljanje meja za delovanje schengenskega območja; opozarja na vlogo Evropske agencije za mejno in obalno stražo (Frontex) pri tem in </w:t>
            </w:r>
            <w:r>
              <w:rPr>
                <w:b/>
                <w:i/>
              </w:rPr>
              <w:t xml:space="preserve">spominja, da je to agencija, ki je bila v zadnjih letih deležna daleč največjega povečanja </w:t>
            </w:r>
            <w:r>
              <w:t>proračuna;</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25</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6.</w:t>
            </w:r>
            <w:r>
              <w:tab/>
            </w:r>
            <w:r>
              <w:rPr>
                <w:b/>
                <w:i/>
              </w:rPr>
              <w:t xml:space="preserve">poudarja, kako pomembno je integrirano upravljanje meja za delovanje schengenskega območja; opozarja na pomembno vlogo Evropske agencije za mejno in obalno stražo (Frontex) pri tem in poziva k precejšnjemu povečanju njenega proračuna v letu 2021, na 838.000.000 EUR, da bo lahko razširila in usposabljala svoje stalne enote in kupila lastno opremo, kar bo omogočilo njihovo uspešno napotitev in uporabo ter operativno podporo državam članicam </w:t>
            </w:r>
            <w:r>
              <w:t>na zunanjih mejah</w:t>
            </w:r>
            <w:r>
              <w:rPr>
                <w:b/>
                <w:i/>
              </w:rPr>
              <w:t>;</w:t>
            </w:r>
          </w:p>
        </w:tc>
        <w:tc>
          <w:tcPr>
            <w:tcW w:w="4876" w:type="dxa"/>
          </w:tcPr>
          <w:p w:rsidR="003238EC" w:rsidRDefault="00207C1B" w:rsidP="005B17FE">
            <w:pPr>
              <w:pStyle w:val="Normal6a"/>
            </w:pPr>
            <w:r>
              <w:t>6.</w:t>
            </w:r>
            <w:r>
              <w:tab/>
            </w:r>
            <w:r>
              <w:rPr>
                <w:b/>
                <w:i/>
              </w:rPr>
              <w:t>je zaskrbljen zaradi vse pogostejših kršitev temeljnih pravic</w:t>
            </w:r>
            <w:r>
              <w:t xml:space="preserve"> na zunanjih mejah </w:t>
            </w:r>
            <w:r>
              <w:rPr>
                <w:b/>
                <w:i/>
              </w:rPr>
              <w:t>EU</w:t>
            </w:r>
            <w:r>
              <w:t xml:space="preserve">; </w:t>
            </w:r>
            <w:r>
              <w:rPr>
                <w:b/>
                <w:i/>
              </w:rPr>
              <w:t>je prepričan, da bi bilo bolje, če bi ogromni proračun, ki je bil Frontexu dodeljen v zadnjih letih, porabili za varne in zakonite poti v Evropsko unijo in kratkoročno tudi za vseevropske operacije iskanja in reševanja na morju, da bi rešili človeška življenja;</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26</w:t>
      </w:r>
      <w:r>
        <w:rPr>
          <w:rStyle w:val="HideTWBExt"/>
          <w:noProof w:val="0"/>
        </w:rPr>
        <w:t>&lt;/NumAm&gt;</w:t>
      </w:r>
    </w:p>
    <w:p w:rsidR="003238EC" w:rsidRDefault="00207C1B" w:rsidP="003238EC">
      <w:pPr>
        <w:pStyle w:val="NormalBold"/>
      </w:pPr>
      <w:r>
        <w:rPr>
          <w:rStyle w:val="HideTWBExt"/>
          <w:noProof w:val="0"/>
        </w:rPr>
        <w:t>&lt;RepeatBlock-By&gt;&lt;Members&gt;</w:t>
      </w:r>
      <w:r>
        <w:t>Karlo Ressler</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6.</w:t>
            </w:r>
            <w:r>
              <w:tab/>
              <w:t>poudarja, kako pomembno je integrirano upravljanje meja za delovanje schengenskega območja; opozarja na pomembno vlogo Evropske agencije za mejno in obalno stražo (Frontex) pri tem in poziva k precejšnjemu povečanju njenega proračuna v letu 2021, na 838.000.000 EUR, da bo lahko razširila in usposabljala svoje stalne enote in kupila lastno opremo, kar bo omogočilo njihovo uspešno napotitev in uporabo ter operativno podporo državam članicam na zunanjih mejah;</w:t>
            </w:r>
          </w:p>
        </w:tc>
        <w:tc>
          <w:tcPr>
            <w:tcW w:w="4876" w:type="dxa"/>
          </w:tcPr>
          <w:p w:rsidR="003238EC" w:rsidRDefault="00207C1B" w:rsidP="005B17FE">
            <w:pPr>
              <w:pStyle w:val="Normal6a"/>
            </w:pPr>
            <w:r>
              <w:t>6.</w:t>
            </w:r>
            <w:r>
              <w:tab/>
              <w:t xml:space="preserve">poudarja, kako pomembno je integrirano upravljanje meja za delovanje </w:t>
            </w:r>
            <w:r>
              <w:rPr>
                <w:b/>
                <w:i/>
              </w:rPr>
              <w:t xml:space="preserve">in nadaljnje povezovanje </w:t>
            </w:r>
            <w:r>
              <w:t>schengenskega območja; opozarja na pomembno vlogo Evropske agencije za mejno in obalno stražo (Frontex) pri tem in poziva k precejšnjemu povečanju njenega proračuna v letu 2021, na 838.000.000 EUR, da bo lahko razširila in usposabljala svoje stalne enote in kupila lastno opremo, kar bo omogočilo njihovo uspešno napotitev in uporabo ter operativno podporo državam članicam na zunanjih mejah;</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27</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6a.</w:t>
            </w:r>
            <w:r>
              <w:tab/>
            </w:r>
            <w:r>
              <w:rPr>
                <w:b/>
                <w:i/>
              </w:rPr>
              <w:t>je seznanjen z zmanjšanjem sredstev za prevzem obveznosti (–5 %) in povečanjem sredstev za plačila (12 %) agencije eu-LISA; opozarja na pomembno vlogo te agencije pri ustreznem uvajanju in operativnem upravljanju obsežnih informacijskih sistemov EU s področja svobode, varnosti in pravice (EES, ETIAS, ECRIS-TCN, EURODAC, VIS, SIS) ter zagotavljanju interoperabilnosti med temi sistemi, saj bo to omogočilo hitrejše in zanesljivejše podatke za organe, ki upravljajo meje, in organe pregona; obžaluje, da Komisija v svojem predlogu ni ugodila zahtevi agencije eu-LISA glede kadrovskih virov; zahteva 14 dodatnih uslužbencev za zavarovanje informacijskih omrežij in podatkovnih zbirk, razširitev krajev delovanja agencije in dejavnosti upravnega odbora;</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28</w:t>
      </w:r>
      <w:r>
        <w:rPr>
          <w:rStyle w:val="HideTWBExt"/>
          <w:noProof w:val="0"/>
        </w:rPr>
        <w:t>&lt;/NumAm&gt;</w:t>
      </w:r>
    </w:p>
    <w:p w:rsidR="003238EC" w:rsidRDefault="00207C1B" w:rsidP="003238EC">
      <w:pPr>
        <w:pStyle w:val="NormalBold"/>
      </w:pPr>
      <w:r>
        <w:rPr>
          <w:rStyle w:val="HideTWBExt"/>
          <w:noProof w:val="0"/>
        </w:rPr>
        <w:t>&lt;RepeatBlock-By&gt;&lt;Members&gt;</w:t>
      </w:r>
      <w:r>
        <w:t>Sabrina Pignedoli, Laura Ferrara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6a.</w:t>
            </w:r>
            <w:r>
              <w:tab/>
            </w:r>
            <w:r>
              <w:rPr>
                <w:b/>
                <w:i/>
              </w:rPr>
              <w:t>opozarja na odločilno vlogo Europola pri zagotavljanju varnosti za državljane EU in pomoči državnim organom pregona v boju proti novim varnostnim grožnjam; je seznanjen s posledicami pandemije covida-19 za evropski organizirani kriminal in za porast kriminalnih dejavnosti na nekaterih področjih, kot so spletne spolne zlorabe otrok in ponarejanje proizvodov; poudarja, da bo med gospodarskim okrevanjem po pandemiji covida-19 potrebna najvišja raven previdnosti, da bi preprečili infiltracijo kriminala v zakonite gospodarske dejavnosti in se borili proti njemu; je prepričan, da lahko agencije in organi EU, kot so Europol, Evropsko javno tožilstvo, Eurojust in OLAF, v usklajenem pristopu EU prispevajo k boju proti organiziranemu kriminalu in morebitnim goljufijam pri uporabi proračuna EU za okrevanje;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29</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6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6a.</w:t>
            </w:r>
            <w:r>
              <w:tab/>
            </w:r>
            <w:r>
              <w:rPr>
                <w:b/>
                <w:i/>
              </w:rPr>
              <w:t>poziva k uvedbi nove proračunske vrstice za operacije iskanja in reševanja, da se ponudi mednarodna zaščita v skladu z obveznostmi, ki so jih države članice prevzele na področju človekovih pravic in pomorskega prava, med drugim pravice do življenja in načela nevračanja;</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30</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7.</w:t>
            </w:r>
            <w:r>
              <w:tab/>
              <w:t xml:space="preserve">je seznanjen z oceno Evropskega javnega tožilstva, da bo v prvem letu delovanja obdelal količino informacij, ustrezajočo 4300 zadevam in 2000 preiskavam; pričakuje, da se bodo delovne obremenitve v prihodnjih letih še povečevale; opominja, da je Evropsko javno tožilstvo urad z zavezujočimi pristojnostmi; </w:t>
            </w:r>
            <w:r>
              <w:rPr>
                <w:b/>
                <w:i/>
              </w:rPr>
              <w:t>z zaskrbljenostjo ugotavlja, da</w:t>
            </w:r>
            <w:r>
              <w:t xml:space="preserve"> je v predlogu proračuna EU za leto 2021 zanj predvidenih zelo malo sredstev; poudarja, da bo treba finančna sredstva tožilstva občutno povečati na 55.000.000 EUR, da bo lahko izpolnilo svoje pravne obveznosti in prevedlo ogromno število dokumentov, ki se posredujejo sodnikom na državni ravni, pa tudi zaposlilo zahtevanih 140 evropskih delegiranih tožilcev in 219 uslužbencev;</w:t>
            </w:r>
          </w:p>
        </w:tc>
        <w:tc>
          <w:tcPr>
            <w:tcW w:w="4876" w:type="dxa"/>
          </w:tcPr>
          <w:p w:rsidR="003238EC" w:rsidRDefault="00207C1B" w:rsidP="005B17FE">
            <w:pPr>
              <w:pStyle w:val="Normal6a"/>
            </w:pPr>
            <w:r>
              <w:t>7.</w:t>
            </w:r>
            <w:r>
              <w:tab/>
              <w:t>je seznanjen z oceno Evropskega javnega tožilstva, da bo v prvem letu delovanja obdelal količino informacij, ustrezajočo 4300 zadevam in 2000 preiskavam; pričakuje, da se bodo delovne obremenitve v prihodnjih letih še povečevale</w:t>
            </w:r>
            <w:r>
              <w:rPr>
                <w:b/>
                <w:i/>
              </w:rPr>
              <w:t>, do 3700 preiskav v letu 2027, in sicer zaradi splošnega povečanja finančnih interesov EU v naslednjem večletnem finančnem okviru in načrtu obnove</w:t>
            </w:r>
            <w:r>
              <w:t xml:space="preserve">; opominja, da je Evropsko javno tožilstvo urad z zavezujočimi pristojnostmi; </w:t>
            </w:r>
            <w:r>
              <w:rPr>
                <w:b/>
                <w:i/>
              </w:rPr>
              <w:t>je zelo zaskrbljen, ker</w:t>
            </w:r>
            <w:r>
              <w:t xml:space="preserve"> je v predlogu proračuna EU za leto 2021 zanj predvidenih zelo malo sredstev</w:t>
            </w:r>
            <w:r>
              <w:rPr>
                <w:b/>
                <w:i/>
              </w:rPr>
              <w:t>, odobrena pa je bila samo polovica zahtevanih delovnih mest</w:t>
            </w:r>
            <w:r>
              <w:t xml:space="preserve">; </w:t>
            </w:r>
            <w:r>
              <w:rPr>
                <w:b/>
                <w:i/>
              </w:rPr>
              <w:t>men, da bo zaradi tega predloga zmožnost nove agencije, da začne izvajati svoje dejavnosti in uresničevati svoje poslanstvo, občutno manjša;</w:t>
            </w:r>
            <w:r>
              <w:t xml:space="preserve"> poudarja, da bo treba finančna sredstva tožilstva občutno povečati na 55.000.000 EUR, da bo lahko izpolnilo svoje pravne obveznosti in prevedlo ogromno število dokumentov, ki se posredujejo sodnikom na državni ravni, pa tudi zaposlilo zahtevanih 140 evropskih delegiranih tožilcev in 219 uslužbencev;</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31</w:t>
      </w:r>
      <w:r>
        <w:rPr>
          <w:rStyle w:val="HideTWBExt"/>
          <w:noProof w:val="0"/>
        </w:rPr>
        <w:t>&lt;/NumAm&gt;</w:t>
      </w:r>
    </w:p>
    <w:p w:rsidR="003238EC" w:rsidRDefault="00207C1B" w:rsidP="003238EC">
      <w:pPr>
        <w:pStyle w:val="NormalBold"/>
      </w:pPr>
      <w:r>
        <w:rPr>
          <w:rStyle w:val="HideTWBExt"/>
          <w:noProof w:val="0"/>
        </w:rPr>
        <w:t>&lt;RepeatBlock-By&gt;&lt;Members&gt;</w:t>
      </w:r>
      <w:r>
        <w:t>Karlo Ressler</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7.</w:t>
            </w:r>
            <w:r>
              <w:tab/>
              <w:t>je seznanjen z oceno Evropskega javnega tožilstva, da bo v prvem letu delovanja obdelal količino informacij, ustrezajočo 4300 zadevam in 2000 preiskavam; pričakuje, da se bodo delovne obremenitve v prihodnjih letih še povečevale; opominja, da je Evropsko javno tožilstvo urad z zavezujočimi pristojnostmi; z zaskrbljenostjo ugotavlja, da je v predlogu proračuna EU za leto 2021 zanj predvidenih zelo malo sredstev; poudarja, da bo treba finančna sredstva tožilstva občutno povečati na 55.000.000 EUR, da bo lahko izpolnilo svoje pravne obveznosti in prevedlo ogromno število dokumentov, ki se posredujejo sodnikom na državni ravni, pa tudi zaposlilo zahtevanih 140 evropskih delegiranih tožilcev in 219 uslužbencev;</w:t>
            </w:r>
          </w:p>
        </w:tc>
        <w:tc>
          <w:tcPr>
            <w:tcW w:w="4876" w:type="dxa"/>
          </w:tcPr>
          <w:p w:rsidR="003238EC" w:rsidRDefault="00207C1B" w:rsidP="005B17FE">
            <w:pPr>
              <w:pStyle w:val="Normal6a"/>
            </w:pPr>
            <w:r>
              <w:t>7.</w:t>
            </w:r>
            <w:r>
              <w:tab/>
              <w:t xml:space="preserve">je seznanjen z oceno Evropskega javnega tožilstva, da bo v prvem letu delovanja obdelal količino informacij, ustrezajočo 4300 zadevam in 2000 preiskavam; pričakuje, da se bodo delovne obremenitve v prihodnjih letih še povečevale; opominja, da je Evropsko javno tožilstvo urad z zavezujočimi pristojnostmi; z zaskrbljenostjo ugotavlja, da je v predlogu proračuna EU za leto 2021 zanj predvidenih zelo malo sredstev; poudarja, da bo treba finančna sredstva tožilstva občutno povečati na 55.000.000 EUR, da bo lahko izpolnilo svoje pravne obveznosti in prevedlo ogromno število dokumentov, ki se posredujejo sodnikom na državni ravni, </w:t>
            </w:r>
            <w:r>
              <w:rPr>
                <w:b/>
                <w:i/>
              </w:rPr>
              <w:t>krilo stroške zaposlovanja in kadrovske stroške,</w:t>
            </w:r>
            <w:r>
              <w:rPr>
                <w:i/>
              </w:rPr>
              <w:t xml:space="preserve"> </w:t>
            </w:r>
            <w:r>
              <w:rPr>
                <w:b/>
                <w:i/>
              </w:rPr>
              <w:t>zlasti za varnostno infrastrukturo,</w:t>
            </w:r>
            <w:r>
              <w:rPr>
                <w:i/>
              </w:rPr>
              <w:t xml:space="preserve"> </w:t>
            </w:r>
            <w:r>
              <w:t>pa tudi zaposlilo zahtevanih 140 evropskih delegiranih tožilcev in 219 uslužbencev;</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32</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7.</w:t>
            </w:r>
            <w:r>
              <w:tab/>
              <w:t xml:space="preserve">je seznanjen z oceno Evropskega javnega tožilstva, da bo v prvem letu delovanja obdelal količino informacij, ustrezajočo 4300 zadevam in 2000 preiskavam; pričakuje, da se bodo delovne obremenitve v prihodnjih letih še povečevale; opominja, da je Evropsko javno tožilstvo urad z zavezujočimi pristojnostmi; z zaskrbljenostjo ugotavlja, da je v predlogu proračuna EU za leto 2021 zanj predvidenih zelo malo sredstev; poudarja, da bo treba finančna sredstva tožilstva občutno povečati na </w:t>
            </w:r>
            <w:r>
              <w:rPr>
                <w:b/>
                <w:i/>
              </w:rPr>
              <w:t>55.000.000</w:t>
            </w:r>
            <w:r>
              <w:t> EUR, da bo lahko izpolnilo svoje pravne obveznosti in prevedlo ogromno število dokumentov, ki se posredujejo sodnikom na državni ravni, pa tudi zaposlilo zahtevanih 140 evropskih delegiranih tožilcev in 219 uslužbencev;</w:t>
            </w:r>
          </w:p>
        </w:tc>
        <w:tc>
          <w:tcPr>
            <w:tcW w:w="4876" w:type="dxa"/>
          </w:tcPr>
          <w:p w:rsidR="003238EC" w:rsidRDefault="00207C1B" w:rsidP="005B17FE">
            <w:pPr>
              <w:pStyle w:val="Normal6a"/>
            </w:pPr>
            <w:r>
              <w:t>7.</w:t>
            </w:r>
            <w:r>
              <w:tab/>
              <w:t xml:space="preserve">je seznanjen z oceno Evropskega javnega tožilstva, da bo v prvem letu delovanja obdelal količino informacij, ustrezajočo 4300 zadevam in 2000 preiskavam; pričakuje, da se bodo delovne obremenitve v prihodnjih letih še povečevale; opominja, da je Evropsko javno tožilstvo urad z zavezujočimi pristojnostmi; z zaskrbljenostjo ugotavlja, da je v predlogu proračuna EU za leto 2021 zanj predvidenih zelo malo sredstev; poudarja, da bo treba finančna sredstva tožilstva občutno povečati na </w:t>
            </w:r>
            <w:r>
              <w:rPr>
                <w:b/>
                <w:i/>
              </w:rPr>
              <w:t>55.500.000</w:t>
            </w:r>
            <w:r>
              <w:t> EUR, da bo lahko izpolnilo svoje pravne obveznosti in prevedlo ogromno število dokumentov, ki se posredujejo sodnikom na državni ravni, pa tudi zaposlilo zahtevanih 140 evropskih delegiranih tožilcev in 219 uslužbencev;</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33</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7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7a.</w:t>
            </w:r>
            <w:r>
              <w:tab/>
            </w:r>
            <w:r>
              <w:rPr>
                <w:b/>
                <w:i/>
              </w:rPr>
              <w:t>poudarja, da je načrt za obnovo nova priložnost za kriminalce, da se okoristijo in zlorabijo sredstva, namenjena ohranjanju delovnih mest in podpori za zakonite gospodarske dejavnosti v Evropi; meni, da bi bilo treba boj proti goljufijam s proračunskimi sredstvi EU, korupciji, pranju denarja in financiranju kriminala v letu 2021 okrepiti; v zvezi s tem poudarja, kako pomembno je zadostno financiranje evropskih agencij na področju pravosodja in notranjih zadev, zlasti Europola, Evropskega javnega tožilstva, Cepola, urada OLAF in Eurojusta;</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34</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7 b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7b.</w:t>
            </w:r>
            <w:r>
              <w:tab/>
            </w:r>
            <w:r>
              <w:rPr>
                <w:b/>
                <w:i/>
              </w:rPr>
              <w:t>pozdravlja novo strategijo o varnostni uniji, ki jo je 24. julija objavila Komisija in ki se osredotoča na zaščito ključne infrastrukture, boj proti kibernetskemu kriminalu, odzivanje na hibridne grožnje in organizirani kriminal; je seznanjen tudi s tem, da so bili predstavljeni trije akcijski načrti, o spletnih spolnih zlorabah otrok, strelnem orožju in drogah; zato meni, da je treba v proračunu Unije za evropske agencije na področju pravosodja in notranjih zadev predvideti dovolj sredstev, da bodo lahko uresničevale te cilje;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35</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9.</w:t>
            </w:r>
            <w:r>
              <w:tab/>
              <w:t xml:space="preserve">obžaluje zmanjšanje proračuna Agencije Evropske unije za temeljne pravice za 0,4 %; </w:t>
            </w:r>
            <w:r>
              <w:rPr>
                <w:b/>
                <w:i/>
              </w:rPr>
              <w:t>namesto tega zahteva povečanje</w:t>
            </w:r>
            <w:r>
              <w:t xml:space="preserve"> sredstev za prevzem obveznosti in plačila na 24.600.000 EUR; poziva tudi, da se v kadrovski načrt agencije dodata dve delovni mesti AD6 in dve delovni mesti za pogodbene uslužbence v funkcijski skupini IV; poudarja, da agencija brez zadostnih finančnih in kadrovskih virov morda ne bo mogla izvesti projektov, ki so odgovor na ugotovljene potrebe;</w:t>
            </w:r>
          </w:p>
        </w:tc>
        <w:tc>
          <w:tcPr>
            <w:tcW w:w="4876" w:type="dxa"/>
          </w:tcPr>
          <w:p w:rsidR="003238EC" w:rsidRDefault="00207C1B" w:rsidP="005B17FE">
            <w:pPr>
              <w:pStyle w:val="Normal6a"/>
            </w:pPr>
            <w:r>
              <w:t>9.</w:t>
            </w:r>
            <w:r>
              <w:tab/>
            </w:r>
            <w:r>
              <w:rPr>
                <w:b/>
                <w:i/>
              </w:rPr>
              <w:t>globoko</w:t>
            </w:r>
            <w:r>
              <w:rPr>
                <w:i/>
              </w:rPr>
              <w:t xml:space="preserve"> </w:t>
            </w:r>
            <w:r>
              <w:t xml:space="preserve">obžaluje zmanjšanje proračuna Agencije Evropske unije za temeljne pravice za 0,4 %; </w:t>
            </w:r>
            <w:r>
              <w:rPr>
                <w:b/>
                <w:i/>
              </w:rPr>
              <w:t xml:space="preserve">poziva k povečanju </w:t>
            </w:r>
            <w:r>
              <w:t xml:space="preserve">sredstev za prevzem obveznosti in plačila </w:t>
            </w:r>
            <w:r>
              <w:rPr>
                <w:b/>
                <w:i/>
              </w:rPr>
              <w:t>vsaj</w:t>
            </w:r>
            <w:r>
              <w:rPr>
                <w:i/>
              </w:rPr>
              <w:t xml:space="preserve"> </w:t>
            </w:r>
            <w:r>
              <w:t>na 24.600.000 EUR</w:t>
            </w:r>
            <w:r>
              <w:rPr>
                <w:b/>
                <w:i/>
              </w:rPr>
              <w:t>, kolikor je agencija prvotno zahtevala</w:t>
            </w:r>
            <w:r>
              <w:t>;</w:t>
            </w:r>
            <w:r>
              <w:rPr>
                <w:b/>
                <w:i/>
              </w:rPr>
              <w:t xml:space="preserve"> poziva tudi k temu, da se upošteva precejšen dodatni trud agencije, da bi pozorno spremljala posledice pandemije covida-19 na temeljne pravice; obžaluje, da se je proračun agencije v zadnjih letih komajda kaj povečal, in poudarja, da ima lahko to posledice za njeno delo, ki se je izkazalo kot izjemno dragoceno za politiko EU</w:t>
            </w:r>
            <w:r>
              <w:t>; poziva tudi, da se v kadrovski načrt agencije dodata dve delovni mesti AD6 in dve delovni mesti za pogodbene uslužbence v funkcijski skupini IV; poudarja, da agencija brez zadostnih finančnih in kadrovskih virov morda ne bo mogla izvesti projektov, ki so odgovor na ugotovljene potrebe;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36</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9.</w:t>
            </w:r>
            <w:r>
              <w:tab/>
              <w:t>obžaluje zmanjšanje proračuna Agencije Evropske unije za temeljne pravice za 0,4 %; namesto tega zahteva povečanje sredstev za prevzem obveznosti in plačila na 24.600.000 EUR; poziva tudi, da se v kadrovski načrt agencije dodata dve delovni mesti AD6 in dve delovni mesti za pogodbene uslužbence v funkcijski skupini IV; poudarja, da agencija brez zadostnih finančnih in kadrovskih virov morda ne bo mogla izvesti projektov, ki so odgovor na ugotovljene potrebe;</w:t>
            </w:r>
          </w:p>
        </w:tc>
        <w:tc>
          <w:tcPr>
            <w:tcW w:w="4876" w:type="dxa"/>
          </w:tcPr>
          <w:p w:rsidR="003238EC" w:rsidRDefault="00207C1B" w:rsidP="005B17FE">
            <w:pPr>
              <w:pStyle w:val="Normal6a"/>
            </w:pPr>
            <w:r>
              <w:t>9.</w:t>
            </w:r>
            <w:r>
              <w:tab/>
              <w:t xml:space="preserve">obžaluje zmanjšanje proračuna Agencije Evropske unije za temeljne pravice za 0,4 %; namesto tega zahteva povečanje sredstev za prevzem obveznosti in plačila na 24.600.000 EUR; poziva tudi, da se v kadrovski načrt agencije dodata dve delovni mesti AD6 in dve delovni mesti za pogodbene uslužbence v funkcijski skupini IV; poudarja, da agencija brez zadostnih finančnih in kadrovskih virov morda ne bo mogla izvesti projektov, ki so odgovor na ugotovljene potrebe; </w:t>
            </w:r>
            <w:r>
              <w:rPr>
                <w:b/>
                <w:i/>
              </w:rPr>
              <w:t>meni, da je treba agencijo podpreti pri odzivanju na pandemijo covida-19 na področju pravičnih tehnologij za zaščito javnega zdravja, nasilja v družini, starejših državljanov, Romov, migracij in azila, zlasti ker bo morda v letu 2021 izbruhnil drugi val okužb;</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37</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9.</w:t>
            </w:r>
            <w:r>
              <w:tab/>
              <w:t>obžaluje zmanjšanje proračuna Agencije Evropske unije za temeljne pravice za 0,4 %; namesto tega zahteva povečanje sredstev za prevzem obveznosti in plačila na 24.600.000 EUR; poziva tudi, da se v kadrovski načrt agencije dodata dve delovni mesti AD6 in dve delovni mesti za pogodbene uslužbence v funkcijski skupini IV; poudarja, da agencija brez zadostnih finančnih in kadrovskih virov morda ne bo mogla izvesti projektov, ki so odgovor na ugotovljene potrebe;</w:t>
            </w:r>
          </w:p>
        </w:tc>
        <w:tc>
          <w:tcPr>
            <w:tcW w:w="4876" w:type="dxa"/>
          </w:tcPr>
          <w:p w:rsidR="003238EC" w:rsidRDefault="00207C1B" w:rsidP="005B17FE">
            <w:pPr>
              <w:pStyle w:val="Normal6a"/>
            </w:pPr>
            <w:r>
              <w:t>9.</w:t>
            </w:r>
            <w:r>
              <w:tab/>
              <w:t>obžaluje zmanjšanje proračuna Agencije Evropske unije za temeljne pravice za 0,4 %; namesto tega zahteva povečanje sredstev za prevzem obveznosti in plačila na 24.600.000 EUR; poziva tudi, da se v kadrovski načrt agencije dodata dve delovni mesti AD6 in dve delovni mesti za pogodbene uslužbence v funkcijski skupini IV; poudarja, da agencija brez zadostnih finančnih in kadrovskih virov morda ne bo mogla izvesti projektov, ki so odgovor na ugotovljene potrebe</w:t>
            </w:r>
            <w:r>
              <w:rPr>
                <w:b/>
                <w:i/>
              </w:rPr>
              <w:t>, zlasti v boju proti diskriminaciji in rasizmu, pri zavzemanju za varstvo podatkov posameznikov in temeljne pravice, tudi na zunanjih mejah, zaščiti migrantov in beguncev ter podpiranju pravičnosti in pravic žrtev</w:t>
            </w:r>
            <w:r>
              <w: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38</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9.</w:t>
            </w:r>
            <w:r>
              <w:tab/>
              <w:t xml:space="preserve">obžaluje zmanjšanje proračuna Agencije Evropske unije za temeljne pravice za 0,4 %; namesto tega zahteva povečanje sredstev za prevzem obveznosti in plačila na </w:t>
            </w:r>
            <w:r>
              <w:rPr>
                <w:b/>
                <w:i/>
              </w:rPr>
              <w:t>24.600.000</w:t>
            </w:r>
            <w:r>
              <w:t xml:space="preserve"> EUR; poziva tudi, da se v kadrovski načrt agencije </w:t>
            </w:r>
            <w:r>
              <w:rPr>
                <w:b/>
                <w:i/>
              </w:rPr>
              <w:t>dodata dve delovni mesti</w:t>
            </w:r>
            <w:r>
              <w:t xml:space="preserve"> AD6 in dve delovni mesti za pogodbene uslužbence v funkcijski skupini IV; poudarja, da agencija brez zadostnih finančnih in kadrovskih virov morda ne bo mogla izvesti projektov, ki so odgovor na ugotovljene potrebe;</w:t>
            </w:r>
          </w:p>
        </w:tc>
        <w:tc>
          <w:tcPr>
            <w:tcW w:w="4876" w:type="dxa"/>
          </w:tcPr>
          <w:p w:rsidR="003238EC" w:rsidRDefault="00207C1B" w:rsidP="005B17FE">
            <w:pPr>
              <w:pStyle w:val="Normal6a"/>
            </w:pPr>
            <w:r>
              <w:t>9.</w:t>
            </w:r>
            <w:r>
              <w:tab/>
              <w:t xml:space="preserve">obžaluje zmanjšanje proračuna Agencije Evropske unije za temeljne pravice za 0,4 %; namesto tega zahteva povečanje sredstev za prevzem obveznosti in plačila na </w:t>
            </w:r>
            <w:r>
              <w:rPr>
                <w:b/>
                <w:i/>
              </w:rPr>
              <w:t>26.679.000</w:t>
            </w:r>
            <w:r>
              <w:t xml:space="preserve"> EUR; poziva tudi, da se v kadrovski načrt agencije </w:t>
            </w:r>
            <w:r>
              <w:rPr>
                <w:b/>
                <w:i/>
              </w:rPr>
              <w:t>doda šest delovnih mest</w:t>
            </w:r>
            <w:r>
              <w:rPr>
                <w:i/>
              </w:rPr>
              <w:t xml:space="preserve"> </w:t>
            </w:r>
            <w:r>
              <w:t>AD6 in dve delovni mesti za pogodbene uslužbence v funkcijski skupini IV; poudarja, da agencija brez zadostnih finančnih in kadrovskih virov morda ne bo mogla izvesti projektov, ki so odgovor na ugotovljene potrebe</w:t>
            </w:r>
            <w:r>
              <w:rPr>
                <w:b/>
                <w:i/>
              </w:rPr>
              <w:t>, in ustrezno spremljati temeljnih pravic v EU</w:t>
            </w:r>
            <w:r>
              <w: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39</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10.</w:t>
            </w:r>
            <w:r>
              <w:tab/>
              <w:t xml:space="preserve">meni, da predlagano povečanje proračunskih sredstev Agencije Evropske unije za pravosodno sodelovanje v kazenskih zadevah (Eurojust) ne zadostuje za izzive, s katerimi se agencija sooča zaradi digitalizacije in naraščajočega števila zadev; zahteva, da se agenciji dodeli </w:t>
            </w:r>
            <w:r>
              <w:rPr>
                <w:b/>
                <w:i/>
              </w:rPr>
              <w:t>17</w:t>
            </w:r>
            <w:r>
              <w:t xml:space="preserve"> dodatnih delovnih mest in da se njen proračun temu ustrezno poveča na 43.800.000 EUR;</w:t>
            </w:r>
          </w:p>
        </w:tc>
        <w:tc>
          <w:tcPr>
            <w:tcW w:w="4876" w:type="dxa"/>
          </w:tcPr>
          <w:p w:rsidR="003238EC" w:rsidRDefault="00207C1B" w:rsidP="005B17FE">
            <w:pPr>
              <w:pStyle w:val="Normal6a"/>
            </w:pPr>
            <w:r>
              <w:t>10.</w:t>
            </w:r>
            <w:r>
              <w:tab/>
              <w:t xml:space="preserve">meni, da predlagano povečanje proračunskih sredstev Agencije Evropske unije za pravosodno sodelovanje v kazenskih zadevah (Eurojust) ne zadostuje za izzive, s katerimi se agencija sooča zaradi digitalizacije in naraščajočega števila zadev; zahteva, da se agenciji dodeli </w:t>
            </w:r>
            <w:r>
              <w:rPr>
                <w:b/>
                <w:i/>
              </w:rPr>
              <w:t>21</w:t>
            </w:r>
            <w:r>
              <w:t xml:space="preserve"> dodatnih delovnih mest in da se njen proračun temu ustrezno poveča na 43.800.000 EUR;</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40</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10.</w:t>
            </w:r>
            <w:r>
              <w:tab/>
              <w:t xml:space="preserve">meni, da predlagano povečanje proračunskih sredstev Agencije Evropske unije za pravosodno sodelovanje v kazenskih zadevah (Eurojust) ne zadostuje za izzive, s katerimi se agencija sooča zaradi </w:t>
            </w:r>
            <w:r>
              <w:rPr>
                <w:b/>
                <w:i/>
              </w:rPr>
              <w:t>digitalizacije in</w:t>
            </w:r>
            <w:r>
              <w:t xml:space="preserve"> naraščajočega števila zadev; zahteva, da se agenciji dodeli 17 dodatnih delovnih mest in da se njen proračun temu ustrezno poveča na 43.800.000 EUR;</w:t>
            </w:r>
          </w:p>
        </w:tc>
        <w:tc>
          <w:tcPr>
            <w:tcW w:w="4876" w:type="dxa"/>
          </w:tcPr>
          <w:p w:rsidR="003238EC" w:rsidRDefault="00207C1B" w:rsidP="005B17FE">
            <w:pPr>
              <w:pStyle w:val="Normal6a"/>
            </w:pPr>
            <w:r>
              <w:t>10.</w:t>
            </w:r>
            <w:r>
              <w:tab/>
              <w:t>meni, da predlagano povečanje proračunskih sredstev Agencije Evropske unije za pravosodno sodelovanje v kazenskih zadevah (Eurojust) ne zadostuje za izzive, s katerimi se agencija sooča zaradi naraščajočega števila zadev; zahteva, da se agenciji dodeli 17 dodatnih delovnih mest in da se njen proračun temu ustrezno poveča na 43.800.000 EUR;</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41</w:t>
      </w:r>
      <w:r>
        <w:rPr>
          <w:rStyle w:val="HideTWBExt"/>
          <w:noProof w:val="0"/>
        </w:rPr>
        <w:t>&lt;/NumAm&gt;</w:t>
      </w:r>
    </w:p>
    <w:p w:rsidR="003238EC" w:rsidRDefault="00207C1B" w:rsidP="003238EC">
      <w:pPr>
        <w:pStyle w:val="NormalBold"/>
      </w:pPr>
      <w:r>
        <w:rPr>
          <w:rStyle w:val="HideTWBExt"/>
          <w:noProof w:val="0"/>
        </w:rPr>
        <w:t>&lt;RepeatBlock-By&gt;&lt;Members&gt;</w:t>
      </w:r>
      <w:r>
        <w:t>Fabienne Keller, Ramona Strugariu, Olivier Chastel, Jan-Christoph Oetjen, Maite Pagazaurtundúa, Nathalie Loiseau, Malik Azmani, Anna Júlia Donáth, Abir Al-Sahlani, Michal Šimečka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11.</w:t>
            </w:r>
            <w:r>
              <w:tab/>
              <w:t>pozdravlja predlagano 16,5-odstotno povečanje sredstev za obveznosti in plačila Evropskega azilnega podpornega urada, obžaluje pa, da se njegov kadrovski načrt temu ustrezno ni povečal; zato zahteva, da se v kadrovski načrt urada doda še 50 delovnih mest; spominja, da urad števila zaposlenih, ki ga zahteva za leto 2021, v novem programskem obdobju ne namerava več povečati, poudariti pa je treba, da bodo potrebne okrepitve, če bo sprejeta nova uredba o Agenciji Evropske unije za azil; poudarja, da bodo novi uslužbenci potrebni za operacije na terenu, pripravo in izvajanje usposabljanja, informacije in analize, praktična orodja, vodstvene dejavnosti in upravne naloge.</w:t>
            </w:r>
          </w:p>
        </w:tc>
        <w:tc>
          <w:tcPr>
            <w:tcW w:w="4876" w:type="dxa"/>
          </w:tcPr>
          <w:p w:rsidR="003238EC" w:rsidRDefault="00207C1B" w:rsidP="005B17FE">
            <w:pPr>
              <w:pStyle w:val="Normal6a"/>
            </w:pPr>
            <w:r>
              <w:t>11.</w:t>
            </w:r>
            <w:r>
              <w:tab/>
              <w:t xml:space="preserve">pozdravlja predlagano 16,5-odstotno povečanje sredstev za obveznosti in plačila Evropskega azilnega podpornega urada, obžaluje pa, da se njegov kadrovski načrt temu ustrezno ni povečal; zato zahteva, da se v kadrovski načrt urada doda še 50 delovnih mest; spominja, da urad števila zaposlenih, ki ga zahteva za leto 2021, v novem programskem obdobju ne namerava več povečati, poudariti pa je treba, da bodo potrebne okrepitve, če bo sprejeta nova uredba o Agenciji Evropske unije za azil; </w:t>
            </w:r>
            <w:r>
              <w:rPr>
                <w:b/>
                <w:i/>
              </w:rPr>
              <w:t>opominja, da so se operativne dejavnosti Evropskega azilnega podpornega urada v zadnjih letih močno povečale zaradi odzivanja na migracijsko krizo ter pomoči državam članicam pri sprejemu prosilcev za azil in izvajanju azilnih postopkov, zlasti na žariščnih točkah EU; poudarja, da je urad dobil številne nove naloge na področju izkrcavanja in premeščanja;</w:t>
            </w:r>
            <w:r>
              <w:t xml:space="preserve"> poudarja, da bodo novi uslužbenci potrebni za operacije na terenu, pripravo in izvajanje usposabljanja, informacije in analize, praktična orodja, vodstvene dejavnosti in upravne naloge</w:t>
            </w:r>
            <w:r>
              <w:rPr>
                <w:b/>
                <w:i/>
              </w:rPr>
              <w:t>, saj pritiski na migracijski in azilni sistem EU ostajajo veliki</w:t>
            </w:r>
            <w:r>
              <w:t>.</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42</w:t>
      </w:r>
      <w:r>
        <w:rPr>
          <w:rStyle w:val="HideTWBExt"/>
          <w:noProof w:val="0"/>
        </w:rPr>
        <w:t>&lt;/NumAm&gt;</w:t>
      </w:r>
    </w:p>
    <w:p w:rsidR="003238EC" w:rsidRDefault="00207C1B" w:rsidP="003238EC">
      <w:pPr>
        <w:pStyle w:val="NormalBold"/>
      </w:pPr>
      <w:r>
        <w:rPr>
          <w:rStyle w:val="HideTWBExt"/>
          <w:noProof w:val="0"/>
        </w:rPr>
        <w:t>&lt;RepeatBlock-By&gt;&lt;Members&gt;</w:t>
      </w:r>
      <w:r>
        <w:t>Pernando Barrena Arza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11.</w:t>
            </w:r>
            <w:r>
              <w:tab/>
              <w:t>pozdravlja predlagano 16,5-odstotno povečanje sredstev za obveznosti in plačila Evropskega azilnega podpornega urada, obžaluje pa, da se njegov kadrovski načrt temu ustrezno ni povečal; zato zahteva, da se v kadrovski načrt urada doda še 50 delovnih mest; spominja, da urad števila zaposlenih, ki ga zahteva za leto 2021, v novem programskem obdobju ne namerava več povečati, poudariti pa je treba, da bodo potrebne okrepitve, če bo sprejeta nova uredba o Agenciji Evropske unije za azil; poudarja, da bodo novi uslužbenci potrebni za operacije na terenu, pripravo in izvajanje usposabljanja, informacije in analize, praktična orodja, vodstvene dejavnosti in upravne naloge</w:t>
            </w:r>
            <w:r>
              <w:rPr>
                <w:b/>
                <w:i/>
              </w:rPr>
              <w:t>.</w:t>
            </w:r>
          </w:p>
        </w:tc>
        <w:tc>
          <w:tcPr>
            <w:tcW w:w="4876" w:type="dxa"/>
          </w:tcPr>
          <w:p w:rsidR="003238EC" w:rsidRDefault="00207C1B" w:rsidP="005B17FE">
            <w:pPr>
              <w:pStyle w:val="Normal6a"/>
            </w:pPr>
            <w:r>
              <w:t>11.</w:t>
            </w:r>
            <w:r>
              <w:tab/>
              <w:t>pozdravlja predlagano 16,5-odstotno povečanje sredstev za obveznosti in plačila Evropskega azilnega podpornega urada, obžaluje pa, da se njegov kadrovski načrt temu ustrezno ni povečal; zato zahteva, da se v kadrovski načrt urada doda še 50 delovnih mest; spominja, da urad števila zaposlenih, ki ga zahteva za leto 2021, v novem programskem obdobju ne namerava več povečati, poudariti pa je treba, da bodo potrebne okrepitve, če bo sprejeta nova uredba o Agenciji Evropske unije za azil; poudarja, da bodo novi uslužbenci potrebni za operacije na terenu, pripravo in izvajanje usposabljanja, informacije in analize, praktična orodja, vodstvene dejavnosti in upravne naloge</w:t>
            </w:r>
            <w:r>
              <w:rPr>
                <w:b/>
                <w:i/>
              </w:rPr>
              <w:t>; je pa seznanjen s pomisleki nevladnih organizacij glede intervjujev, ki jih izvajajo uslužbenci Evropskega azilnega podpornega urada, in predlaga oblikovanje rezerve, da bo ta urad lahko uvedel varovala in tako preprečil, da bi bili njegovi zaposleni med nudenjem operativne podpore državam članicam vpleteni v kršitve temeljnih pravic;</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43</w:t>
      </w:r>
      <w:r>
        <w:rPr>
          <w:rStyle w:val="HideTWBExt"/>
          <w:noProof w:val="0"/>
        </w:rPr>
        <w:t>&lt;/NumAm&gt;</w:t>
      </w:r>
    </w:p>
    <w:p w:rsidR="003238EC" w:rsidRDefault="00207C1B" w:rsidP="003238EC">
      <w:pPr>
        <w:pStyle w:val="NormalBold"/>
      </w:pPr>
      <w:r>
        <w:rPr>
          <w:rStyle w:val="HideTWBExt"/>
          <w:noProof w:val="0"/>
        </w:rPr>
        <w:t>&lt;RepeatBlock-By&gt;&lt;Members&gt;</w:t>
      </w:r>
      <w:r>
        <w:t>Domènec Ruiz Devesa</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207C1B" w:rsidP="005B17FE">
            <w:pPr>
              <w:pStyle w:val="Normal6a"/>
            </w:pPr>
            <w:r>
              <w:t>11.</w:t>
            </w:r>
            <w:r>
              <w:tab/>
              <w:t xml:space="preserve">pozdravlja predlagano 16,5-odstotno povečanje sredstev za obveznosti in plačila Evropskega azilnega podpornega urada, obžaluje pa, da se njegov kadrovski načrt temu ustrezno ni povečal; zato zahteva, da se v kadrovski načrt urada doda še 50 delovnih mest; </w:t>
            </w:r>
            <w:r>
              <w:rPr>
                <w:b/>
                <w:i/>
              </w:rPr>
              <w:t>spominja, da urad števila zaposlenih, ki ga zahteva za leto 2021, v novem programskem obdobju ne namerava več povečati, poudariti pa je treba</w:t>
            </w:r>
            <w:r>
              <w:t>, da bodo potrebne okrepitve, če bo sprejeta nova uredba o Agenciji Evropske unije za azil; poudarja, da bodo novi uslužbenci potrebni za operacije na terenu, pripravo in izvajanje usposabljanja, informacije in analize, praktična orodja, vodstvene dejavnosti in upravne naloge.</w:t>
            </w:r>
          </w:p>
        </w:tc>
        <w:tc>
          <w:tcPr>
            <w:tcW w:w="4876" w:type="dxa"/>
          </w:tcPr>
          <w:p w:rsidR="003238EC" w:rsidRDefault="00207C1B" w:rsidP="005B17FE">
            <w:pPr>
              <w:pStyle w:val="Normal6a"/>
            </w:pPr>
            <w:r>
              <w:t>11.</w:t>
            </w:r>
            <w:r>
              <w:tab/>
              <w:t xml:space="preserve">pozdravlja predlagano 16,5-odstotno povečanje sredstev za obveznosti in plačila Evropskega azilnega podpornega urada, obžaluje pa, da se njegov kadrovski načrt temu ustrezno ni povečal; zato zahteva, da se v kadrovski načrt urada doda še 50 delovnih mest; </w:t>
            </w:r>
            <w:r>
              <w:rPr>
                <w:b/>
                <w:i/>
              </w:rPr>
              <w:t>poudarja</w:t>
            </w:r>
            <w:r>
              <w:t>, da bodo potrebne okrepitve, če bo sprejeta nova uredba o Agenciji Evropske unije za azil; poudarja, da bodo novi uslužbenci potrebni za operacije na terenu, pripravo in izvajanje usposabljanja, informacije in analize, praktična orodja, vodstvene dejavnosti in upravne naloge.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3238EC" w:rsidRDefault="00207C1B" w:rsidP="003238EC">
      <w:r>
        <w:rPr>
          <w:rStyle w:val="HideTWBExt"/>
          <w:noProof w:val="0"/>
        </w:rPr>
        <w:t>&lt;/Amend&gt;</w:t>
      </w:r>
    </w:p>
    <w:p w:rsidR="003238EC" w:rsidRDefault="00207C1B" w:rsidP="003238EC">
      <w:pPr>
        <w:pStyle w:val="AmNumberTabs"/>
      </w:pPr>
      <w:r>
        <w:rPr>
          <w:rStyle w:val="HideTWBExt"/>
          <w:noProof w:val="0"/>
        </w:rPr>
        <w:t>&lt;Amend&gt;</w:t>
      </w:r>
      <w:r>
        <w:t>Predlog spremembe</w:t>
      </w:r>
      <w:r>
        <w:tab/>
      </w:r>
      <w:r>
        <w:tab/>
      </w:r>
      <w:r>
        <w:rPr>
          <w:rStyle w:val="HideTWBExt"/>
          <w:noProof w:val="0"/>
        </w:rPr>
        <w:t>&lt;NumAm&gt;</w:t>
      </w:r>
      <w:r>
        <w:t>44</w:t>
      </w:r>
      <w:r>
        <w:rPr>
          <w:rStyle w:val="HideTWBExt"/>
          <w:noProof w:val="0"/>
        </w:rPr>
        <w:t>&lt;/NumAm&gt;</w:t>
      </w:r>
    </w:p>
    <w:p w:rsidR="003238EC" w:rsidRDefault="00207C1B" w:rsidP="003238EC">
      <w:pPr>
        <w:pStyle w:val="NormalBold"/>
      </w:pPr>
      <w:r>
        <w:rPr>
          <w:rStyle w:val="HideTWBExt"/>
          <w:noProof w:val="0"/>
        </w:rPr>
        <w:t>&lt;RepeatBlock-By&gt;&lt;Members&gt;</w:t>
      </w:r>
      <w:r>
        <w:t>Gwendoline Delbos-Corfield</w:t>
      </w:r>
      <w:r>
        <w:rPr>
          <w:rStyle w:val="HideTWBExt"/>
          <w:noProof w:val="0"/>
        </w:rPr>
        <w:t>&lt;/Members&gt;</w:t>
      </w:r>
    </w:p>
    <w:p w:rsidR="003238EC" w:rsidRDefault="00207C1B" w:rsidP="003238EC">
      <w:pPr>
        <w:pStyle w:val="NormalBold"/>
      </w:pPr>
      <w:r>
        <w:rPr>
          <w:rStyle w:val="HideTWBExt"/>
          <w:noProof w:val="0"/>
        </w:rPr>
        <w:t>&lt;/RepeatBlock-By&gt;</w:t>
      </w:r>
    </w:p>
    <w:p w:rsidR="003238EC" w:rsidRDefault="00207C1B" w:rsidP="003238EC">
      <w:pPr>
        <w:pStyle w:val="NormalBold"/>
      </w:pPr>
      <w:r>
        <w:rPr>
          <w:rStyle w:val="HideTWBExt"/>
          <w:noProof w:val="0"/>
        </w:rPr>
        <w:t>&lt;DocAmend&gt;</w:t>
      </w:r>
      <w:r>
        <w:t>Osnutek mnenja</w:t>
      </w:r>
      <w:r>
        <w:rPr>
          <w:rStyle w:val="HideTWBExt"/>
          <w:noProof w:val="0"/>
        </w:rPr>
        <w:t>&lt;/DocAmend&gt;</w:t>
      </w:r>
    </w:p>
    <w:p w:rsidR="003238EC" w:rsidRDefault="00207C1B" w:rsidP="003238EC">
      <w:pPr>
        <w:pStyle w:val="NormalBold"/>
      </w:pPr>
      <w:r>
        <w:rPr>
          <w:rStyle w:val="HideTWBExt"/>
          <w:noProof w:val="0"/>
        </w:rPr>
        <w:t>&lt;Article&gt;</w:t>
      </w:r>
      <w:r>
        <w:t>Odstavek 11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F4" w:rsidTr="005B17FE">
        <w:trPr>
          <w:trHeight w:hRule="exact" w:val="240"/>
          <w:jc w:val="center"/>
        </w:trPr>
        <w:tc>
          <w:tcPr>
            <w:tcW w:w="9752" w:type="dxa"/>
            <w:gridSpan w:val="2"/>
          </w:tcPr>
          <w:p w:rsidR="003238EC" w:rsidRDefault="003238EC" w:rsidP="005B17FE"/>
        </w:tc>
      </w:tr>
      <w:tr w:rsidR="00FD28F4" w:rsidTr="005B17FE">
        <w:trPr>
          <w:trHeight w:val="240"/>
          <w:jc w:val="center"/>
        </w:trPr>
        <w:tc>
          <w:tcPr>
            <w:tcW w:w="4876" w:type="dxa"/>
          </w:tcPr>
          <w:p w:rsidR="003238EC" w:rsidRDefault="00207C1B" w:rsidP="005B17FE">
            <w:pPr>
              <w:pStyle w:val="AmColumnHeading"/>
            </w:pPr>
            <w:r>
              <w:t>Osnutek mnenja</w:t>
            </w:r>
          </w:p>
        </w:tc>
        <w:tc>
          <w:tcPr>
            <w:tcW w:w="4876" w:type="dxa"/>
          </w:tcPr>
          <w:p w:rsidR="003238EC" w:rsidRDefault="00207C1B" w:rsidP="005B17FE">
            <w:pPr>
              <w:pStyle w:val="AmColumnHeading"/>
            </w:pPr>
            <w:r>
              <w:t>Predlog spremembe</w:t>
            </w:r>
          </w:p>
        </w:tc>
      </w:tr>
      <w:tr w:rsidR="00FD28F4" w:rsidTr="005B17FE">
        <w:trPr>
          <w:jc w:val="center"/>
        </w:trPr>
        <w:tc>
          <w:tcPr>
            <w:tcW w:w="4876" w:type="dxa"/>
          </w:tcPr>
          <w:p w:rsidR="003238EC" w:rsidRDefault="003238EC" w:rsidP="005B17FE">
            <w:pPr>
              <w:pStyle w:val="Normal6a"/>
            </w:pPr>
          </w:p>
        </w:tc>
        <w:tc>
          <w:tcPr>
            <w:tcW w:w="4876" w:type="dxa"/>
          </w:tcPr>
          <w:p w:rsidR="003238EC" w:rsidRDefault="00207C1B" w:rsidP="005B17FE">
            <w:pPr>
              <w:pStyle w:val="Normal6a"/>
            </w:pPr>
            <w:r>
              <w:rPr>
                <w:b/>
                <w:i/>
              </w:rPr>
              <w:t>11a.</w:t>
            </w:r>
            <w:r>
              <w:tab/>
            </w:r>
            <w:r>
              <w:rPr>
                <w:b/>
                <w:i/>
              </w:rPr>
              <w:t>poziva Komisijo, Svet in države članice, naj pri načrtovanju vseh javnih, proračunskih odhodkov upoštevajo vidik spola; spominja, da bi moral biti ta pristop vključen v vse faze proračunskega postopka in vse proračunske vrstice;</w:t>
            </w:r>
          </w:p>
        </w:tc>
      </w:tr>
    </w:tbl>
    <w:p w:rsidR="003238EC" w:rsidRDefault="00207C1B" w:rsidP="003238EC">
      <w:pPr>
        <w:pStyle w:val="AmOrLang"/>
      </w:pPr>
      <w:r>
        <w:t xml:space="preserve">Or. </w:t>
      </w:r>
      <w:r>
        <w:rPr>
          <w:rStyle w:val="HideTWBExt"/>
          <w:noProof w:val="0"/>
        </w:rPr>
        <w:t>&lt;Original&gt;</w:t>
      </w:r>
      <w:r>
        <w:rPr>
          <w:rStyle w:val="HideTWBInt"/>
        </w:rPr>
        <w:t>{EN}</w:t>
      </w:r>
      <w:r>
        <w:t>en</w:t>
      </w:r>
      <w:r>
        <w:rPr>
          <w:rStyle w:val="HideTWBExt"/>
          <w:noProof w:val="0"/>
        </w:rPr>
        <w:t>&lt;/Original&gt;</w:t>
      </w:r>
    </w:p>
    <w:p w:rsidR="00D6787A" w:rsidRPr="00B937C5" w:rsidRDefault="00207C1B" w:rsidP="003238EC">
      <w:r>
        <w:rPr>
          <w:rStyle w:val="HideTWBExt"/>
          <w:noProof w:val="0"/>
        </w:rPr>
        <w:t>&lt;/Amend&gt;&lt;/RepeatBlock-Amend&gt;</w:t>
      </w:r>
    </w:p>
    <w:p w:rsidR="004F7EAC" w:rsidRPr="00B937C5" w:rsidRDefault="004F7EAC" w:rsidP="00D6787A"/>
    <w:sectPr w:rsidR="004F7EAC" w:rsidRPr="00B937C5" w:rsidSect="000B5DC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31" w:rsidRDefault="00207C1B">
      <w:r>
        <w:separator/>
      </w:r>
    </w:p>
  </w:endnote>
  <w:endnote w:type="continuationSeparator" w:id="0">
    <w:p w:rsidR="005F0831" w:rsidRDefault="0020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1" w:rsidRPr="00B937C5" w:rsidRDefault="00207C1B" w:rsidP="00C52038">
    <w:pPr>
      <w:pStyle w:val="EPFooter"/>
    </w:pPr>
    <w:r w:rsidRPr="00B937C5">
      <w:t>PE</w:t>
    </w:r>
    <w:r w:rsidRPr="00B937C5">
      <w:rPr>
        <w:rStyle w:val="HideTWBExt"/>
        <w:noProof w:val="0"/>
      </w:rPr>
      <w:t>&lt;NoPE&gt;</w:t>
    </w:r>
    <w:r w:rsidR="003238EC" w:rsidRPr="003238EC">
      <w:t>655.893</w:t>
    </w:r>
    <w:r w:rsidRPr="00B937C5">
      <w:rPr>
        <w:rStyle w:val="HideTWBExt"/>
        <w:noProof w:val="0"/>
      </w:rPr>
      <w:t>&lt;/NoPE&gt;&lt;Version&gt;</w:t>
    </w:r>
    <w:r w:rsidR="00B937C5" w:rsidRPr="00B937C5">
      <w:t>v</w:t>
    </w:r>
    <w:r w:rsidR="003238EC" w:rsidRPr="003238EC">
      <w:t>01-00</w:t>
    </w:r>
    <w:r w:rsidRPr="00B937C5">
      <w:rPr>
        <w:rStyle w:val="HideTWBExt"/>
        <w:noProof w:val="0"/>
      </w:rPr>
      <w:t>&lt;/Version&gt;</w:t>
    </w:r>
    <w:r w:rsidRPr="00B937C5">
      <w:tab/>
    </w:r>
    <w:r w:rsidR="00DC01F1" w:rsidRPr="00B937C5">
      <w:fldChar w:fldCharType="begin"/>
    </w:r>
    <w:r w:rsidR="00DC01F1" w:rsidRPr="00B937C5">
      <w:instrText xml:space="preserve"> PAGE </w:instrText>
    </w:r>
    <w:r w:rsidR="00DC01F1" w:rsidRPr="00B937C5">
      <w:fldChar w:fldCharType="separate"/>
    </w:r>
    <w:r w:rsidR="00D15C24">
      <w:rPr>
        <w:noProof/>
      </w:rPr>
      <w:t>2</w:t>
    </w:r>
    <w:r w:rsidR="00DC01F1" w:rsidRPr="00B937C5">
      <w:fldChar w:fldCharType="end"/>
    </w:r>
    <w:r w:rsidR="00DC01F1" w:rsidRPr="00B937C5">
      <w:t>/</w:t>
    </w:r>
    <w:r w:rsidR="00525309">
      <w:fldChar w:fldCharType="begin"/>
    </w:r>
    <w:r>
      <w:instrText xml:space="preserve"> NUMPAGES </w:instrText>
    </w:r>
    <w:r w:rsidR="00525309">
      <w:fldChar w:fldCharType="separate"/>
    </w:r>
    <w:r w:rsidR="00D15C24">
      <w:rPr>
        <w:noProof/>
      </w:rPr>
      <w:t>31</w:t>
    </w:r>
    <w:r w:rsidR="00525309">
      <w:rPr>
        <w:noProof/>
      </w:rPr>
      <w:fldChar w:fldCharType="end"/>
    </w:r>
    <w:r w:rsidRPr="00B937C5">
      <w:tab/>
    </w:r>
    <w:r w:rsidRPr="00B937C5">
      <w:rPr>
        <w:rStyle w:val="HideTWBExt"/>
        <w:noProof w:val="0"/>
      </w:rPr>
      <w:t>&lt;PathFdR&gt;</w:t>
    </w:r>
    <w:r w:rsidR="003238EC" w:rsidRPr="003238EC">
      <w:t>AM\1211424SL.docx</w:t>
    </w:r>
    <w:r w:rsidRPr="00B937C5">
      <w:rPr>
        <w:rStyle w:val="HideTWBExt"/>
        <w:noProof w:val="0"/>
      </w:rPr>
      <w:t>&lt;/PathFdR&gt;</w:t>
    </w:r>
  </w:p>
  <w:p w:rsidR="002E29E1" w:rsidRPr="00B937C5" w:rsidRDefault="003238EC">
    <w:pPr>
      <w:pStyle w:val="EPFooter2"/>
    </w:pPr>
    <w:r>
      <w:fldChar w:fldCharType="begin"/>
    </w:r>
    <w:r w:rsidR="00207C1B">
      <w:instrText xml:space="preserve"> DOCPROPERTY "&lt;Extension&gt;" </w:instrText>
    </w:r>
    <w:r>
      <w:fldChar w:fldCharType="separate"/>
    </w:r>
    <w:r w:rsidR="00D15C24">
      <w:t>SL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1" w:rsidRPr="00B937C5" w:rsidRDefault="00207C1B" w:rsidP="00C52038">
    <w:pPr>
      <w:pStyle w:val="EPFooter"/>
    </w:pPr>
    <w:r w:rsidRPr="00B937C5">
      <w:rPr>
        <w:rStyle w:val="HideTWBExt"/>
        <w:noProof w:val="0"/>
      </w:rPr>
      <w:t>&lt;PathFdR&gt;</w:t>
    </w:r>
    <w:r w:rsidR="003238EC" w:rsidRPr="003238EC">
      <w:t>AM\1211424SL.docx</w:t>
    </w:r>
    <w:r w:rsidRPr="00B937C5">
      <w:rPr>
        <w:rStyle w:val="HideTWBExt"/>
        <w:noProof w:val="0"/>
      </w:rPr>
      <w:t>&lt;/PathFdR&gt;</w:t>
    </w:r>
    <w:r w:rsidRPr="00B937C5">
      <w:tab/>
    </w:r>
    <w:r w:rsidR="00DC01F1" w:rsidRPr="00B937C5">
      <w:fldChar w:fldCharType="begin"/>
    </w:r>
    <w:r w:rsidR="00DC01F1" w:rsidRPr="00B937C5">
      <w:instrText xml:space="preserve"> PAGE </w:instrText>
    </w:r>
    <w:r w:rsidR="00DC01F1" w:rsidRPr="00B937C5">
      <w:fldChar w:fldCharType="separate"/>
    </w:r>
    <w:r w:rsidR="00D15C24">
      <w:rPr>
        <w:noProof/>
      </w:rPr>
      <w:t>31</w:t>
    </w:r>
    <w:r w:rsidR="00DC01F1" w:rsidRPr="00B937C5">
      <w:fldChar w:fldCharType="end"/>
    </w:r>
    <w:r w:rsidR="00DC01F1" w:rsidRPr="00B937C5">
      <w:t>/</w:t>
    </w:r>
    <w:r w:rsidR="00465E9B">
      <w:fldChar w:fldCharType="begin"/>
    </w:r>
    <w:r>
      <w:instrText xml:space="preserve"> NUMPAGES </w:instrText>
    </w:r>
    <w:r w:rsidR="00465E9B">
      <w:fldChar w:fldCharType="separate"/>
    </w:r>
    <w:r w:rsidR="00D15C24">
      <w:rPr>
        <w:noProof/>
      </w:rPr>
      <w:t>31</w:t>
    </w:r>
    <w:r w:rsidR="00465E9B">
      <w:rPr>
        <w:noProof/>
      </w:rPr>
      <w:fldChar w:fldCharType="end"/>
    </w:r>
    <w:r w:rsidRPr="00B937C5">
      <w:tab/>
      <w:t>PE</w:t>
    </w:r>
    <w:r w:rsidRPr="00B937C5">
      <w:rPr>
        <w:rStyle w:val="HideTWBExt"/>
        <w:noProof w:val="0"/>
      </w:rPr>
      <w:t>&lt;NoPE&gt;</w:t>
    </w:r>
    <w:r w:rsidR="003238EC" w:rsidRPr="003238EC">
      <w:t>655.893</w:t>
    </w:r>
    <w:r w:rsidRPr="00B937C5">
      <w:rPr>
        <w:rStyle w:val="HideTWBExt"/>
        <w:noProof w:val="0"/>
      </w:rPr>
      <w:t>&lt;/NoPE&gt;&lt;Version&gt;</w:t>
    </w:r>
    <w:r w:rsidR="00B937C5" w:rsidRPr="00B937C5">
      <w:t>v</w:t>
    </w:r>
    <w:r w:rsidR="003238EC" w:rsidRPr="003238EC">
      <w:t>01-00</w:t>
    </w:r>
    <w:r w:rsidRPr="00B937C5">
      <w:rPr>
        <w:rStyle w:val="HideTWBExt"/>
        <w:noProof w:val="0"/>
      </w:rPr>
      <w:t>&lt;/Version&gt;</w:t>
    </w:r>
  </w:p>
  <w:p w:rsidR="002E29E1" w:rsidRPr="00B937C5" w:rsidRDefault="00207C1B">
    <w:pPr>
      <w:pStyle w:val="EPFooter2"/>
    </w:pPr>
    <w:r w:rsidRPr="00B937C5">
      <w:tab/>
    </w:r>
    <w:r w:rsidRPr="00B937C5">
      <w:tab/>
    </w:r>
    <w:r w:rsidR="003238EC">
      <w:fldChar w:fldCharType="begin"/>
    </w:r>
    <w:r>
      <w:instrText xml:space="preserve"> DOCPROPERTY "&lt;Extension&gt;" </w:instrText>
    </w:r>
    <w:r w:rsidR="003238EC">
      <w:fldChar w:fldCharType="separate"/>
    </w:r>
    <w:r w:rsidR="00D15C24">
      <w:t>SL</w:t>
    </w:r>
    <w:r w:rsidR="003238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1" w:rsidRPr="00B937C5" w:rsidRDefault="00207C1B" w:rsidP="00C52038">
    <w:pPr>
      <w:pStyle w:val="EPFooter"/>
    </w:pPr>
    <w:r w:rsidRPr="00B937C5">
      <w:rPr>
        <w:rStyle w:val="HideTWBExt"/>
        <w:noProof w:val="0"/>
      </w:rPr>
      <w:t>&lt;PathFdR&gt;</w:t>
    </w:r>
    <w:r w:rsidR="003238EC" w:rsidRPr="003238EC">
      <w:t>AM\1211424SL.docx</w:t>
    </w:r>
    <w:r w:rsidRPr="00B937C5">
      <w:rPr>
        <w:rStyle w:val="HideTWBExt"/>
        <w:noProof w:val="0"/>
      </w:rPr>
      <w:t>&lt;/PathFdR&gt;</w:t>
    </w:r>
    <w:r w:rsidRPr="00B937C5">
      <w:tab/>
    </w:r>
    <w:r w:rsidRPr="00B937C5">
      <w:tab/>
      <w:t>PE</w:t>
    </w:r>
    <w:r w:rsidRPr="00B937C5">
      <w:rPr>
        <w:rStyle w:val="HideTWBExt"/>
        <w:noProof w:val="0"/>
      </w:rPr>
      <w:t>&lt;NoPE&gt;</w:t>
    </w:r>
    <w:r w:rsidR="003238EC" w:rsidRPr="003238EC">
      <w:t>655.893</w:t>
    </w:r>
    <w:r w:rsidRPr="00B937C5">
      <w:rPr>
        <w:rStyle w:val="HideTWBExt"/>
        <w:noProof w:val="0"/>
      </w:rPr>
      <w:t>&lt;/NoPE&gt;&lt;Version&gt;</w:t>
    </w:r>
    <w:r w:rsidR="00B937C5" w:rsidRPr="00B937C5">
      <w:t>v</w:t>
    </w:r>
    <w:r w:rsidR="003238EC" w:rsidRPr="003238EC">
      <w:t>01-00</w:t>
    </w:r>
    <w:r w:rsidRPr="00B937C5">
      <w:rPr>
        <w:rStyle w:val="HideTWBExt"/>
        <w:noProof w:val="0"/>
      </w:rPr>
      <w:t>&lt;/Version&gt;</w:t>
    </w:r>
  </w:p>
  <w:p w:rsidR="002E29E1" w:rsidRPr="00B937C5" w:rsidRDefault="003238EC" w:rsidP="000856B6">
    <w:pPr>
      <w:pStyle w:val="EPFooter2"/>
      <w:tabs>
        <w:tab w:val="clear" w:pos="4535"/>
        <w:tab w:val="center" w:pos="4536"/>
      </w:tabs>
    </w:pPr>
    <w:r>
      <w:fldChar w:fldCharType="begin"/>
    </w:r>
    <w:r w:rsidR="00207C1B">
      <w:instrText xml:space="preserve"> DOCPROPERTY "&lt;Extension&gt;" </w:instrText>
    </w:r>
    <w:r>
      <w:fldChar w:fldCharType="separate"/>
    </w:r>
    <w:r w:rsidR="00D15C24">
      <w:t>SL</w:t>
    </w:r>
    <w:r>
      <w:fldChar w:fldCharType="end"/>
    </w:r>
    <w:r w:rsidR="00207C1B" w:rsidRPr="00B937C5">
      <w:tab/>
    </w:r>
    <w:r>
      <w:rPr>
        <w:b w:val="0"/>
        <w:i/>
        <w:color w:val="C0C0C0"/>
        <w:sz w:val="22"/>
        <w:szCs w:val="22"/>
      </w:rPr>
      <w:t>Združena v raznolikosti</w:t>
    </w:r>
    <w:r w:rsidR="00207C1B" w:rsidRPr="00B937C5">
      <w:tab/>
    </w:r>
    <w:r>
      <w:fldChar w:fldCharType="begin"/>
    </w:r>
    <w:r w:rsidR="00207C1B">
      <w:instrText xml:space="preserve"> DOCPROPERTY "&lt;Extension&gt;" </w:instrText>
    </w:r>
    <w:r>
      <w:fldChar w:fldCharType="separate"/>
    </w:r>
    <w:r w:rsidR="00D15C24">
      <w:t>SL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31" w:rsidRDefault="00207C1B">
      <w:r>
        <w:separator/>
      </w:r>
    </w:p>
  </w:footnote>
  <w:footnote w:type="continuationSeparator" w:id="0">
    <w:p w:rsidR="005F0831" w:rsidRDefault="0020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EC" w:rsidRDefault="0032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EC" w:rsidRDefault="00323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EC" w:rsidRDefault="00323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3"/>
    <w:docVar w:name="COMMKEY" w:val="LIBE"/>
    <w:docVar w:name="DOCDT" w:val="17/08/2020"/>
    <w:docVar w:name="LastEditedSection" w:val=" 1"/>
    <w:docVar w:name="RepeatBlock-AmendSL" w:val="{\rtf1\adeflang1025\ansi\ansicpg1252\uc1\adeff0\deff0\stshfdbch0\stshfloch0\stshfhich0\stshfbi0\deflang2057\deflangfe2057\themelang2057\themelangfe0\themelangcs1108{\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swiss\fcharset0\fprq2 DokChampa{\*\falt Leelawadee UI};}{\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533859 HideTWBExt;}{\*\cs18 \additive \v\f1\fs20\cf15 _x000d__x000a_\spriority0 \styrsid15533859 HideTWBInt;}{\s19\qr \li0\ri0\sb240\sa240\nowidctlpar\wrapdefault\aspalpha\aspnum\faauto\adjustright\rin0\lin0\itap0 \rtlch\fcs1 \af0\afs20\alang1025 \ltrch\fcs0 \fs24\lang1060\langfe2057\cgrid\langnp1060\langfenp2057 _x000d__x000a_\sbasedon0 \snext19 \spriority0 \styrsid15533859 AmOrLang;}{\s20\ql \li0\ri0\sa120\nowidctlpar\wrapdefault\aspalpha\aspnum\faauto\adjustright\rin0\lin0\itap0 \rtlch\fcs1 \af0\afs20\alang1025 \ltrch\fcs0 _x000d__x000a_\fs24\lang1060\langfe2057\cgrid\langnp1060\langfenp2057 \sbasedon0 \snext20 \spriority0 \styrsid15533859 Normal6a;}{\s21\ql \li0\ri0\nowidctlpar\wrapdefault\aspalpha\aspnum\faauto\adjustright\rin0\lin0\itap0 \rtlch\fcs1 \af0\afs20\alang1025 \ltrch\fcs0 _x000d__x000a_\b\fs24\lang1060\langfe2057\cgrid\langnp1060\langfenp2057 \sbasedon0 \snext21 \spriority0 \styrsid15533859 NormalBold;}{\s22\qc \li0\ri0\sa240\nowidctlpar\wrapdefault\aspalpha\aspnum\faauto\adjustright\rin0\lin0\itap0 \rtlch\fcs1 \af0\afs20\alang1025 _x000d__x000a_\ltrch\fcs0 \i\fs24\lang1060\langfe2057\cgrid\langnp1060\langfenp2057 \sbasedon0 \snext22 \spriority0 \styrsid1553385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3 \spriority0 \styrsid15533859 AmNumberTabs;}}{\*\rsidtbl \rsid24658\rsid223860\rsid735077\rsid1718133\rsid2195121\rsid2892074\rsid3565327\rsid4666813\rsid6641733_x000d__x000a_\rsid7823322\rsid9636012\rsid10377208\rsid11215221\rsid11549030\rsid12154954\rsid14382809\rsid14424199\rsid15204470\rsid15285974\rsid15533859\rsid15950462\rsid16324206\rsid16662270}{\mmathPr\mmathFont34\mbrkBin0\mbrkBinSub0\msmallFrac0\mdispDef1\mlMargin0_x000d__x000a_\mrMargin0\mdefJc1\mwrapIndent1440\mintLim0\mnaryLim1}{\info{\author ZALOZNIK Katja}{\operator ZALOZNIK Katja}{\creatim\yr2020\mo8\dy20\hr17\min2}{\revtim\yr2020\mo8\dy20\hr17\min2}{\version1}{\edmins0}{\nofpages1}{\nofwords69}{\nofchars401}_x000d__x000a_{\nofcharsws46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533859\newtblstyruls\nogrowautofit\usenormstyforlist\noindnmbrts\felnbrelev\nocxsptable\indrlsweleven\noafcnsttbl\afelev\utinl\hwelev\spltpgpar\notcvasp\notbrkcnstfrctbl\notvatxbx\krnprsnet\cachedcolbal _x000d__x000a_\nouicompat \fet0{\*\wgrffmtfilter 013f}\nofeaturethrottle1\ilfomacatclnup0{\*\template C:\\Users\\KZALOZ~1\\AppData\\Local\\Temp\\Blank1.dotx}{\*\ftnsep \ltrpar \pard\plain \ltrpar_x000d__x000a_\ql \li0\ri0\widctlpar\wrapdefault\aspalpha\aspnum\faauto\adjustright\rin0\lin0\itap0 \rtlch\fcs1 \af0\afs20\alang1025 \ltrch\fcs0 \fs24\lang2057\langfe2057\cgrid\langnp2057\langfenp2057 {\rtlch\fcs1 \af0 \ltrch\fcs0 \insrsid2195121 \chftnsep _x000d__x000a_\par }}{\*\ftnsepc \ltrpar \pard\plain \ltrpar\ql \li0\ri0\widctlpar\wrapdefault\aspalpha\aspnum\faauto\adjustright\rin0\lin0\itap0 \rtlch\fcs1 \af0\afs20\alang1025 \ltrch\fcs0 \fs24\lang2057\langfe2057\cgrid\langnp2057\langfenp2057 {\rtlch\fcs1 \af0 _x000d__x000a_\ltrch\fcs0 \insrsid2195121 \chftnsepc _x000d__x000a_\par }}{\*\aftnsep \ltrpar \pard\plain \ltrpar\ql \li0\ri0\widctlpar\wrapdefault\aspalpha\aspnum\faauto\adjustright\rin0\lin0\itap0 \rtlch\fcs1 \af0\afs20\alang1025 \ltrch\fcs0 \fs24\lang2057\langfe2057\cgrid\langnp2057\langfenp2057 {\rtlch\fcs1 \af0 _x000d__x000a_\ltrch\fcs0 \insrsid2195121 \chftnsep _x000d__x000a_\par }}{\*\aftnsepc \ltrpar \pard\plain \ltrpar\ql \li0\ri0\widctlpar\wrapdefault\aspalpha\aspnum\faauto\adjustright\rin0\lin0\itap0 \rtlch\fcs1 \af0\afs20\alang1025 \ltrch\fcs0 \fs24\lang2057\langfe2057\cgrid\langnp2057\langfenp2057 {\rtlch\fcs1 \af0 _x000d__x000a_\ltrch\fcs0 \insrsid219512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5533859 \rtlch\fcs1 _x000d__x000a_\af0\afs20\alang1025 \ltrch\fcs0 \b\fs24\lang1060\langfe2057\cgrid\langnp1060\langfenp2057 {\rtlch\fcs1 \af0 \ltrch\fcs0 \cs17\b0\v\f1\fs20\cf9\insrsid15533859\charrsid12138437 {\*\bkmkstart restart}&lt;Amend&gt;}{\rtlch\fcs1 \af0 \ltrch\fcs0 _x000d__x000a_\insrsid15533859\charrsid12138437 Predlog spremembe\tab \tab }{\rtlch\fcs1 \af0 \ltrch\fcs0 \cs17\b0\v\f1\fs20\cf9\insrsid15533859\charrsid12138437 &lt;NumAm&gt;}{\rtlch\fcs1 \af0 \ltrch\fcs0 \insrsid15533859\charrsid12138437 #}{\rtlch\fcs1 \af1 \ltrch\fcs0 _x000d__x000a_\cs18\v\f1\fs20\cf15\insrsid15533859\charrsid12138437 ENMIENDA@NRAM@}{\rtlch\fcs1 \af0 \ltrch\fcs0 \insrsid15533859\charrsid12138437 #}{\rtlch\fcs1 \af0 \ltrch\fcs0 \cs17\b0\v\f1\fs20\cf9\insrsid15533859\charrsid12138437 &lt;/NumAm&gt;}{\rtlch\fcs1 \af0 _x000d__x000a_\ltrch\fcs0 \insrsid15533859\charrsid12138437 _x000d__x000a_\par }\pard\plain \ltrpar\s21\ql \li0\ri0\nowidctlpar\wrapdefault\aspalpha\aspnum\faauto\adjustright\rin0\lin0\itap0\pararsid15533859 \rtlch\fcs1 \af0\afs20\alang1025 \ltrch\fcs0 \b\fs24\lang1060\langfe2057\cgrid\langnp1060\langfenp2057 {\rtlch\fcs1 \af0 _x000d__x000a_\ltrch\fcs0 \cs17\b0\v\f1\fs20\cf9\insrsid15533859\charrsid12138437 &lt;RepeatBlock-By&gt;}{\rtlch\fcs1 \af0 \ltrch\fcs0 \insrsid15533859\charrsid12138437 #}{\rtlch\fcs1 \af1 \ltrch\fcs0 \cs18\v\f1\fs20\cf15\insrsid15533859\charrsid12138437 (MOD@InsideLoop()}{_x000d__x000a_\rtlch\fcs1 \af0 \ltrch\fcs0 \insrsid15533859\charrsid12138437 ##}{\rtlch\fcs1 \af1 \ltrch\fcs0 \cs18\v\f1\fs20\cf15\insrsid15533859\charrsid12138437 &gt;&gt;&gt;@[ZMEMBERSMSG]@}{\rtlch\fcs1 \af0 \ltrch\fcs0 \insrsid15533859\charrsid12138437 #}{\rtlch\fcs1 \af0 _x000d__x000a_\ltrch\fcs0 \cs17\b0\v\f1\fs20\cf9\insrsid15533859\charrsid12138437 &lt;Members&gt;}{\rtlch\fcs1 \af0 \ltrch\fcs0 \insrsid15533859\charrsid12138437 #}{\rtlch\fcs1 \af1 \ltrch\fcs0 \cs18\v\f1\fs20\cf15\insrsid15533859\charrsid12138437 (MOD@InsideLoop(\'a7)}{_x000d__x000a_\rtlch\fcs1 \af0 \ltrch\fcs0 \insrsid15533859\charrsid12138437 #}{\rtlch\fcs1 \af0 \ltrch\fcs0 \cf10\insrsid15533859\charrsid12138437 \u9668\'3f}{\rtlch\fcs1 \af0 \ltrch\fcs0 \insrsid15533859\charrsid12138437 #}{\rtlch\fcs1 \af1 \ltrch\fcs0 _x000d__x000a_\cs18\v\f1\fs20\cf15\insrsid15533859\charrsid12138437 TVTMEMBERS\'a7@MEMBERS@}{\rtlch\fcs1 \af0 \ltrch\fcs0 \insrsid15533859\charrsid12138437 #}{\rtlch\fcs1 \af0 \ltrch\fcs0 \cf10\insrsid15533859\charrsid12138437 \u9658\'3f}{\rtlch\fcs1 \af0 \ltrch\fcs0 _x000d__x000a_\cs17\b0\v\f1\fs20\cf9\insrsid15533859\charrsid12138437 &lt;/Members&gt;}{\rtlch\fcs1 \af0 \ltrch\fcs0 \insrsid15533859\charrsid12138437 _x000d__x000a_\par }\pard\plain \ltrpar\ql \li0\ri0\widctlpar\wrapdefault\aspalpha\aspnum\faauto\adjustright\rin0\lin0\itap0\pararsid15533859 \rtlch\fcs1 \af0\afs20\alang1025 \ltrch\fcs0 \fs24\lang2057\langfe2057\cgrid\langnp2057\langfenp2057 {\rtlch\fcs1 \af0 \ltrch\fcs0 _x000d__x000a_\cs17\v\f1\fs20\cf9\lang1060\langfe2057\langnp1060\insrsid15533859\charrsid12138437 &lt;AuNomDe&gt;&lt;OptDel&gt;}{\rtlch\fcs1 \af0 \ltrch\fcs0 \lang1060\langfe2057\langnp1060\insrsid15533859\charrsid12138437 #}{\rtlch\fcs1 \af1 \ltrch\fcs0 _x000d__x000a_\cs18\v\f1\fs20\cf15\lang1060\langfe2057\langnp1060\insrsid15533859\charrsid12138437 MNU[ONBEHALFYES][NOTAPP]@CHOICE@}{\rtlch\fcs1 \af0 \ltrch\fcs0 \lang1060\langfe2057\langnp1060\insrsid15533859\charrsid12138437 #}{\rtlch\fcs1 \af0 \ltrch\fcs0 _x000d__x000a_\cs17\v\f1\fs20\cf9\lang1060\langfe2057\langnp1060\insrsid15533859\charrsid12138437 &lt;/OptDel&gt;&lt;/AuNomDe&gt;}{\rtlch\fcs1 \af0 \ltrch\fcs0 \lang1060\langfe2057\langnp1060\insrsid15533859\charrsid12138437 _x000d__x000a_\par &lt;&lt;&lt;}{\rtlch\fcs1 \af0 \ltrch\fcs0 \cs17\v\f1\fs20\cf9\lang1060\langfe2057\langnp1060\insrsid15533859\charrsid12138437 &lt;/RepeatBlock-By&gt;}{\rtlch\fcs1 \af0 \ltrch\fcs0 \lang1060\langfe2057\langnp1060\insrsid15533859\charrsid12138437 _x000d__x000a_\par }\pard\plain \ltrpar\s21\ql \li0\ri0\nowidctlpar\wrapdefault\aspalpha\aspnum\faauto\adjustright\rin0\lin0\itap0\pararsid15533859 \rtlch\fcs1 \af0\afs20\alang1025 \ltrch\fcs0 \b\fs24\lang1060\langfe2057\cgrid\langnp1060\langfenp2057 {\rtlch\fcs1 \af0 _x000d__x000a_\ltrch\fcs0 \cs17\b0\v\f1\fs20\cf9\insrsid15533859\charrsid12138437 &lt;DocAmend&gt;}{\rtlch\fcs1 \af0 \ltrch\fcs0 \insrsid15533859\charrsid12138437 Osnutek mnenja}{\rtlch\fcs1 \af0 \ltrch\fcs0 \cs17\b0\v\f1\fs20\cf9\insrsid15533859\charrsid12138437 &lt;/DocAmend&gt;_x000d__x000a_}{\rtlch\fcs1 \af0 \ltrch\fcs0 \insrsid15533859\charrsid12138437 _x000d__x000a_\par }{\rtlch\fcs1 \af0 \ltrch\fcs0 \cs17\b0\v\f1\fs20\cf9\insrsid15533859\charrsid12138437 &lt;Article&gt;}{\rtlch\fcs1 \af0 \ltrch\fcs0 \cf10\insrsid15533859\charrsid12138437 \u9668\'3f}{\rtlch\fcs1 \af0 \ltrch\fcs0 \insrsid15533859\charrsid12138437 #}{_x000d__x000a_\rtlch\fcs1 \af1 \ltrch\fcs0 \cs18\v\f1\fs20\cf15\insrsid15533859\charrsid12138437 TVTAMPART@AMPART@}{\rtlch\fcs1 \af0 \ltrch\fcs0 \insrsid15533859\charrsid12138437 #}{\rtlch\fcs1 \af0 \ltrch\fcs0 \cf10\insrsid15533859\charrsid12138437 \u9658\'3f}{_x000d__x000a_\rtlch\fcs1 \af0 \ltrch\fcs0 \cs17\b0\v\f1\fs20\cf9\insrsid15533859\charrsid12138437 &lt;/Article&gt;}{\rtlch\fcs1 \af0 \ltrch\fcs0 \insrsid15533859\charrsid12138437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lang1060\langfe2057\langnp1060\insrsid15533859\charrsid12138437 \cell }\pard\plain \ltrpar_x000d__x000a_\ql \li0\ri0\widctlpar\intbl\wrapdefault\aspalpha\aspnum\faauto\adjustright\rin0\lin0 \rtlch\fcs1 \af0\afs20\alang1025 \ltrch\fcs0 \fs24\lang2057\langfe2057\cgrid\langnp2057\langfenp2057 {\rtlch\fcs1 \af0 \ltrch\fcs0 _x000d__x000a_\lang1060\langfe2057\langnp1060\insrsid15533859\charrsid12138437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1060\langfe2057\cgrid\langnp1060\langfenp2057 {\rtlch\fcs1 \af0 \ltrch\fcs0 _x000d__x000a_\insrsid15533859\charrsid12138437 Osnutek mnenja\cell Predlog spremembe\cell }\pard\plain \ltrpar\ql \li0\ri0\widctlpar\intbl\wrapdefault\aspalpha\aspnum\faauto\adjustright\rin0\lin0 \rtlch\fcs1 \af0\afs20\alang1025 \ltrch\fcs0 _x000d__x000a_\fs24\lang2057\langfe2057\cgrid\langnp2057\langfenp2057 {\rtlch\fcs1 \af0 \ltrch\fcs0 \lang1060\langfe2057\langnp1060\insrsid15533859\charrsid12138437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1060\langfe2057\cgrid\langnp1060\langfenp2057 {\rtlch\fcs1 \af0 \ltrch\fcs0 _x000d__x000a_\insrsid15533859\charrsid12138437 #}{\rtlch\fcs1 \af1 \ltrch\fcs0 \cs18\v\f1\fs20\cf15\insrsid15533859\charrsid12138437 TEXTMSG}{\rtlch\fcs1 \af0 \ltrch\fcs0 \insrsid15533859\charrsid12138437 #\cell #}{\rtlch\fcs1 \af1 \ltrch\fcs0 _x000d__x000a_\cs18\v\f1\fs20\cf15\insrsid15533859\charrsid12138437 TEXTMSG}{\rtlch\fcs1 \af0 \ltrch\fcs0 \insrsid15533859\charrsid12138437 #}{\rtlch\fcs1 \af0\afs24 \ltrch\fcs0 \insrsid15533859\charrsid12138437 \cell }\pard\plain \ltrpar_x000d__x000a_\ql \li0\ri0\widctlpar\intbl\wrapdefault\aspalpha\aspnum\faauto\adjustright\rin0\lin0 \rtlch\fcs1 \af0\afs20\alang1025 \ltrch\fcs0 \fs24\lang2057\langfe2057\cgrid\langnp2057\langfenp2057 {\rtlch\fcs1 \af0 \ltrch\fcs0 _x000d__x000a_\lang1060\langfe2057\langnp1060\insrsid15533859\charrsid12138437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5533859 \rtlch\fcs1 \af0\afs20\alang1025 \ltrch\fcs0 \fs24\lang1060\langfe2057\cgrid\langnp1060\langfenp2057 {\rtlch\fcs1 \af0 \ltrch\fcs0 _x000d__x000a_\insrsid15533859\charrsid12138437 Or. }{\rtlch\fcs1 \af0 \ltrch\fcs0 \cs17\v\f1\fs20\cf9\insrsid15533859\charrsid12138437 &lt;Original&gt;}{\rtlch\fcs1 \af0 \ltrch\fcs0 \insrsid15533859\charrsid12138437 #}{\rtlch\fcs1 \af1 \ltrch\fcs0 _x000d__x000a_\cs18\v\f1\fs20\cf15\insrsid15533859\charrsid12138437 KEY(MAIN/LANGMIN)sh@ORLANGMSG@}{\rtlch\fcs1 \af0 \ltrch\fcs0 \insrsid15533859\charrsid12138437 #}{\rtlch\fcs1 \af0 \ltrch\fcs0 \cs17\v\f1\fs20\cf9\insrsid15533859\charrsid12138437 &lt;/Original&gt;}{_x000d__x000a_\rtlch\fcs1 \af0 \ltrch\fcs0 \insrsid15533859\charrsid12138437 _x000d__x000a_\par }\pard\plain \ltrpar\ql \li0\ri0\widctlpar\wrapdefault\aspalpha\aspnum\faauto\adjustright\rin0\lin0\itap0\pararsid15533859 \rtlch\fcs1 \af0\afs20\alang1025 \ltrch\fcs0 \fs24\lang2057\langfe2057\cgrid\langnp2057\langfenp2057 {\rtlch\fcs1 \af0 \ltrch\fcs0 _x000d__x000a_\cs17\v\f1\fs20\cf9\lang1060\langfe2057\langnp1060\insrsid15533859\charrsid1213843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9_x000d__x000a_e9ec027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11"/>
    <w:docVar w:name="TXTAUTHOR" w:val="Karlo Ressler"/>
    <w:docVar w:name="TXTLANGUE" w:val="SL"/>
    <w:docVar w:name="TXTLANGUEMIN" w:val="sl"/>
    <w:docVar w:name="TXTNRFIRSTAM" w:val="1"/>
    <w:docVar w:name="TXTNRLASTAM" w:val="44"/>
    <w:docVar w:name="TXTNRPE2" w:val="654.091"/>
    <w:docVar w:name="TXTNRPROC" w:val="2020/1998"/>
    <w:docVar w:name="TXTPE" w:val="655.893"/>
    <w:docVar w:name="TXTPEorAP" w:val="PE"/>
    <w:docVar w:name="TXTROUTE" w:val="AM\1211424SL.docx"/>
    <w:docVar w:name="TXTTITLE" w:val="General budget of the European Union for the financial year 2021 - all sections"/>
    <w:docVar w:name="TXTVERSION" w:val="01-00"/>
    <w:docVar w:name="TXTVERSION2" w:val="01-00"/>
  </w:docVars>
  <w:rsids>
    <w:rsidRoot w:val="00B937C5"/>
    <w:rsid w:val="00042914"/>
    <w:rsid w:val="000449AB"/>
    <w:rsid w:val="000856B6"/>
    <w:rsid w:val="000B5DC7"/>
    <w:rsid w:val="0010255D"/>
    <w:rsid w:val="00140551"/>
    <w:rsid w:val="00142B74"/>
    <w:rsid w:val="00202B0E"/>
    <w:rsid w:val="00207C1B"/>
    <w:rsid w:val="00262416"/>
    <w:rsid w:val="00272657"/>
    <w:rsid w:val="002E29E1"/>
    <w:rsid w:val="002F2F21"/>
    <w:rsid w:val="002F3259"/>
    <w:rsid w:val="003238EC"/>
    <w:rsid w:val="00370BE8"/>
    <w:rsid w:val="003772C2"/>
    <w:rsid w:val="00390616"/>
    <w:rsid w:val="003B23F7"/>
    <w:rsid w:val="003E38E2"/>
    <w:rsid w:val="004262C2"/>
    <w:rsid w:val="00465E9B"/>
    <w:rsid w:val="00491E6D"/>
    <w:rsid w:val="004A2427"/>
    <w:rsid w:val="004A32DF"/>
    <w:rsid w:val="004A40CE"/>
    <w:rsid w:val="004C032D"/>
    <w:rsid w:val="004C579A"/>
    <w:rsid w:val="004E4D92"/>
    <w:rsid w:val="004F44BB"/>
    <w:rsid w:val="004F7EAC"/>
    <w:rsid w:val="00521A86"/>
    <w:rsid w:val="00525309"/>
    <w:rsid w:val="00556B89"/>
    <w:rsid w:val="005757CD"/>
    <w:rsid w:val="00587102"/>
    <w:rsid w:val="005B17FE"/>
    <w:rsid w:val="005D04A2"/>
    <w:rsid w:val="005E6B56"/>
    <w:rsid w:val="005F0831"/>
    <w:rsid w:val="005F175C"/>
    <w:rsid w:val="005F3A36"/>
    <w:rsid w:val="005F5B12"/>
    <w:rsid w:val="00680AA9"/>
    <w:rsid w:val="00686824"/>
    <w:rsid w:val="006A3135"/>
    <w:rsid w:val="006B0EA8"/>
    <w:rsid w:val="006C136E"/>
    <w:rsid w:val="006D5228"/>
    <w:rsid w:val="00742225"/>
    <w:rsid w:val="007630CD"/>
    <w:rsid w:val="00776553"/>
    <w:rsid w:val="007837D1"/>
    <w:rsid w:val="007A6C3E"/>
    <w:rsid w:val="007C48A3"/>
    <w:rsid w:val="007D142A"/>
    <w:rsid w:val="007F22E4"/>
    <w:rsid w:val="00821E7F"/>
    <w:rsid w:val="008305E9"/>
    <w:rsid w:val="00847353"/>
    <w:rsid w:val="00860E96"/>
    <w:rsid w:val="008D6E5C"/>
    <w:rsid w:val="009079C1"/>
    <w:rsid w:val="0093376E"/>
    <w:rsid w:val="00952B7C"/>
    <w:rsid w:val="009531F4"/>
    <w:rsid w:val="00992DA2"/>
    <w:rsid w:val="00995DD2"/>
    <w:rsid w:val="009A4B45"/>
    <w:rsid w:val="009B1A30"/>
    <w:rsid w:val="009E0F42"/>
    <w:rsid w:val="009F34EA"/>
    <w:rsid w:val="009F3795"/>
    <w:rsid w:val="00A365F2"/>
    <w:rsid w:val="00A36655"/>
    <w:rsid w:val="00A804CE"/>
    <w:rsid w:val="00A818D8"/>
    <w:rsid w:val="00AB2324"/>
    <w:rsid w:val="00AB4119"/>
    <w:rsid w:val="00AD74E0"/>
    <w:rsid w:val="00B27AC5"/>
    <w:rsid w:val="00B371C6"/>
    <w:rsid w:val="00B52CA8"/>
    <w:rsid w:val="00B937C5"/>
    <w:rsid w:val="00BA3694"/>
    <w:rsid w:val="00BA4548"/>
    <w:rsid w:val="00BB2984"/>
    <w:rsid w:val="00BC4200"/>
    <w:rsid w:val="00BD7D4A"/>
    <w:rsid w:val="00C52038"/>
    <w:rsid w:val="00C85D0F"/>
    <w:rsid w:val="00D03964"/>
    <w:rsid w:val="00D15C24"/>
    <w:rsid w:val="00D6787A"/>
    <w:rsid w:val="00DC01F1"/>
    <w:rsid w:val="00E158AC"/>
    <w:rsid w:val="00E2597D"/>
    <w:rsid w:val="00E4751A"/>
    <w:rsid w:val="00E56F4F"/>
    <w:rsid w:val="00EB0900"/>
    <w:rsid w:val="00EF54D2"/>
    <w:rsid w:val="00EF70AC"/>
    <w:rsid w:val="00F25EB9"/>
    <w:rsid w:val="00F30AA4"/>
    <w:rsid w:val="00F3338B"/>
    <w:rsid w:val="00FA7F93"/>
    <w:rsid w:val="00FD28F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05A6B3-602A-4857-8DED-0EF04D7F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paragraph" w:customStyle="1" w:styleId="NormalBold">
    <w:name w:val="NormalBold"/>
    <w:basedOn w:val="Normal"/>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sz w:val="22"/>
    </w:rPr>
  </w:style>
  <w:style w:type="paragraph" w:styleId="TOCHeading">
    <w:name w:val="TOC Heading"/>
    <w:basedOn w:val="Normal"/>
    <w:next w:val="Normal"/>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9B1A30"/>
    <w:rPr>
      <w:sz w:val="24"/>
    </w:rPr>
  </w:style>
  <w:style w:type="paragraph" w:styleId="TOC1">
    <w:name w:val="toc 1"/>
    <w:basedOn w:val="Normal"/>
    <w:next w:val="Normal"/>
    <w:autoRedefine/>
    <w:rsid w:val="003238EC"/>
  </w:style>
  <w:style w:type="paragraph" w:customStyle="1" w:styleId="AmJustText">
    <w:name w:val="AmJustText"/>
    <w:basedOn w:val="Normal"/>
    <w:rsid w:val="003238EC"/>
    <w:pPr>
      <w:spacing w:after="240"/>
    </w:pPr>
    <w:rPr>
      <w:i/>
    </w:rPr>
  </w:style>
  <w:style w:type="paragraph" w:customStyle="1" w:styleId="AmCrossRef">
    <w:name w:val="AmCrossRef"/>
    <w:basedOn w:val="Normal"/>
    <w:rsid w:val="003238EC"/>
    <w:pPr>
      <w:spacing w:before="240" w:after="240"/>
      <w:jc w:val="center"/>
    </w:pPr>
    <w:rPr>
      <w:i/>
    </w:rPr>
  </w:style>
  <w:style w:type="paragraph" w:customStyle="1" w:styleId="AmJustTitle">
    <w:name w:val="AmJustTitle"/>
    <w:basedOn w:val="Normal"/>
    <w:next w:val="AmJustText"/>
    <w:rsid w:val="003238EC"/>
    <w:pPr>
      <w:keepNext/>
      <w:spacing w:before="240" w:after="240"/>
      <w:jc w:val="center"/>
    </w:pPr>
    <w:rPr>
      <w:i/>
    </w:rPr>
  </w:style>
  <w:style w:type="paragraph" w:customStyle="1" w:styleId="NormalBold12b">
    <w:name w:val="NormalBold12b"/>
    <w:basedOn w:val="Normal"/>
    <w:rsid w:val="003238EC"/>
    <w:pPr>
      <w:spacing w:before="240"/>
    </w:pPr>
    <w:rPr>
      <w:b/>
    </w:rPr>
  </w:style>
  <w:style w:type="paragraph" w:customStyle="1" w:styleId="Normal2">
    <w:name w:val="Normal2"/>
    <w:basedOn w:val="Normal"/>
    <w:qFormat/>
    <w:rsid w:val="003238EC"/>
    <w:pPr>
      <w:spacing w:line="120" w:lineRule="auto"/>
    </w:pPr>
    <w:rPr>
      <w:sz w:val="4"/>
    </w:rPr>
  </w:style>
  <w:style w:type="paragraph" w:customStyle="1" w:styleId="NormalItalic6a">
    <w:name w:val="NormalItalic6a"/>
    <w:basedOn w:val="Normal6a"/>
    <w:qFormat/>
    <w:rsid w:val="003238EC"/>
    <w:rPr>
      <w:i/>
    </w:rPr>
  </w:style>
  <w:style w:type="character" w:customStyle="1" w:styleId="NormalBI">
    <w:name w:val="NormalBI"/>
    <w:basedOn w:val="DefaultParagraphFont"/>
    <w:uiPriority w:val="1"/>
    <w:qFormat/>
    <w:rsid w:val="003238EC"/>
    <w:rPr>
      <w:rFonts w:ascii="Times New Roman" w:hAnsi="Times New Roman"/>
      <w:b/>
      <w:i/>
      <w:sz w:val="24"/>
    </w:rPr>
  </w:style>
  <w:style w:type="paragraph" w:customStyle="1" w:styleId="NormalBoldItalic6a">
    <w:name w:val="NormalBoldItalic6a"/>
    <w:basedOn w:val="Normal6a"/>
    <w:qFormat/>
    <w:rsid w:val="003238EC"/>
    <w:rPr>
      <w:b/>
      <w:i/>
    </w:rPr>
  </w:style>
  <w:style w:type="paragraph" w:customStyle="1" w:styleId="NormalBoldItalicCenter6a">
    <w:name w:val="NormalBoldItalicCenter6a"/>
    <w:basedOn w:val="Normal6a"/>
    <w:qFormat/>
    <w:rsid w:val="003238EC"/>
    <w:pPr>
      <w:jc w:val="center"/>
    </w:pPr>
    <w:rPr>
      <w:b/>
      <w:i/>
    </w:rPr>
  </w:style>
  <w:style w:type="paragraph" w:customStyle="1" w:styleId="EPFooter2Landscape">
    <w:name w:val="EPFooter2Landscape"/>
    <w:qFormat/>
    <w:rsid w:val="003238EC"/>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238EC"/>
    <w:rPr>
      <w:rFonts w:ascii="Arial" w:hAnsi="Arial"/>
      <w:b w:val="0"/>
      <w:i/>
      <w:color w:val="C0C0C0"/>
      <w:sz w:val="22"/>
    </w:rPr>
  </w:style>
  <w:style w:type="character" w:customStyle="1" w:styleId="Bold">
    <w:name w:val="Bold"/>
    <w:uiPriority w:val="1"/>
    <w:qFormat/>
    <w:rsid w:val="003238EC"/>
    <w:rPr>
      <w:b/>
    </w:rPr>
  </w:style>
  <w:style w:type="character" w:customStyle="1" w:styleId="Italic">
    <w:name w:val="Italic"/>
    <w:uiPriority w:val="1"/>
    <w:qFormat/>
    <w:rsid w:val="003238EC"/>
    <w:rPr>
      <w:i/>
    </w:rPr>
  </w:style>
  <w:style w:type="character" w:customStyle="1" w:styleId="BoldItalic">
    <w:name w:val="BoldItalic"/>
    <w:uiPriority w:val="1"/>
    <w:qFormat/>
    <w:rsid w:val="003238EC"/>
    <w:rPr>
      <w:b/>
      <w:i/>
    </w:rPr>
  </w:style>
  <w:style w:type="character" w:customStyle="1" w:styleId="Underline">
    <w:name w:val="Underline"/>
    <w:uiPriority w:val="1"/>
    <w:qFormat/>
    <w:rsid w:val="003238EC"/>
    <w:rPr>
      <w:u w:val="single"/>
    </w:rPr>
  </w:style>
  <w:style w:type="character" w:customStyle="1" w:styleId="Sub">
    <w:name w:val="Sub"/>
    <w:uiPriority w:val="1"/>
    <w:qFormat/>
    <w:rsid w:val="003238EC"/>
    <w:rPr>
      <w:vertAlign w:val="subscript"/>
    </w:rPr>
  </w:style>
  <w:style w:type="character" w:customStyle="1" w:styleId="Sup">
    <w:name w:val="Sup"/>
    <w:uiPriority w:val="1"/>
    <w:qFormat/>
    <w:rsid w:val="003238EC"/>
    <w:rPr>
      <w:vertAlign w:val="superscript"/>
    </w:rPr>
  </w:style>
  <w:style w:type="character" w:customStyle="1" w:styleId="SupBoldItalic">
    <w:name w:val="SupBoldItalic"/>
    <w:uiPriority w:val="1"/>
    <w:qFormat/>
    <w:rsid w:val="003238EC"/>
    <w:rPr>
      <w:b/>
      <w:i/>
      <w:vertAlign w:val="superscript"/>
    </w:rPr>
  </w:style>
  <w:style w:type="character" w:customStyle="1" w:styleId="SubBoldItalic">
    <w:name w:val="SubBoldItalic"/>
    <w:uiPriority w:val="1"/>
    <w:qFormat/>
    <w:rsid w:val="003238EC"/>
    <w:rPr>
      <w:b/>
      <w:i/>
      <w:vertAlign w:val="subscript"/>
    </w:rPr>
  </w:style>
  <w:style w:type="paragraph" w:customStyle="1" w:styleId="EPFooterLandscape">
    <w:name w:val="EPFooterLandscape"/>
    <w:qFormat/>
    <w:rsid w:val="003238EC"/>
    <w:pPr>
      <w:tabs>
        <w:tab w:val="center" w:pos="6804"/>
        <w:tab w:val="right" w:pos="15026"/>
      </w:tabs>
    </w:pPr>
    <w:rPr>
      <w:sz w:val="22"/>
    </w:rPr>
  </w:style>
  <w:style w:type="paragraph" w:styleId="Footer">
    <w:name w:val="footer"/>
    <w:basedOn w:val="Normal"/>
    <w:link w:val="FooterChar"/>
    <w:semiHidden/>
    <w:rsid w:val="003238EC"/>
    <w:pPr>
      <w:tabs>
        <w:tab w:val="center" w:pos="4513"/>
        <w:tab w:val="right" w:pos="9026"/>
      </w:tabs>
    </w:pPr>
  </w:style>
  <w:style w:type="character" w:customStyle="1" w:styleId="FooterChar">
    <w:name w:val="Footer Char"/>
    <w:basedOn w:val="DefaultParagraphFont"/>
    <w:link w:val="Footer"/>
    <w:semiHidden/>
    <w:rsid w:val="003238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9876</Words>
  <Characters>55410</Characters>
  <Application>Microsoft Office Word</Application>
  <DocSecurity>0</DocSecurity>
  <Lines>1178</Lines>
  <Paragraphs>598</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64688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ZALOZNIK Katja</dc:creator>
  <cp:lastModifiedBy>POTOCNIK Lea</cp:lastModifiedBy>
  <cp:revision>2</cp:revision>
  <cp:lastPrinted>2003-08-28T15:32:00Z</cp:lastPrinted>
  <dcterms:created xsi:type="dcterms:W3CDTF">2020-09-01T08:38:00Z</dcterms:created>
  <dcterms:modified xsi:type="dcterms:W3CDTF">2020-09-01T08:38:00Z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1211424</vt:lpwstr>
  </property>
  <property fmtid="{D5CDD505-2E9C-101B-9397-08002B2CF9AE}" pid="4" name="&lt;Model&gt;">
    <vt:lpwstr>AM_Com_NonLegOpinion</vt:lpwstr>
  </property>
  <property fmtid="{D5CDD505-2E9C-101B-9397-08002B2CF9AE}" pid="5" name="&lt;ModelCod&gt;">
    <vt:lpwstr>\\eiciLUXpr1\pdocep$\DocEP\DOCS\General\AM\AM_NonLeg\AM_Com_NonLeg\AM_Com_NonLegOpinion.dotx(17/04/2020 19:26:11)</vt:lpwstr>
  </property>
  <property fmtid="{D5CDD505-2E9C-101B-9397-08002B2CF9AE}" pid="6" name="&lt;ModelTra&gt;">
    <vt:lpwstr>\\eiciLUXpr1\pdocep$\DocEP\TRANSFIL\SL\AM_Com_NonLegOpinion.SL(03/07/2020 09:55:00)</vt:lpwstr>
  </property>
  <property fmtid="{D5CDD505-2E9C-101B-9397-08002B2CF9AE}" pid="7" name="&lt;Type&gt;">
    <vt:lpwstr>AM</vt:lpwstr>
  </property>
  <property fmtid="{D5CDD505-2E9C-101B-9397-08002B2CF9AE}" pid="8" name="Bookout">
    <vt:lpwstr>OK - 2020/09/01 10:38</vt:lpwstr>
  </property>
  <property fmtid="{D5CDD505-2E9C-101B-9397-08002B2CF9AE}" pid="9" name="Created with">
    <vt:lpwstr>9.9.1 Build [20200705]</vt:lpwstr>
  </property>
  <property fmtid="{D5CDD505-2E9C-101B-9397-08002B2CF9AE}" pid="10" name="FooterPath">
    <vt:lpwstr>AM\1211424SL.docx</vt:lpwstr>
  </property>
  <property fmtid="{D5CDD505-2E9C-101B-9397-08002B2CF9AE}" pid="11" name="LastEdited with">
    <vt:lpwstr>9.9.1 Build [20200705]</vt:lpwstr>
  </property>
  <property fmtid="{D5CDD505-2E9C-101B-9397-08002B2CF9AE}" pid="12" name="PE number">
    <vt:lpwstr>655.893</vt:lpwstr>
  </property>
  <property fmtid="{D5CDD505-2E9C-101B-9397-08002B2CF9AE}" pid="13" name="SDLStudio">
    <vt:lpwstr/>
  </property>
  <property fmtid="{D5CDD505-2E9C-101B-9397-08002B2CF9AE}" pid="14" name="SubscribeElise">
    <vt:lpwstr/>
  </property>
</Properties>
</file>