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537AB8" w:rsidRPr="0007707F">
        <w:trPr>
          <w:trHeight w:hRule="exact" w:val="1417"/>
          <w:jc w:val="center"/>
        </w:trPr>
        <w:tc>
          <w:tcPr>
            <w:tcW w:w="6804" w:type="dxa"/>
            <w:vAlign w:val="center"/>
          </w:tcPr>
          <w:p w:rsidR="00537AB8" w:rsidRPr="0007707F" w:rsidRDefault="00A77B3E">
            <w:pPr>
              <w:pStyle w:val="EPName"/>
            </w:pPr>
            <w:r w:rsidRPr="0007707F">
              <w:t>Evropski parlament</w:t>
            </w:r>
          </w:p>
          <w:p w:rsidR="00537AB8" w:rsidRPr="0007707F" w:rsidRDefault="000F612F">
            <w:pPr>
              <w:pStyle w:val="EPTerm"/>
            </w:pPr>
            <w:r w:rsidRPr="0007707F">
              <w:t>2019-2024</w:t>
            </w:r>
          </w:p>
        </w:tc>
        <w:tc>
          <w:tcPr>
            <w:tcW w:w="2268" w:type="dxa"/>
          </w:tcPr>
          <w:p w:rsidR="00537AB8" w:rsidRPr="0007707F" w:rsidRDefault="000F612F">
            <w:pPr>
              <w:pStyle w:val="EPLogo"/>
            </w:pPr>
            <w:r w:rsidRPr="0007707F">
              <w:rPr>
                <w:lang w:eastAsia="sl-SI"/>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689356"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537AB8" w:rsidRPr="0007707F" w:rsidRDefault="00537AB8">
      <w:pPr>
        <w:pStyle w:val="LineTop"/>
      </w:pPr>
    </w:p>
    <w:p w:rsidR="00537AB8" w:rsidRPr="0007707F" w:rsidRDefault="000F612F">
      <w:pPr>
        <w:pStyle w:val="EPBody"/>
      </w:pPr>
      <w:r w:rsidRPr="0007707F">
        <w:rPr>
          <w:rStyle w:val="HideTWBExt"/>
          <w:noProof w:val="0"/>
        </w:rPr>
        <w:t>&lt;Commission&gt;</w:t>
      </w:r>
      <w:r w:rsidRPr="0007707F">
        <w:rPr>
          <w:rStyle w:val="HideTWBInt"/>
        </w:rPr>
        <w:t>{LIBE}</w:t>
      </w:r>
      <w:r w:rsidRPr="0007707F">
        <w:t>Odbor za državljanske svoboščine, pravosodje in notranje zadeve</w:t>
      </w:r>
      <w:r w:rsidRPr="0007707F">
        <w:rPr>
          <w:rStyle w:val="HideTWBExt"/>
          <w:noProof w:val="0"/>
        </w:rPr>
        <w:t>&lt;/Commission&gt;</w:t>
      </w:r>
    </w:p>
    <w:p w:rsidR="00537AB8" w:rsidRPr="0007707F" w:rsidRDefault="00537AB8">
      <w:pPr>
        <w:pStyle w:val="LineBottom"/>
      </w:pPr>
    </w:p>
    <w:p w:rsidR="00537AB8" w:rsidRPr="0007707F" w:rsidRDefault="000F612F">
      <w:pPr>
        <w:pStyle w:val="CoverReference"/>
      </w:pPr>
      <w:r w:rsidRPr="0007707F">
        <w:rPr>
          <w:rStyle w:val="HideTWBExt"/>
          <w:noProof w:val="0"/>
        </w:rPr>
        <w:t>&lt;RefProc&gt;</w:t>
      </w:r>
      <w:r w:rsidRPr="0007707F">
        <w:t>2019/0002</w:t>
      </w:r>
      <w:r w:rsidRPr="0007707F">
        <w:rPr>
          <w:rStyle w:val="HideTWBExt"/>
          <w:noProof w:val="0"/>
        </w:rPr>
        <w:t>&lt;/RefProc&gt;&lt;RefTypeProc&gt;</w:t>
      </w:r>
      <w:r w:rsidRPr="0007707F">
        <w:t>(COD)</w:t>
      </w:r>
      <w:r w:rsidRPr="0007707F">
        <w:rPr>
          <w:rStyle w:val="HideTWBExt"/>
          <w:noProof w:val="0"/>
        </w:rPr>
        <w:t>&lt;/RefTypeProc&gt;</w:t>
      </w:r>
    </w:p>
    <w:p w:rsidR="00537AB8" w:rsidRPr="0007707F" w:rsidRDefault="000F612F">
      <w:pPr>
        <w:pStyle w:val="CoverDate"/>
      </w:pPr>
      <w:r w:rsidRPr="0007707F">
        <w:rPr>
          <w:rStyle w:val="HideTWBExt"/>
          <w:noProof w:val="0"/>
        </w:rPr>
        <w:t>&lt;Date&gt;</w:t>
      </w:r>
      <w:r w:rsidRPr="0007707F">
        <w:rPr>
          <w:rStyle w:val="HideTWBInt"/>
        </w:rPr>
        <w:t>{02/10/2020}</w:t>
      </w:r>
      <w:r w:rsidRPr="0007707F">
        <w:t>2.10.2020</w:t>
      </w:r>
      <w:r w:rsidRPr="0007707F">
        <w:rPr>
          <w:rStyle w:val="HideTWBExt"/>
          <w:noProof w:val="0"/>
        </w:rPr>
        <w:t>&lt;/Date&gt;</w:t>
      </w:r>
    </w:p>
    <w:p w:rsidR="00537AB8" w:rsidRPr="0007707F" w:rsidRDefault="000F612F">
      <w:pPr>
        <w:pStyle w:val="CoverDocType"/>
      </w:pPr>
      <w:r w:rsidRPr="0007707F">
        <w:rPr>
          <w:rStyle w:val="HideTWBExt"/>
          <w:noProof w:val="0"/>
        </w:rPr>
        <w:t>&lt;TypeAM&gt;</w:t>
      </w:r>
      <w:r w:rsidRPr="0007707F">
        <w:t>PREDLOGI SPREMEMB</w:t>
      </w:r>
      <w:r w:rsidRPr="0007707F">
        <w:rPr>
          <w:rStyle w:val="HideTWBExt"/>
          <w:noProof w:val="0"/>
        </w:rPr>
        <w:t>&lt;/</w:t>
      </w:r>
      <w:r w:rsidRPr="0007707F">
        <w:rPr>
          <w:rStyle w:val="HideTWBExt"/>
          <w:noProof w:val="0"/>
        </w:rPr>
        <w:t>TypeAM&gt;</w:t>
      </w:r>
    </w:p>
    <w:p w:rsidR="00537AB8" w:rsidRPr="0007707F" w:rsidRDefault="000F612F">
      <w:pPr>
        <w:pStyle w:val="CoverDocType24a"/>
      </w:pPr>
      <w:r w:rsidRPr="0007707F">
        <w:rPr>
          <w:rStyle w:val="HideTWBExt"/>
          <w:noProof w:val="0"/>
        </w:rPr>
        <w:t>&lt;RangeAM&gt;</w:t>
      </w:r>
      <w:r w:rsidRPr="0007707F">
        <w:t>52</w:t>
      </w:r>
      <w:r w:rsidR="0007707F" w:rsidRPr="0007707F">
        <w:t>–</w:t>
      </w:r>
      <w:r w:rsidRPr="0007707F">
        <w:t>135</w:t>
      </w:r>
      <w:r w:rsidRPr="0007707F">
        <w:rPr>
          <w:rStyle w:val="HideTWBExt"/>
          <w:noProof w:val="0"/>
        </w:rPr>
        <w:t>&lt;/RangeAM&gt;</w:t>
      </w:r>
    </w:p>
    <w:p w:rsidR="00537AB8" w:rsidRPr="0007707F" w:rsidRDefault="000F612F">
      <w:pPr>
        <w:pStyle w:val="CoverBold"/>
      </w:pPr>
      <w:r w:rsidRPr="0007707F">
        <w:rPr>
          <w:rStyle w:val="HideTWBExt"/>
          <w:noProof w:val="0"/>
        </w:rPr>
        <w:t>&lt;TitreType&gt;</w:t>
      </w:r>
      <w:r w:rsidRPr="0007707F">
        <w:t>Osnutek poročila</w:t>
      </w:r>
      <w:r w:rsidRPr="0007707F">
        <w:rPr>
          <w:rStyle w:val="HideTWBExt"/>
          <w:noProof w:val="0"/>
        </w:rPr>
        <w:t>&lt;/TitreType&gt;</w:t>
      </w:r>
    </w:p>
    <w:p w:rsidR="00537AB8" w:rsidRPr="0007707F" w:rsidRDefault="000F612F">
      <w:pPr>
        <w:pStyle w:val="CoverBold"/>
      </w:pPr>
      <w:r w:rsidRPr="0007707F">
        <w:rPr>
          <w:rStyle w:val="HideTWBExt"/>
          <w:noProof w:val="0"/>
        </w:rPr>
        <w:t>&lt;Rapporteur&gt;</w:t>
      </w:r>
      <w:r w:rsidRPr="0007707F">
        <w:t>Jeroen Lenaers</w:t>
      </w:r>
      <w:r w:rsidRPr="0007707F">
        <w:rPr>
          <w:rStyle w:val="HideTWBExt"/>
          <w:noProof w:val="0"/>
        </w:rPr>
        <w:t>&lt;/Rapporteur&gt;</w:t>
      </w:r>
    </w:p>
    <w:p w:rsidR="00537AB8" w:rsidRPr="0007707F" w:rsidRDefault="000F612F">
      <w:pPr>
        <w:pStyle w:val="CoverNormal24a"/>
      </w:pPr>
      <w:r w:rsidRPr="0007707F">
        <w:rPr>
          <w:rStyle w:val="HideTWBExt"/>
          <w:noProof w:val="0"/>
        </w:rPr>
        <w:t>&lt;DocRefPE&gt;</w:t>
      </w:r>
      <w:r w:rsidRPr="0007707F">
        <w:t>(PE655.702v01-00)</w:t>
      </w:r>
      <w:r w:rsidRPr="0007707F">
        <w:rPr>
          <w:rStyle w:val="HideTWBExt"/>
          <w:noProof w:val="0"/>
        </w:rPr>
        <w:t>&lt;/DocRefPE&gt;</w:t>
      </w:r>
    </w:p>
    <w:p w:rsidR="00537AB8" w:rsidRPr="0007707F" w:rsidRDefault="000F612F">
      <w:pPr>
        <w:pStyle w:val="CoverNormal24a"/>
      </w:pPr>
      <w:r w:rsidRPr="0007707F">
        <w:rPr>
          <w:rStyle w:val="HideTWBExt"/>
          <w:noProof w:val="0"/>
        </w:rPr>
        <w:t>&lt;Titre&gt;</w:t>
      </w:r>
      <w:r w:rsidRPr="0007707F">
        <w:t>Določitev pogojev za dostop do drugih informacijskih sistemov EU za namene ETIAS ter sprememba</w:t>
      </w:r>
      <w:r w:rsidRPr="0007707F">
        <w:t xml:space="preserve"> Uredbe (EU) 2018/1240, Uredbe (ES) št. 767/2008, Uredbe (EU) 2017/2226 in Uredbe (EU) 2018/1861</w:t>
      </w:r>
      <w:r w:rsidRPr="0007707F">
        <w:rPr>
          <w:rStyle w:val="HideTWBExt"/>
          <w:noProof w:val="0"/>
        </w:rPr>
        <w:t>&lt;/Titre&gt;</w:t>
      </w:r>
    </w:p>
    <w:p w:rsidR="00537AB8" w:rsidRPr="0007707F" w:rsidRDefault="000F612F">
      <w:pPr>
        <w:pStyle w:val="CoverNormal"/>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CoverNormal24a"/>
      </w:pPr>
      <w:r w:rsidRPr="0007707F">
        <w:rPr>
          <w:rStyle w:val="HideTWBExt"/>
          <w:noProof w:val="0"/>
        </w:rPr>
        <w:t>&lt;DocRef&gt;</w:t>
      </w:r>
      <w:r w:rsidRPr="0007707F">
        <w:t>(COM(2019)0004 – C8-0024/2019 – 2019/0002(COD))</w:t>
      </w:r>
      <w:r w:rsidRPr="0007707F">
        <w:rPr>
          <w:rStyle w:val="HideTWBExt"/>
          <w:noProof w:val="0"/>
        </w:rPr>
        <w:t>&lt;/DocRef&gt;</w:t>
      </w:r>
    </w:p>
    <w:p w:rsidR="00537AB8" w:rsidRPr="0007707F" w:rsidRDefault="000F612F">
      <w:r w:rsidRPr="0007707F">
        <w:br w:type="page"/>
      </w:r>
      <w:r w:rsidRPr="0007707F">
        <w:lastRenderedPageBreak/>
        <w:t>AM_Com_LegReport</w:t>
      </w:r>
    </w:p>
    <w:p w:rsidR="00537AB8" w:rsidRPr="0007707F" w:rsidRDefault="000F612F">
      <w:pPr>
        <w:pStyle w:val="AmNumberTabs"/>
      </w:pPr>
      <w:r w:rsidRPr="0007707F">
        <w:br w:type="page"/>
      </w:r>
      <w:r w:rsidRPr="0007707F">
        <w:rPr>
          <w:rStyle w:val="HideTWBExt"/>
          <w:noProof w:val="0"/>
        </w:rPr>
        <w:lastRenderedPageBreak/>
        <w:t>&lt;RepeatBlock-AmendA&gt;&lt;AmendA&gt;</w:t>
      </w:r>
      <w:r w:rsidRPr="0007707F">
        <w:t>Predlog spremembe</w:t>
      </w:r>
      <w:r w:rsidRPr="0007707F">
        <w:tab/>
      </w:r>
      <w:r w:rsidRPr="0007707F">
        <w:tab/>
      </w:r>
      <w:r w:rsidRPr="0007707F">
        <w:rPr>
          <w:rStyle w:val="HideTWBExt"/>
          <w:noProof w:val="0"/>
        </w:rPr>
        <w:t>&lt;NumAmA&gt;</w:t>
      </w:r>
      <w:r w:rsidRPr="0007707F">
        <w:t>52</w:t>
      </w:r>
      <w:r w:rsidRPr="0007707F">
        <w:rPr>
          <w:rStyle w:val="HideTWBExt"/>
          <w:noProof w:val="0"/>
        </w:rPr>
        <w:t>&lt;/NumAmA&gt;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Osnutek zakonodajne resolucije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Odstavek 1</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 xml:space="preserve">Osnutek </w:t>
            </w:r>
            <w:r w:rsidRPr="0007707F">
              <w:t>zakonodajne resolucije</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r>
            <w:r w:rsidRPr="0007707F">
              <w:rPr>
                <w:b/>
                <w:i/>
              </w:rPr>
              <w:t>sprejme stališče v prvi obravnavi, kakor je določeno v nadaljevanju</w:t>
            </w:r>
            <w:r w:rsidRPr="0007707F">
              <w:t>;</w:t>
            </w:r>
          </w:p>
        </w:tc>
        <w:tc>
          <w:tcPr>
            <w:tcW w:w="4876" w:type="dxa"/>
          </w:tcPr>
          <w:p w:rsidR="00537AB8" w:rsidRPr="0007707F" w:rsidRDefault="000F612F">
            <w:pPr>
              <w:pStyle w:val="Normal6a"/>
            </w:pPr>
            <w:r w:rsidRPr="0007707F">
              <w:t>1.</w:t>
            </w:r>
            <w:r w:rsidRPr="0007707F">
              <w:tab/>
            </w:r>
            <w:r w:rsidRPr="0007707F">
              <w:rPr>
                <w:b/>
                <w:i/>
              </w:rPr>
              <w:t>zavrne predlog Komisije</w:t>
            </w:r>
            <w:r w:rsidRPr="0007707F">
              <w:t>;</w:t>
            </w:r>
          </w:p>
        </w:tc>
      </w:tr>
    </w:tbl>
    <w:p w:rsidR="00537AB8" w:rsidRPr="0007707F" w:rsidRDefault="000F612F">
      <w:pPr>
        <w:pStyle w:val="AmOrLang"/>
      </w:pPr>
      <w:bookmarkStart w:id="0" w:name="_GoBack"/>
      <w:bookmarkEnd w:id="0"/>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&lt;/AmendA&gt;</w:t>
      </w:r>
    </w:p>
    <w:p w:rsidR="00537AB8" w:rsidRPr="0007707F" w:rsidRDefault="000F612F">
      <w:pPr>
        <w:pStyle w:val="AmNumberTabs"/>
      </w:pPr>
      <w:r w:rsidRPr="0007707F">
        <w:rPr>
          <w:rStyle w:val="HideTWBExt"/>
          <w:noProof w:val="0"/>
        </w:rPr>
        <w:t>&lt;AmendA&gt;</w:t>
      </w:r>
      <w:r w:rsidRPr="0007707F">
        <w:t>Predlog spremembe</w:t>
      </w:r>
      <w:r w:rsidRPr="0007707F">
        <w:tab/>
      </w:r>
      <w:r w:rsidRPr="0007707F">
        <w:tab/>
      </w:r>
      <w:r w:rsidRPr="0007707F">
        <w:rPr>
          <w:rStyle w:val="HideTWBExt"/>
          <w:noProof w:val="0"/>
        </w:rPr>
        <w:t>&lt;NumAmA&gt;</w:t>
      </w:r>
      <w:r w:rsidRPr="0007707F">
        <w:t>53</w:t>
      </w:r>
      <w:r w:rsidRPr="0007707F">
        <w:rPr>
          <w:rStyle w:val="HideTWBExt"/>
          <w:noProof w:val="0"/>
        </w:rPr>
        <w:t>&lt;/NumAmA&gt;</w:t>
      </w:r>
    </w:p>
    <w:p w:rsidR="00537AB8" w:rsidRPr="0007707F" w:rsidRDefault="000F612F">
      <w:pPr>
        <w:pStyle w:val="NormalBold"/>
      </w:pPr>
      <w:r w:rsidRPr="0007707F">
        <w:rPr>
          <w:rStyle w:val="HideTWBExt"/>
          <w:noProof w:val="0"/>
        </w:rPr>
        <w:t>&lt;RepeatBlock-By&gt;&lt;Members</w:t>
      </w:r>
      <w:r w:rsidRPr="0007707F">
        <w:rPr>
          <w:rStyle w:val="HideTWBExt"/>
          <w:noProof w:val="0"/>
        </w:rPr>
        <w:t>&gt;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Osnutek zakonodajne resolucije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Odstavek 1</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Osnutek zakonodajne resolucije</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r>
            <w:r w:rsidRPr="0007707F">
              <w:rPr>
                <w:b/>
                <w:i/>
              </w:rPr>
              <w:t>sprejme stališče v prvi obravnavi, kakor je določeno v nadaljevanju</w:t>
            </w:r>
            <w:r w:rsidRPr="0007707F">
              <w:t>;</w:t>
            </w:r>
          </w:p>
        </w:tc>
        <w:tc>
          <w:tcPr>
            <w:tcW w:w="4876" w:type="dxa"/>
          </w:tcPr>
          <w:p w:rsidR="00537AB8" w:rsidRPr="0007707F" w:rsidRDefault="000F612F">
            <w:pPr>
              <w:pStyle w:val="Normal6a"/>
            </w:pPr>
            <w:r w:rsidRPr="0007707F">
              <w:t>1.</w:t>
            </w:r>
            <w:r w:rsidRPr="0007707F">
              <w:tab/>
            </w:r>
            <w:r w:rsidRPr="0007707F">
              <w:rPr>
                <w:b/>
                <w:i/>
              </w:rPr>
              <w:t>zavrne predlog Komisije</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&lt;/AmendA&gt;&lt;/RepeatBlock-AmendA&gt;&lt;RepeatBlock-AmendB&gt;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54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w:t>
      </w:r>
      <w:r w:rsidRPr="0007707F">
        <w:t>hastel, Fabienne Keller, Ondřej Kovařík</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Uvodna izjava 5</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(5)</w:t>
            </w:r>
            <w:r w:rsidRPr="0007707F">
              <w:tab/>
            </w:r>
            <w:r w:rsidRPr="0007707F">
              <w:t>Da bi povečali učinkovitost in zmanjšali stroške, bi bilo treba pri sistemu ETIAS, kot je določeno v členu 6(3) Uredbe (EU) 2018/1240, ponovno uporabiti komponente strojne in programske opreme, razvite za sistem vstopa/izstopa (SVI), pri razvoju skupnega o</w:t>
            </w:r>
            <w:r w:rsidRPr="0007707F">
              <w:t xml:space="preserve">dložišča podatkov o identiteti. To odložišče, ki se uporablja za hrambo </w:t>
            </w:r>
            <w:r w:rsidRPr="0007707F">
              <w:lastRenderedPageBreak/>
              <w:t>alfanumeričnih podatkov o identiteti tako prosilcev ETIAS kot državljanov tretjih držav, registriranih v SVI, bi bilo treba razviti tako, da bi ga bilo v prihodnosti mogoče razširiti n</w:t>
            </w:r>
            <w:r w:rsidRPr="0007707F">
              <w:t xml:space="preserve">a skupno odložišče podatkov o identiteti. </w:t>
            </w:r>
            <w:r w:rsidRPr="0007707F">
              <w:rPr>
                <w:b/>
                <w:i/>
              </w:rPr>
              <w:t>Podobno bi bilo orodje, ki bi bilo potrebno, da bi sistemu ETIAS omogočalo primerjavo podatkov s podatki posameznih drugih sistemov z eno samo poizvedbo, treba razviti tako, da bi lahko v prihodnosti postalo evrops</w:t>
            </w:r>
            <w:r w:rsidRPr="0007707F">
              <w:rPr>
                <w:b/>
                <w:i/>
              </w:rPr>
              <w:t>ki iskalni portal.</w:t>
            </w:r>
          </w:p>
        </w:tc>
        <w:tc>
          <w:tcPr>
            <w:tcW w:w="4876" w:type="dxa"/>
          </w:tcPr>
          <w:p w:rsidR="00537AB8" w:rsidRPr="0007707F" w:rsidRDefault="000F612F">
            <w:pPr>
              <w:pStyle w:val="Normal6a"/>
            </w:pPr>
            <w:r w:rsidRPr="0007707F">
              <w:lastRenderedPageBreak/>
              <w:t>(5)</w:t>
            </w:r>
            <w:r w:rsidRPr="0007707F">
              <w:tab/>
              <w:t>Da bi povečali učinkovitost in zmanjšali stroške, bi bilo treba pri sistemu ETIAS, kot je določeno v členu 6(3) Uredbe (EU) 2018/1240, ponovno uporabiti komponente strojne in programske opreme, razvite za sistem vstopa/izstopa (SVI),</w:t>
            </w:r>
            <w:r w:rsidRPr="0007707F">
              <w:t xml:space="preserve"> pri razvoju skupnega odložišča podatkov o identiteti. To odložišče, ki se uporablja za hrambo </w:t>
            </w:r>
            <w:r w:rsidRPr="0007707F">
              <w:lastRenderedPageBreak/>
              <w:t>alfanumeričnih podatkov o identiteti tako prosilcev ETIAS kot državljanov tretjih držav, registriranih v SVI, bi bilo treba razviti tako, da bi ga bilo v prihodn</w:t>
            </w:r>
            <w:r w:rsidRPr="0007707F">
              <w:t>osti mogoče razširiti na skupno odložišče podatkov o identiteti.</w:t>
            </w:r>
          </w:p>
        </w:tc>
      </w:tr>
    </w:tbl>
    <w:p w:rsidR="00537AB8" w:rsidRPr="0007707F" w:rsidRDefault="000F612F">
      <w:pPr>
        <w:pStyle w:val="AmOrLang"/>
      </w:pPr>
      <w:r w:rsidRPr="0007707F">
        <w:lastRenderedPageBreak/>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55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w:t>
      </w:r>
      <w:r w:rsidRPr="0007707F">
        <w:rPr>
          <w:rStyle w:val="HideTWBExt"/>
          <w:noProof w:val="0"/>
        </w:rPr>
        <w:t>DocAmend&gt;</w:t>
      </w:r>
    </w:p>
    <w:p w:rsidR="00537AB8" w:rsidRPr="0007707F" w:rsidRDefault="000F612F">
      <w:pPr>
        <w:pStyle w:val="NormalBold"/>
      </w:pPr>
      <w:r w:rsidRPr="0007707F">
        <w:rPr>
          <w:rStyle w:val="HideTWBExt"/>
          <w:noProof w:val="0"/>
        </w:rPr>
        <w:t>&lt;Article&gt;</w:t>
      </w:r>
      <w:r w:rsidRPr="0007707F">
        <w:t>Uvodna izjava 5</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(5)</w:t>
            </w:r>
            <w:r w:rsidRPr="0007707F">
              <w:tab/>
            </w:r>
            <w:r w:rsidRPr="0007707F">
              <w:t>Da bi povečali učinkovitost in zmanjšali stroške, bi bilo treba pri sistemu ETIAS, kot je določeno v členu 6(3) Uredbe (EU) 2018/1240, ponovno uporabiti komponente strojne in programske opreme, razvite za sistem vstopa/izstopa (SVI), pri razvoju skupnega o</w:t>
            </w:r>
            <w:r w:rsidRPr="0007707F">
              <w:t>dložišča podatkov o identiteti. To odložišče, ki se uporablja za hrambo alfanumeričnih podatkov o identiteti tako prosilcev ETIAS kot državljanov tretjih držav, registriranih v SVI, bi bilo treba razviti tako, da bi ga bilo v prihodnosti mogoče razširiti n</w:t>
            </w:r>
            <w:r w:rsidRPr="0007707F">
              <w:t xml:space="preserve">a skupno odložišče podatkov o identiteti. </w:t>
            </w:r>
            <w:r w:rsidRPr="0007707F">
              <w:rPr>
                <w:b/>
                <w:i/>
              </w:rPr>
              <w:t>Podobno bi bilo orodje, ki bi bilo potrebno, da bi sistemu ETIAS omogočalo primerjavo podatkov s podatki posameznih drugih sistemov z eno samo poizvedbo, treba razviti tako, da bi lahko v prihodnosti postalo evrops</w:t>
            </w:r>
            <w:r w:rsidRPr="0007707F">
              <w:rPr>
                <w:b/>
                <w:i/>
              </w:rPr>
              <w:t>ki iskalni portal.</w:t>
            </w:r>
          </w:p>
        </w:tc>
        <w:tc>
          <w:tcPr>
            <w:tcW w:w="4876" w:type="dxa"/>
          </w:tcPr>
          <w:p w:rsidR="00537AB8" w:rsidRPr="0007707F" w:rsidRDefault="000F612F">
            <w:pPr>
              <w:pStyle w:val="Normal6a"/>
            </w:pPr>
            <w:r w:rsidRPr="0007707F">
              <w:t>(5)</w:t>
            </w:r>
            <w:r w:rsidRPr="0007707F">
              <w:tab/>
              <w:t>Da bi povečali učinkovitost in zmanjšali stroške, bi bilo treba pri sistemu ETIAS, kot je določeno v členu 6(3) Uredbe (EU) 2018/1240, ponovno uporabiti komponente strojne in programske opreme, razvite za sistem vstopa/izstopa (SVI),</w:t>
            </w:r>
            <w:r w:rsidRPr="0007707F">
              <w:t xml:space="preserve"> pri razvoju skupnega odložišča podatkov o identiteti. To odložišče, ki se uporablja za hrambo alfanumeričnih podatkov o identiteti tako prosilcev ETIAS kot državljanov tretjih držav, registriranih v SVI, bi bilo treba razviti tako, da bi ga bilo v prihodn</w:t>
            </w:r>
            <w:r w:rsidRPr="0007707F">
              <w:t>osti mogoče razširiti na skupno odložišče podatkov o identiteti.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56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w:t>
      </w:r>
      <w:r w:rsidRPr="0007707F">
        <w:t>astel, Fabienne Keller, Ondřej Kovařík</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Uvodna izjava 5 a (novo)</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(5a)</w:t>
            </w:r>
            <w:r w:rsidRPr="0007707F">
              <w:tab/>
            </w:r>
            <w:r w:rsidRPr="0007707F">
              <w:rPr>
                <w:b/>
                <w:i/>
              </w:rPr>
              <w:t xml:space="preserve">Evropski iskalni portal (ESP), vzpostavljen z </w:t>
            </w:r>
            <w:r w:rsidRPr="0007707F">
              <w:rPr>
                <w:b/>
                <w:i/>
              </w:rPr>
              <w:t>Uredbo (EU) št. 2019/817 Evropskega parlamenta in Sveta, bo pristojnim organom omogočal sočasno iskanje po vključenih sistemih, združeni rezultati pa bodo prikazani na enem samem zaslonu.</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57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Uvodna izjava 7</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(7)</w:t>
            </w:r>
            <w:r w:rsidRPr="0007707F">
              <w:tab/>
            </w:r>
            <w:r w:rsidRPr="0007707F">
              <w:t xml:space="preserve">Za zagotovitev popolnega doseganja ciljev ETIAS je treba poleg nadaljnje okrepitve ciljev schengenskega informacijskega sistema (SIS) v področje uporabe avtomatiziranih preverjanj vključiti </w:t>
            </w:r>
            <w:r w:rsidRPr="0007707F">
              <w:rPr>
                <w:b/>
                <w:i/>
              </w:rPr>
              <w:t>novo kategorijo</w:t>
            </w:r>
            <w:r w:rsidRPr="0007707F">
              <w:t xml:space="preserve"> razpisa ukrepa, ki </w:t>
            </w:r>
            <w:r w:rsidRPr="0007707F">
              <w:rPr>
                <w:b/>
                <w:i/>
              </w:rPr>
              <w:t>je bila uvedena</w:t>
            </w:r>
            <w:r w:rsidRPr="0007707F">
              <w:t xml:space="preserve"> po nedavni revi</w:t>
            </w:r>
            <w:r w:rsidRPr="0007707F">
              <w:t xml:space="preserve">ziji SIS, </w:t>
            </w:r>
            <w:r w:rsidRPr="0007707F">
              <w:rPr>
                <w:b/>
                <w:i/>
              </w:rPr>
              <w:t>tj.</w:t>
            </w:r>
            <w:r w:rsidRPr="0007707F">
              <w:t xml:space="preserve"> razpis ukrepa za osebe, pri katerih je treba izvesti poizvedovalne kontrole.</w:t>
            </w:r>
          </w:p>
        </w:tc>
        <w:tc>
          <w:tcPr>
            <w:tcW w:w="4876" w:type="dxa"/>
          </w:tcPr>
          <w:p w:rsidR="00537AB8" w:rsidRPr="0007707F" w:rsidRDefault="000F612F">
            <w:pPr>
              <w:pStyle w:val="Normal6a"/>
            </w:pPr>
            <w:r w:rsidRPr="0007707F">
              <w:t>(7)</w:t>
            </w:r>
            <w:r w:rsidRPr="0007707F">
              <w:tab/>
              <w:t>Za zagotovitev popolnega doseganja ciljev ETIAS je treba poleg nadaljnje okrepitve ciljev schengenskega informacijskega sistema (SIS) v področje uporabe avtomati</w:t>
            </w:r>
            <w:r w:rsidRPr="0007707F">
              <w:t xml:space="preserve">ziranih preverjanj vključiti </w:t>
            </w:r>
            <w:r w:rsidRPr="0007707F">
              <w:rPr>
                <w:b/>
                <w:i/>
              </w:rPr>
              <w:t>nove kategorije</w:t>
            </w:r>
            <w:r w:rsidRPr="0007707F">
              <w:t xml:space="preserve"> razpisa ukrepa, ki </w:t>
            </w:r>
            <w:r w:rsidRPr="0007707F">
              <w:rPr>
                <w:b/>
                <w:i/>
              </w:rPr>
              <w:t>so bile uvedene</w:t>
            </w:r>
            <w:r w:rsidRPr="0007707F">
              <w:t xml:space="preserve"> po nedavni reviziji SIS, </w:t>
            </w:r>
            <w:r w:rsidRPr="0007707F">
              <w:rPr>
                <w:b/>
                <w:i/>
              </w:rPr>
              <w:t>in sicer</w:t>
            </w:r>
            <w:r w:rsidRPr="0007707F">
              <w:t xml:space="preserve"> razpis ukrepa za osebe, pri katerih je treba izvesti poizvedovalne kontrole</w:t>
            </w:r>
            <w:r w:rsidRPr="0007707F">
              <w:rPr>
                <w:b/>
                <w:i/>
              </w:rPr>
              <w:t>, in razpis ukrepa za migrante z neurejenim statusom, ki jim je bil</w:t>
            </w:r>
            <w:r w:rsidRPr="0007707F">
              <w:rPr>
                <w:b/>
                <w:i/>
              </w:rPr>
              <w:t>a izdana odločba o vrnitvi</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58</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Fabienne Keller</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Uvodna izjava 9 a (novo)</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(9a)</w:t>
            </w:r>
            <w:r w:rsidRPr="0007707F">
              <w:tab/>
            </w:r>
            <w:r w:rsidRPr="0007707F">
              <w:rPr>
                <w:b/>
                <w:i/>
              </w:rPr>
              <w:t>Informacije o državljanu tretje države so se morda shranile v različnih časovnih obdobjih in so lahko zato različne vrste ali kakovosti.</w:t>
            </w:r>
            <w:r w:rsidRPr="0007707F">
              <w:t xml:space="preserve"> </w:t>
            </w:r>
            <w:r w:rsidRPr="0007707F">
              <w:rPr>
                <w:b/>
                <w:i/>
              </w:rPr>
              <w:t>Zato je pomembno, da centralna enota ETIAS in n</w:t>
            </w:r>
            <w:r w:rsidRPr="0007707F">
              <w:rPr>
                <w:b/>
                <w:i/>
              </w:rPr>
              <w:t>acionalne enote ETIAS te podatke preučijo sočasno in ne ločeno, kadar se zahtevajo.</w:t>
            </w:r>
            <w:r w:rsidRPr="0007707F">
              <w:t xml:space="preserve"> </w:t>
            </w:r>
            <w:r w:rsidRPr="0007707F">
              <w:rPr>
                <w:b/>
                <w:i/>
              </w:rPr>
              <w:t>Zlasti je pomembno, da enote v primeru razpisa ukrepa ECRIS-TCN upoštevajo te podatke oziroma to, da jih ni.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{FR}</w:t>
      </w:r>
      <w:r w:rsidRPr="0007707F">
        <w:t>fr</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 xml:space="preserve">Predlog </w:t>
      </w:r>
      <w:r w:rsidRPr="0007707F">
        <w:t>spremembe</w:t>
      </w:r>
      <w:r w:rsidRPr="0007707F">
        <w:tab/>
      </w:r>
      <w:r w:rsidRPr="0007707F">
        <w:tab/>
      </w:r>
      <w:r w:rsidRPr="0007707F">
        <w:rPr>
          <w:rStyle w:val="HideTWBExt"/>
          <w:noProof w:val="0"/>
        </w:rPr>
        <w:t>&lt;NumAmB&gt;</w:t>
      </w:r>
      <w:r w:rsidRPr="0007707F">
        <w:t>59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w:t>
      </w:r>
      <w:r w:rsidRPr="0007707F">
        <w:rPr>
          <w:rStyle w:val="HideTWBExt"/>
          <w:noProof w:val="0"/>
        </w:rPr>
        <w:t>Article&gt;</w:t>
      </w:r>
      <w:r w:rsidRPr="0007707F">
        <w:t>Uvodna izjava 10</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(10)</w:t>
            </w:r>
            <w:r w:rsidRPr="0007707F">
              <w:tab/>
              <w:t>Pogoje, pod katerimi lahko centralna enota ETIAS in nacionalne enote ETIAS vpogledajo v podatke, shranjene v drugih informacijskih sistemih EU, za namene sistema</w:t>
            </w:r>
            <w:r w:rsidRPr="0007707F">
              <w:t xml:space="preserve"> ETIAS, bi bilo treba varovati z jasnimi in natančnimi pravili glede dostopa centralne enote ETIAS in nacionalnih enot ETIAS do podatkov, shranjenih v drugih informacijskih sistemih EU, vrst poizvedovanj in kategorij podatkov, vse to pa bi bilo treba omeji</w:t>
            </w:r>
            <w:r w:rsidRPr="0007707F">
              <w:t>ti na tisto, kar je nujno potrebno za opravljanje njihovih nalog. Podobno bi morali biti podatki, shranjeni v dosjeju prosilca v ETIAS, vidni samo tistim državam članicam, ki upravljajo zadevne informacijske sisteme v skladu z načini njihovega sodelovanja.</w:t>
            </w:r>
            <w:r w:rsidRPr="0007707F">
              <w:t xml:space="preserve"> Na primer, določbe te uredbe glede schengenskega informacijskega sistema in vizumskega informacijskega sistema predstavljajo določbe, ki temeljijo na vseh določbah schengenskega pravnega reda, na katere se nanašajo sklepi Sveta</w:t>
            </w:r>
            <w:r w:rsidRPr="0007707F">
              <w:rPr>
                <w:rStyle w:val="Sup"/>
              </w:rPr>
              <w:t>35</w:t>
            </w:r>
            <w:r w:rsidRPr="0007707F">
              <w:t>o uporabi določb schengens</w:t>
            </w:r>
            <w:r w:rsidRPr="0007707F">
              <w:t>kega pravnega reda, ki se navezujejo na schengenski informacijski sistem in vizumski informacijski sistem.</w:t>
            </w:r>
          </w:p>
        </w:tc>
        <w:tc>
          <w:tcPr>
            <w:tcW w:w="4876" w:type="dxa"/>
          </w:tcPr>
          <w:p w:rsidR="00537AB8" w:rsidRPr="0007707F" w:rsidRDefault="000F612F">
            <w:pPr>
              <w:pStyle w:val="Normal6a"/>
            </w:pPr>
            <w:r w:rsidRPr="0007707F">
              <w:t>(10)</w:t>
            </w:r>
            <w:r w:rsidRPr="0007707F">
              <w:tab/>
            </w:r>
            <w:r w:rsidRPr="0007707F">
              <w:rPr>
                <w:b/>
                <w:i/>
              </w:rPr>
              <w:t>Pravice dostopa in</w:t>
            </w:r>
            <w:r w:rsidRPr="0007707F">
              <w:t xml:space="preserve"> pogoje, pod katerimi lahko centralna enota ETIAS in nacionalne enote ETIAS vpogledajo v podatke, shranjene v drugih informaci</w:t>
            </w:r>
            <w:r w:rsidRPr="0007707F">
              <w:t>jskih sistemih EU, za namene sistema ETIAS, bi bilo treba varovati z jasnimi in natančnimi pravili glede dostopa centralne enote ETIAS in nacionalnih enot ETIAS do podatkov, shranjenih v drugih informacijskih sistemih EU, vrst poizvedovanj in kategorij pod</w:t>
            </w:r>
            <w:r w:rsidRPr="0007707F">
              <w:t>atkov, vse to pa bi bilo treba omejiti na tisto, kar je nujno potrebno za opravljanje njihovih nalog. Podobno bi morali biti podatki, shranjeni v dosjeju prosilca v ETIAS, vidni samo tistim državam članicam, ki upravljajo zadevne informacijske sisteme v sk</w:t>
            </w:r>
            <w:r w:rsidRPr="0007707F">
              <w:t>ladu z načini njihovega sodelovanja. Na primer, določbe te uredbe glede schengenskega informacijskega sistema in vizumskega informacijskega sistema predstavljajo določbe, ki temeljijo na vseh določbah schengenskega pravnega reda, na katere se nanašajo skle</w:t>
            </w:r>
            <w:r w:rsidRPr="0007707F">
              <w:t>pi Sveta</w:t>
            </w:r>
            <w:r w:rsidRPr="0007707F">
              <w:rPr>
                <w:rStyle w:val="Sup"/>
              </w:rPr>
              <w:t>35</w:t>
            </w:r>
            <w:r w:rsidRPr="0007707F">
              <w:t xml:space="preserve"> o uporabi določb schengenskega pravnega reda, ki se navezujejo na schengenski informacijski sistem in vizumski informacijski sistem.</w:t>
            </w:r>
          </w:p>
        </w:tc>
      </w:tr>
      <w:tr w:rsidR="00537AB8" w:rsidRPr="0007707F">
        <w:trPr>
          <w:jc w:val="center"/>
        </w:trPr>
        <w:tc>
          <w:tcPr>
            <w:tcW w:w="4876" w:type="dxa"/>
          </w:tcPr>
          <w:p w:rsidR="00537AB8" w:rsidRPr="0007707F" w:rsidRDefault="000F612F">
            <w:pPr>
              <w:pStyle w:val="Normal6a"/>
            </w:pPr>
            <w:r w:rsidRPr="0007707F">
              <w:t>_________________</w:t>
            </w:r>
          </w:p>
        </w:tc>
        <w:tc>
          <w:tcPr>
            <w:tcW w:w="4876" w:type="dxa"/>
          </w:tcPr>
          <w:p w:rsidR="00537AB8" w:rsidRPr="0007707F" w:rsidRDefault="000F612F">
            <w:pPr>
              <w:pStyle w:val="Normal6a"/>
            </w:pPr>
            <w:r w:rsidRPr="0007707F">
              <w:t>_________________</w:t>
            </w:r>
          </w:p>
        </w:tc>
      </w:tr>
      <w:tr w:rsidR="00537AB8" w:rsidRPr="0007707F">
        <w:trPr>
          <w:jc w:val="center"/>
        </w:trPr>
        <w:tc>
          <w:tcPr>
            <w:tcW w:w="4876" w:type="dxa"/>
          </w:tcPr>
          <w:p w:rsidR="00537AB8" w:rsidRPr="0007707F" w:rsidRDefault="000F612F">
            <w:pPr>
              <w:pStyle w:val="Normal6a"/>
            </w:pPr>
            <w:r w:rsidRPr="0007707F">
              <w:rPr>
                <w:rStyle w:val="Sup"/>
              </w:rPr>
              <w:t>35</w:t>
            </w:r>
            <w:r w:rsidRPr="0007707F">
              <w:t xml:space="preserve"> Sklep Sveta 2010/365/EU z dne 29. junija 2010 o uporabi določb </w:t>
            </w:r>
            <w:r w:rsidRPr="0007707F">
              <w:t>schengenskega pravnega reda, ki se navezujejo na schengenski informacijski sistem, v Republiki Bolgariji in Romuniji (UL L 166, 1.7.2010, str. 17); Sklep Sveta (EU) 2017/733 z dne 25. aprila 2017 o uporabi določb schengenskega pravnega reda v zvezi s schen</w:t>
            </w:r>
            <w:r w:rsidRPr="0007707F">
              <w:t>genskim informacijskim sistemom v Republiki Hrvaški (UL L 108, 26.4.2017, str. 31); Sklep Sveta (EU) 2017/1908 z dne 12. oktobra 2017 o izvajanju nekaterih določb schengenskega pravnega reda, ki se nanašajo na vizumski informacijski sistem, v Republiki Bol</w:t>
            </w:r>
            <w:r w:rsidRPr="0007707F">
              <w:t xml:space="preserve">gariji in Romuniji (UL L 269, 19.10.2017, str. 39); Sklep Sveta (EU) 2018/934 z dne 25. junija 2018 o izvajanju preostalih določb schengenskega pravnega reda, ki se nanašajo na schengenski informacijski sistem, v Republiki Bolgariji in Romuniji (UL L 165, </w:t>
            </w:r>
            <w:r w:rsidRPr="0007707F">
              <w:t>2.7.2018, str. 37).</w:t>
            </w:r>
          </w:p>
        </w:tc>
        <w:tc>
          <w:tcPr>
            <w:tcW w:w="4876" w:type="dxa"/>
          </w:tcPr>
          <w:p w:rsidR="00537AB8" w:rsidRPr="0007707F" w:rsidRDefault="000F612F">
            <w:pPr>
              <w:pStyle w:val="Normal6a"/>
            </w:pPr>
            <w:r w:rsidRPr="0007707F">
              <w:rPr>
                <w:rStyle w:val="Sup"/>
              </w:rPr>
              <w:t>35</w:t>
            </w:r>
            <w:r w:rsidRPr="0007707F">
              <w:t xml:space="preserve"> Sklep Sveta 2010/365/EU z dne 29. junija 2010 o uporabi določb schengenskega pravnega reda, ki se navezujejo na schengenski informacijski sistem, v Republiki Bolgariji in Romuniji (UL L 166, 1.7.2010, str. 17); Sklep Sveta (EU) 2017/</w:t>
            </w:r>
            <w:r w:rsidRPr="0007707F">
              <w:t>733 z dne 25. aprila 2017 o uporabi določb schengenskega pravnega reda v zvezi s schengenskim informacijskim sistemom v Republiki Hrvaški (UL L 108, 26.4.2017, str. 31); Sklep Sveta (EU) 2017/1908 z dne 12. oktobra 2017 o izvajanju nekaterih določb schenge</w:t>
            </w:r>
            <w:r w:rsidRPr="0007707F">
              <w:t>nskega pravnega reda, ki se nanašajo na vizumski informacijski sistem, v Republiki Bolgariji in Romuniji (UL L 269, 19.10.2017, str. 39</w:t>
            </w:r>
            <w:r w:rsidRPr="0007707F">
              <w:rPr>
                <w:b/>
                <w:i/>
              </w:rPr>
              <w:t>–43</w:t>
            </w:r>
            <w:r w:rsidRPr="0007707F">
              <w:t>); Sklep Sveta (EU) 2018/934 z dne 25. junija 2018 o izvajanju preostalih določb schengenskega pravnega reda, ki se na</w:t>
            </w:r>
            <w:r w:rsidRPr="0007707F">
              <w:t>našajo na schengenski informacijski sistem, v Republiki Bolgariji in Romuniji (UL L 165, 2.7.2018, str. 37).</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60</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w:t>
      </w:r>
      <w:r w:rsidRPr="0007707F">
        <w:t>, Ramona Strugariu, Malik Azmani, Olivier Chastel, Fabienne Keller, Ondřej Kovařík</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Uvodna izjava 11</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(11)</w:t>
            </w:r>
            <w:r w:rsidRPr="0007707F">
              <w:tab/>
              <w:t xml:space="preserve">V skladu s </w:t>
            </w:r>
            <w:r w:rsidRPr="0007707F">
              <w:t>členom 73 Uredbe (EU) 2018/1240 bi morala biti za zasnovo in razvoj informacijskega sistema ETIAS odgovorna Evropska agencija za operativno upravljanje obsežnih informacijskih sistemov s področja svobode, varnosti in pravice (v nadaljnjem besedilu: eu-LISA</w:t>
            </w:r>
            <w:r w:rsidRPr="0007707F">
              <w:t>), ustanovljena z Uredbo (EU) 2018/1726 Evropskega parlamenta in Sveta</w:t>
            </w:r>
            <w:r w:rsidRPr="0007707F">
              <w:rPr>
                <w:rStyle w:val="Sup"/>
              </w:rPr>
              <w:t>36</w:t>
            </w:r>
            <w:r w:rsidRPr="0007707F">
              <w:t>.</w:t>
            </w:r>
          </w:p>
        </w:tc>
        <w:tc>
          <w:tcPr>
            <w:tcW w:w="4876" w:type="dxa"/>
          </w:tcPr>
          <w:p w:rsidR="00537AB8" w:rsidRPr="0007707F" w:rsidRDefault="000F612F">
            <w:pPr>
              <w:pStyle w:val="Normal6a"/>
            </w:pPr>
            <w:r w:rsidRPr="0007707F">
              <w:t>(11)</w:t>
            </w:r>
            <w:r w:rsidRPr="0007707F">
              <w:tab/>
              <w:t xml:space="preserve">V skladu s členom 73 Uredbe (EU) 2018/1240 bi morala biti za zasnovo in </w:t>
            </w:r>
            <w:r w:rsidRPr="0007707F">
              <w:rPr>
                <w:b/>
                <w:i/>
              </w:rPr>
              <w:t>tehnični</w:t>
            </w:r>
            <w:r w:rsidRPr="0007707F">
              <w:t xml:space="preserve"> razvoj informacijskega sistema ETIAS odgovorna Evropska agencija za operativno upravljanje obsež</w:t>
            </w:r>
            <w:r w:rsidRPr="0007707F">
              <w:t>nih informacijskih sistemov s področja svobode, varnosti in pravice (v nadaljnjem besedilu: eu-LISA), ustanovljena z Uredbo (EU) 2018/1726 Evropskega parlamenta in Sveta</w:t>
            </w:r>
            <w:r w:rsidRPr="0007707F">
              <w:rPr>
                <w:rStyle w:val="Sup"/>
              </w:rPr>
              <w:t>36</w:t>
            </w:r>
            <w:r w:rsidRPr="0007707F">
              <w:t>.</w:t>
            </w:r>
          </w:p>
        </w:tc>
      </w:tr>
      <w:tr w:rsidR="00537AB8" w:rsidRPr="0007707F">
        <w:trPr>
          <w:jc w:val="center"/>
        </w:trPr>
        <w:tc>
          <w:tcPr>
            <w:tcW w:w="4876" w:type="dxa"/>
          </w:tcPr>
          <w:p w:rsidR="00537AB8" w:rsidRPr="0007707F" w:rsidRDefault="000F612F">
            <w:pPr>
              <w:pStyle w:val="Normal6a"/>
            </w:pPr>
            <w:r w:rsidRPr="0007707F">
              <w:t>_________________</w:t>
            </w:r>
          </w:p>
        </w:tc>
        <w:tc>
          <w:tcPr>
            <w:tcW w:w="4876" w:type="dxa"/>
          </w:tcPr>
          <w:p w:rsidR="00537AB8" w:rsidRPr="0007707F" w:rsidRDefault="000F612F">
            <w:pPr>
              <w:pStyle w:val="Normal6a"/>
            </w:pPr>
            <w:r w:rsidRPr="0007707F">
              <w:t>_________________</w:t>
            </w:r>
          </w:p>
        </w:tc>
      </w:tr>
      <w:tr w:rsidR="00537AB8" w:rsidRPr="0007707F">
        <w:trPr>
          <w:jc w:val="center"/>
        </w:trPr>
        <w:tc>
          <w:tcPr>
            <w:tcW w:w="4876" w:type="dxa"/>
          </w:tcPr>
          <w:p w:rsidR="00537AB8" w:rsidRPr="0007707F" w:rsidRDefault="000F612F">
            <w:pPr>
              <w:pStyle w:val="Normal6a"/>
            </w:pPr>
            <w:r w:rsidRPr="0007707F">
              <w:rPr>
                <w:rStyle w:val="Sup"/>
              </w:rPr>
              <w:t>36</w:t>
            </w:r>
            <w:r w:rsidRPr="0007707F">
              <w:t xml:space="preserve"> Uredba (EU) 2018/1726 Evropskega </w:t>
            </w:r>
            <w:r w:rsidRPr="0007707F">
              <w:t>parlamenta in Sveta z dne 14. novembra 2018 o Agenciji Evropske unije za operativno upravljanje obsežnih informacijskih sistemov s področja svobode, varnosti in pravice (eu-LISA), o spremembi Uredbe (ES) št. 1987/2006 in Sklepa Sveta 2007/533/PNZ ter o raz</w:t>
            </w:r>
            <w:r w:rsidRPr="0007707F">
              <w:t>veljavitvi Uredbe (EU) št. 1077/2011 (UL L 295, 21.11.2018, str. 99).</w:t>
            </w:r>
          </w:p>
        </w:tc>
        <w:tc>
          <w:tcPr>
            <w:tcW w:w="4876" w:type="dxa"/>
          </w:tcPr>
          <w:p w:rsidR="00537AB8" w:rsidRPr="0007707F" w:rsidRDefault="000F612F">
            <w:pPr>
              <w:pStyle w:val="Normal6a"/>
            </w:pPr>
            <w:r w:rsidRPr="0007707F">
              <w:rPr>
                <w:rStyle w:val="Sup"/>
              </w:rPr>
              <w:t>36</w:t>
            </w:r>
            <w:r w:rsidRPr="0007707F">
              <w:t xml:space="preserve"> Uredba (EU) 2018/1726 Evropskega parlamenta in Sveta z dne 14. novembra 2018 o Agenciji Evropske unije za operativno upravljanje obsežnih informacijskih sistemov s področja svobode, v</w:t>
            </w:r>
            <w:r w:rsidRPr="0007707F">
              <w:t>arnosti in pravice (eu-LISA), o spremembi Uredbe (ES) št. 1987/2006 in Sklepa Sveta 2007/533/PNZ ter o razveljavitvi Uredbe (EU) št. 1077/2011 (UL L 295, 21.11.2018, str. 99).</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3(1)(23)</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 xml:space="preserve">Predlog </w:t>
            </w:r>
            <w:r w:rsidRPr="0007707F">
              <w:t>spremembe</w:t>
            </w:r>
          </w:p>
        </w:tc>
      </w:tr>
      <w:tr w:rsidR="00537AB8" w:rsidRPr="0007707F">
        <w:trPr>
          <w:jc w:val="center"/>
        </w:trPr>
        <w:tc>
          <w:tcPr>
            <w:tcW w:w="4876" w:type="dxa"/>
          </w:tcPr>
          <w:p w:rsidR="00537AB8" w:rsidRPr="0007707F" w:rsidRDefault="000F612F">
            <w:pPr>
              <w:pStyle w:val="Normal6a"/>
            </w:pPr>
            <w:r w:rsidRPr="0007707F">
              <w:t>(23)</w:t>
            </w:r>
            <w:r w:rsidRPr="0007707F">
              <w:tab/>
            </w:r>
            <w:r w:rsidRPr="0007707F">
              <w:rPr>
                <w:b/>
                <w:i/>
              </w:rPr>
              <w:t>‚</w:t>
            </w:r>
            <w:r w:rsidRPr="0007707F">
              <w:t>drugi informacijski sistemi EU</w:t>
            </w:r>
            <w:r w:rsidRPr="0007707F">
              <w:rPr>
                <w:b/>
                <w:i/>
              </w:rPr>
              <w:t>‘</w:t>
            </w:r>
            <w:r w:rsidRPr="0007707F">
              <w:t xml:space="preserve"> pomeni sistem vstopa/izstopa (SVI), vizumski informacijski sistem (VIS)</w:t>
            </w:r>
            <w:r w:rsidRPr="0007707F">
              <w:rPr>
                <w:b/>
                <w:i/>
              </w:rPr>
              <w:t>, schengenski informacijski sistem (SIS) in evropski</w:t>
            </w:r>
            <w:r w:rsidRPr="0007707F">
              <w:t xml:space="preserve"> informacijski sistem </w:t>
            </w:r>
            <w:r w:rsidRPr="0007707F">
              <w:rPr>
                <w:b/>
                <w:i/>
              </w:rPr>
              <w:t>kazenskih evidenc – državljani tretjih držav</w:t>
            </w:r>
            <w:r w:rsidRPr="0007707F">
              <w:t xml:space="preserve"> (</w:t>
            </w:r>
            <w:r w:rsidRPr="0007707F">
              <w:rPr>
                <w:b/>
                <w:i/>
              </w:rPr>
              <w:t>ECRIS-TCN</w:t>
            </w:r>
            <w:r w:rsidRPr="0007707F">
              <w:t>)</w:t>
            </w:r>
            <w:r w:rsidRPr="0007707F">
              <w:rPr>
                <w:b/>
                <w:i/>
              </w:rPr>
              <w:t>.</w:t>
            </w:r>
            <w:r w:rsidRPr="0007707F">
              <w:t>;</w:t>
            </w:r>
          </w:p>
        </w:tc>
        <w:tc>
          <w:tcPr>
            <w:tcW w:w="4876" w:type="dxa"/>
          </w:tcPr>
          <w:p w:rsidR="00537AB8" w:rsidRPr="0007707F" w:rsidRDefault="000F612F">
            <w:pPr>
              <w:pStyle w:val="Normal6a"/>
            </w:pPr>
            <w:r w:rsidRPr="0007707F">
              <w:t>(23</w:t>
            </w:r>
            <w:r w:rsidRPr="0007707F">
              <w:t>)</w:t>
            </w:r>
            <w:r w:rsidRPr="0007707F">
              <w:tab/>
            </w:r>
            <w:r w:rsidRPr="0007707F">
              <w:rPr>
                <w:b/>
                <w:i/>
              </w:rPr>
              <w:t>„</w:t>
            </w:r>
            <w:r w:rsidRPr="0007707F">
              <w:t>drugi informacijski sistemi EU</w:t>
            </w:r>
            <w:r w:rsidRPr="0007707F">
              <w:rPr>
                <w:b/>
                <w:i/>
              </w:rPr>
              <w:t>“</w:t>
            </w:r>
            <w:r w:rsidRPr="0007707F">
              <w:t xml:space="preserve"> pomeni sistem vstopa/izstopa (SVI), vizumski informacijski sistem (VIS) </w:t>
            </w:r>
            <w:r w:rsidRPr="0007707F">
              <w:rPr>
                <w:b/>
                <w:i/>
              </w:rPr>
              <w:t>in schengenski</w:t>
            </w:r>
            <w:r w:rsidRPr="0007707F">
              <w:t xml:space="preserve"> informacijski sistem (</w:t>
            </w:r>
            <w:r w:rsidRPr="0007707F">
              <w:rPr>
                <w:b/>
                <w:i/>
              </w:rPr>
              <w:t>SIS</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 xml:space="preserve">Dostop sistema ETIAS do sistema </w:t>
      </w:r>
      <w:r w:rsidRPr="0007707F">
        <w:t>ECRIS-TCN presega njegove namene, kot so bili prvotno predvideni, zato ni v skladu z načelom omejitve namena. Poleg tega so podatki o kazenskih obsodbah občutljivejši in zanje veljajo posebni zaščitni ukrepi, kar ustvarja dvome glede spoštovanja načela sor</w:t>
      </w:r>
      <w:r w:rsidRPr="0007707F">
        <w:t>azmernosti, če se ti podatki nadalje obdelujejo za dodatne namene sistema ETIAS.</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62</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w:t>
      </w:r>
      <w:r w:rsidRPr="0007707F">
        <w:rPr>
          <w:rStyle w:val="HideTWBExt"/>
          <w:noProof w:val="0"/>
        </w:rPr>
        <w: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3 – odstavek 1 – točka 23</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(23)</w:t>
            </w:r>
            <w:r w:rsidRPr="0007707F">
              <w:tab/>
            </w:r>
            <w:r w:rsidRPr="0007707F">
              <w:rPr>
                <w:b/>
                <w:i/>
              </w:rPr>
              <w:t>‚</w:t>
            </w:r>
            <w:r w:rsidRPr="0007707F">
              <w:t>drugi informacijski sistemi EU</w:t>
            </w:r>
            <w:r w:rsidRPr="0007707F">
              <w:rPr>
                <w:b/>
                <w:i/>
              </w:rPr>
              <w:t>‘</w:t>
            </w:r>
            <w:r w:rsidRPr="0007707F">
              <w:t xml:space="preserve"> pomeni sistem vstopa/izstopa (SVI), vizumski informacijski sistem (VIS)</w:t>
            </w:r>
            <w:r w:rsidRPr="0007707F">
              <w:rPr>
                <w:b/>
                <w:i/>
              </w:rPr>
              <w:t>, schengenski informacijski sistem (SIS) in evropski</w:t>
            </w:r>
            <w:r w:rsidRPr="0007707F">
              <w:t xml:space="preserve"> informacijski sistem </w:t>
            </w:r>
            <w:r w:rsidRPr="0007707F">
              <w:rPr>
                <w:b/>
                <w:i/>
              </w:rPr>
              <w:t>kazenskih evidenc – državljani tretjih držav</w:t>
            </w:r>
            <w:r w:rsidRPr="0007707F">
              <w:t xml:space="preserve"> (</w:t>
            </w:r>
            <w:r w:rsidRPr="0007707F">
              <w:rPr>
                <w:b/>
                <w:i/>
              </w:rPr>
              <w:t>ECRIS-TCN</w:t>
            </w:r>
            <w:r w:rsidRPr="0007707F">
              <w:t>)</w:t>
            </w:r>
            <w:r w:rsidRPr="0007707F">
              <w:rPr>
                <w:b/>
                <w:i/>
              </w:rPr>
              <w:t>.</w:t>
            </w:r>
            <w:r w:rsidRPr="0007707F">
              <w:t>;</w:t>
            </w:r>
          </w:p>
        </w:tc>
        <w:tc>
          <w:tcPr>
            <w:tcW w:w="4876" w:type="dxa"/>
          </w:tcPr>
          <w:p w:rsidR="00537AB8" w:rsidRPr="0007707F" w:rsidRDefault="000F612F">
            <w:pPr>
              <w:pStyle w:val="Normal6a"/>
            </w:pPr>
            <w:r w:rsidRPr="0007707F">
              <w:t>(23)</w:t>
            </w:r>
            <w:r w:rsidRPr="0007707F">
              <w:tab/>
            </w:r>
            <w:r w:rsidRPr="0007707F">
              <w:rPr>
                <w:b/>
                <w:i/>
              </w:rPr>
              <w:t>„</w:t>
            </w:r>
            <w:r w:rsidRPr="0007707F">
              <w:t>drugi informacijski sistemi EU</w:t>
            </w:r>
            <w:r w:rsidRPr="0007707F">
              <w:rPr>
                <w:b/>
                <w:i/>
              </w:rPr>
              <w:t>“</w:t>
            </w:r>
            <w:r w:rsidRPr="0007707F">
              <w:t xml:space="preserve"> pomeni sistem vstopa/izstopa (SVI), vizumski informacijski sistem (VIS) </w:t>
            </w:r>
            <w:r w:rsidRPr="0007707F">
              <w:rPr>
                <w:b/>
                <w:i/>
              </w:rPr>
              <w:t>in schengenski</w:t>
            </w:r>
            <w:r w:rsidRPr="0007707F">
              <w:t xml:space="preserve"> informacijski sistem (</w:t>
            </w:r>
            <w:r w:rsidRPr="0007707F">
              <w:rPr>
                <w:b/>
                <w:i/>
              </w:rPr>
              <w:t>SIS</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w:t>
      </w:r>
      <w:r w:rsidRPr="0007707F">
        <w:rPr>
          <w:rStyle w:val="HideTWBExt"/>
          <w:noProof w:val="0"/>
        </w:rPr>
        <w:t>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3 – odstavek 1 – točka 23</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(23)</w:t>
            </w:r>
            <w:r w:rsidRPr="0007707F">
              <w:tab/>
              <w:t xml:space="preserve">‚drugi informacijski </w:t>
            </w:r>
            <w:r w:rsidRPr="0007707F">
              <w:t>sistemi EU‘ pomeni sistem vstopa/izstopa (SVI), vizumski informacijski sistem (VIS), schengenski informacijski sistem (SIS) in evropski informacijski sistem kazenskih evidenc – državljani tretjih držav (ECRIS-TCN)</w:t>
            </w:r>
            <w:r w:rsidRPr="0007707F">
              <w:rPr>
                <w:b/>
                <w:i/>
              </w:rPr>
              <w:t>.</w:t>
            </w:r>
            <w:r w:rsidRPr="0007707F">
              <w:t>;</w:t>
            </w:r>
          </w:p>
        </w:tc>
        <w:tc>
          <w:tcPr>
            <w:tcW w:w="4876" w:type="dxa"/>
          </w:tcPr>
          <w:p w:rsidR="00537AB8" w:rsidRPr="0007707F" w:rsidRDefault="000F612F">
            <w:pPr>
              <w:pStyle w:val="Normal6a"/>
            </w:pPr>
            <w:r w:rsidRPr="0007707F">
              <w:t>(23)</w:t>
            </w:r>
            <w:r w:rsidRPr="0007707F">
              <w:tab/>
              <w:t>‚drugi informacijski sistemi EU‘ po</w:t>
            </w:r>
            <w:r w:rsidRPr="0007707F">
              <w:t>meni sistem vstopa/izstopa (SVI), vizumski informacijski sistem (VIS), schengenski informacijski sistem (SIS)</w:t>
            </w:r>
            <w:r w:rsidRPr="0007707F">
              <w:rPr>
                <w:b/>
                <w:i/>
              </w:rPr>
              <w:t>, Eurodac</w:t>
            </w:r>
            <w:r w:rsidRPr="0007707F">
              <w:t xml:space="preserve"> in evropski informacijski sistem kazenskih evidenc – državljani tretjih držav (ECRIS-TCN);</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w:t>
      </w:r>
      <w:r w:rsidRPr="0007707F">
        <w:rPr>
          <w:rStyle w:val="HideTWBExt"/>
          <w:noProof w:val="0"/>
        </w:rPr>
        <w:t>endB&gt;</w:t>
      </w:r>
      <w:r w:rsidRPr="0007707F">
        <w:t>Predlog spremembe</w:t>
      </w:r>
      <w:r w:rsidRPr="0007707F">
        <w:tab/>
      </w:r>
      <w:r w:rsidRPr="0007707F">
        <w:tab/>
      </w:r>
      <w:r w:rsidRPr="0007707F">
        <w:rPr>
          <w:rStyle w:val="HideTWBExt"/>
          <w:noProof w:val="0"/>
        </w:rPr>
        <w:t>&lt;NumAmB&gt;</w:t>
      </w:r>
      <w:r w:rsidRPr="0007707F">
        <w:t>64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w:t>
      </w:r>
      <w:r w:rsidRPr="0007707F">
        <w:rPr>
          <w:rStyle w:val="HideTWBExt"/>
          <w:noProof w:val="0"/>
        </w:rPr>
        <w:t>ocAmend&gt;</w:t>
      </w:r>
    </w:p>
    <w:p w:rsidR="00537AB8" w:rsidRPr="0007707F" w:rsidRDefault="000F612F">
      <w:pPr>
        <w:pStyle w:val="NormalBold"/>
      </w:pPr>
      <w:r w:rsidRPr="0007707F">
        <w:rPr>
          <w:rStyle w:val="HideTWBExt"/>
          <w:noProof w:val="0"/>
        </w:rPr>
        <w:t>&lt;Article&gt;</w:t>
      </w:r>
      <w:r w:rsidRPr="0007707F">
        <w:t>Člen 1 – odstavek 4 a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7 – odstavek 3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(4a)</w:t>
            </w:r>
            <w:r w:rsidRPr="0007707F">
              <w:tab/>
            </w:r>
            <w:r w:rsidRPr="0007707F">
              <w:rPr>
                <w:b/>
                <w:i/>
              </w:rPr>
              <w:t xml:space="preserve">Centralna enota ETIAS Komisiji in agenciji eu-LISA redno poroča o </w:t>
            </w:r>
            <w:r w:rsidRPr="0007707F">
              <w:rPr>
                <w:b/>
                <w:i/>
              </w:rPr>
              <w:t>lažnih zadetkih, ustvarjenih med avtomatizirano obdelavo iz člena 20(2).</w:t>
            </w:r>
            <w:r w:rsidRPr="0007707F">
              <w:t xml:space="preserve"> </w:t>
            </w:r>
            <w:r w:rsidRPr="0007707F">
              <w:rPr>
                <w:b/>
                <w:i/>
              </w:rPr>
              <w:t>Centralna enota ETIAS v zvezi s tem zaprosi nacionalne enote ETIAS za sodelovanje in informacije.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Glavna naloga ce</w:t>
      </w:r>
      <w:r w:rsidRPr="0007707F">
        <w:t>ntralne enote ETIAS je preveriti zadetke, ustvarjene med avtomatizirano obdelavo vlog ETIAS v različnih informacijskih sistemih. Centralna enota ETIAS bi morala imeti možnost zbirati statistične podatke o ustvarjenih lažnih zadetkih in analizirati vzroke z</w:t>
      </w:r>
      <w:r w:rsidRPr="0007707F">
        <w:t>anje v sodelovanju z nacionalnimi enotami ETIAS.</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4 a (novo)</w:t>
      </w:r>
      <w:r w:rsidRPr="0007707F">
        <w:rPr>
          <w:rStyle w:val="HideTWBExt"/>
          <w:noProof w:val="0"/>
        </w:rPr>
        <w:t>&lt;/Article&gt;</w:t>
      </w:r>
    </w:p>
    <w:p w:rsidR="00537AB8" w:rsidRPr="0007707F" w:rsidRDefault="000F612F">
      <w:r w:rsidRPr="0007707F">
        <w:t xml:space="preserve">Uredba (EU) </w:t>
      </w:r>
      <w:r w:rsidRPr="0007707F">
        <w:t>2018/1240</w:t>
      </w:r>
    </w:p>
    <w:p w:rsidR="00537AB8" w:rsidRPr="0007707F" w:rsidRDefault="000F612F">
      <w:r w:rsidRPr="0007707F">
        <w:rPr>
          <w:rStyle w:val="HideTWBExt"/>
          <w:noProof w:val="0"/>
        </w:rPr>
        <w:t>&lt;Article2&gt;</w:t>
      </w:r>
      <w:r w:rsidRPr="0007707F">
        <w:t>Člen 7 – odstavek 3 b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BoldItalicCenter6a"/>
            </w:pPr>
            <w:r w:rsidRPr="0007707F">
              <w:t>Člen 4a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BoldItalicCenter6a"/>
            </w:pPr>
            <w:r w:rsidRPr="0007707F">
              <w:t>člen 7(3b)</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Centralna enota ETIAS redno poroča Komisiji in agenciji eu-LISA o lažnih zadetkih, ustvarjenih med avtomatizirano </w:t>
            </w:r>
            <w:r w:rsidRPr="0007707F">
              <w:rPr>
                <w:b/>
                <w:i/>
              </w:rPr>
              <w:t>obdelavo iz člena 20(2). Centralna enota ETIAS v zvezi s tem zaprosi nacionalne enote ETIAS za sodelovanje in informacije.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 xml:space="preserve">Dragoş Tudorache, </w:t>
      </w:r>
      <w:r w:rsidRPr="0007707F">
        <w:t>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w:t>
      </w:r>
      <w:r w:rsidRPr="0007707F">
        <w:t xml:space="preserve"> – odstavek 1 – pododstavek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[Interoperabilnost se opira na evropski iskalni portal, vzpostavljen s členom 6 Uredbe (EU) </w:t>
            </w:r>
            <w:r w:rsidRPr="0007707F">
              <w:rPr>
                <w:b/>
                <w:i/>
              </w:rPr>
              <w:t xml:space="preserve">2018/XXX (interoperabilnost). Avtomatizirana obdelava v prehodnem </w:t>
            </w:r>
            <w:r w:rsidRPr="0007707F">
              <w:rPr>
                <w:b/>
                <w:i/>
              </w:rPr>
              <w:t>obdobju pred začetkom dostopnosti</w:t>
            </w:r>
            <w:r w:rsidRPr="0007707F">
              <w:t xml:space="preserve"> evropskega </w:t>
            </w:r>
            <w:r w:rsidRPr="0007707F">
              <w:rPr>
                <w:b/>
                <w:i/>
              </w:rPr>
              <w:t>iskalnega portala poteka prek orodja, ki ga za namene tega odstavka razvije agencija eu-LISA. To orodje se uporablja kot osnova za razvoj in izvajanje evropskega iskalnega portala v skladu s členom 52 navedene u</w:t>
            </w:r>
            <w:r w:rsidRPr="0007707F">
              <w:rPr>
                <w:b/>
                <w:i/>
              </w:rPr>
              <w:t>redbe</w:t>
            </w:r>
            <w:r w:rsidRPr="0007707F">
              <w:t>.</w:t>
            </w:r>
            <w:r w:rsidRPr="0007707F">
              <w:rPr>
                <w:b/>
                <w:i/>
              </w:rPr>
              <w:t>]</w:t>
            </w:r>
          </w:p>
        </w:tc>
        <w:tc>
          <w:tcPr>
            <w:tcW w:w="4876" w:type="dxa"/>
          </w:tcPr>
          <w:p w:rsidR="00537AB8" w:rsidRPr="0007707F" w:rsidRDefault="000F612F">
            <w:pPr>
              <w:pStyle w:val="Normal6a"/>
            </w:pPr>
            <w:r w:rsidRPr="0007707F">
              <w:t>[Interoperabilnost se opira na evropski iskalni portal</w:t>
            </w:r>
            <w:r w:rsidRPr="0007707F">
              <w:rPr>
                <w:b/>
                <w:i/>
              </w:rPr>
              <w:t> (v nadaljnjem besedilu: ESP)</w:t>
            </w:r>
            <w:r w:rsidRPr="0007707F">
              <w:t xml:space="preserve">, vzpostavljen s členom 6 Uredbe (EU) </w:t>
            </w:r>
            <w:r w:rsidRPr="0007707F">
              <w:rPr>
                <w:b/>
                <w:i/>
              </w:rPr>
              <w:t>2019/817</w:t>
            </w:r>
            <w:r w:rsidRPr="0007707F">
              <w:t xml:space="preserve"> Evropskega </w:t>
            </w:r>
            <w:r w:rsidRPr="0007707F">
              <w:rPr>
                <w:b/>
                <w:i/>
              </w:rPr>
              <w:t>parlamenta in Sveta (interoperabilnost)</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 xml:space="preserve">Predlog </w:t>
      </w:r>
      <w:r w:rsidRPr="0007707F">
        <w:t>spremembe</w:t>
      </w:r>
      <w:r w:rsidRPr="0007707F">
        <w:tab/>
      </w:r>
      <w:r w:rsidRPr="0007707F">
        <w:tab/>
      </w:r>
      <w:r w:rsidRPr="0007707F">
        <w:rPr>
          <w:rStyle w:val="HideTWBExt"/>
          <w:noProof w:val="0"/>
        </w:rPr>
        <w:t>&lt;NumAmB&gt;</w:t>
      </w:r>
      <w:r w:rsidRPr="0007707F">
        <w:t>67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Č1en 11 – odstavek 4 – uvodni del</w:t>
      </w:r>
      <w:r w:rsidRPr="0007707F">
        <w:rPr>
          <w:rStyle w:val="HideTWBExt"/>
          <w:noProof w:val="0"/>
        </w:rPr>
        <w:t>&lt;/Article2</w:t>
      </w:r>
      <w:r w:rsidRPr="0007707F">
        <w:rPr>
          <w:rStyle w:val="HideTWBExt"/>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4.</w:t>
            </w:r>
            <w:r w:rsidRPr="0007707F">
              <w:tab/>
              <w:t xml:space="preserve">Za namene preverjanj iz člena 20(2)(c), (m)(ii) in (o) ter člena 23(1) avtomatizirana obdelava iz člena 11(1) omogoča, da centralni sistem ETIAS opravi poizvedbo v SIS, ki je bil vzpostavljen z </w:t>
            </w:r>
            <w:r w:rsidRPr="0007707F">
              <w:rPr>
                <w:b/>
                <w:i/>
              </w:rPr>
              <w:t>Ur</w:t>
            </w:r>
            <w:r w:rsidRPr="0007707F">
              <w:rPr>
                <w:b/>
                <w:i/>
              </w:rPr>
              <w:t>edbo (EU) 2018/1860</w:t>
            </w:r>
            <w:r w:rsidRPr="0007707F">
              <w:t xml:space="preserve"> (mejna kontrola), in sicer na podlagi naslednjih podatkov iz člena 17(2)(a) do (d) in člena 17(2)(k):</w:t>
            </w:r>
          </w:p>
        </w:tc>
        <w:tc>
          <w:tcPr>
            <w:tcW w:w="4876" w:type="dxa"/>
          </w:tcPr>
          <w:p w:rsidR="00537AB8" w:rsidRPr="0007707F" w:rsidRDefault="000F612F">
            <w:pPr>
              <w:pStyle w:val="Normal6a"/>
            </w:pPr>
            <w:r w:rsidRPr="0007707F">
              <w:t>4.</w:t>
            </w:r>
            <w:r w:rsidRPr="0007707F">
              <w:tab/>
              <w:t>Za namene preverjanj iz člena 20(2)(c), (m)(ii) in (o) ter člena 23(1) avtomatizirana obdelava iz člena 11(1) omogoča, da centralni</w:t>
            </w:r>
            <w:r w:rsidRPr="0007707F">
              <w:t xml:space="preserve"> sistem ETIAS opravi poizvedbo v SIS, ki je bil vzpostavljen z </w:t>
            </w:r>
            <w:r w:rsidRPr="0007707F">
              <w:rPr>
                <w:b/>
                <w:i/>
              </w:rPr>
              <w:t>uredbama (EU) 2018/1861</w:t>
            </w:r>
            <w:r w:rsidRPr="0007707F">
              <w:t xml:space="preserve"> (mejna kontrola) </w:t>
            </w:r>
            <w:r w:rsidRPr="0007707F">
              <w:rPr>
                <w:b/>
                <w:i/>
              </w:rPr>
              <w:t>in (EU) 2018/1860 (vrnitve) Evropskega parlamenta in Sveta</w:t>
            </w:r>
            <w:r w:rsidRPr="0007707F">
              <w:t>, in sicer na podlagi naslednjih podatkov iz člena 17(2)(a) do (d) in člena 17(2)(k):</w:t>
            </w:r>
          </w:p>
        </w:tc>
      </w:tr>
    </w:tbl>
    <w:p w:rsidR="00537AB8" w:rsidRPr="0007707F" w:rsidRDefault="000F612F">
      <w:pPr>
        <w:pStyle w:val="AmOrLang"/>
      </w:pPr>
      <w:r w:rsidRPr="0007707F">
        <w:t xml:space="preserve">Or. </w:t>
      </w:r>
      <w:r w:rsidRPr="0007707F">
        <w:rPr>
          <w:rStyle w:val="HideTWBExt"/>
          <w:noProof w:val="0"/>
        </w:rPr>
        <w:t>&lt;Or</w:t>
      </w:r>
      <w:r w:rsidRPr="0007707F">
        <w:rPr>
          <w:rStyle w:val="HideTWBExt"/>
          <w:noProof w:val="0"/>
        </w:rPr>
        <w:t>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68</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w:t>
      </w:r>
      <w:r w:rsidRPr="0007707F">
        <w:rPr>
          <w:rStyle w:val="HideTWBExt"/>
          <w:noProof w:val="0"/>
        </w:rPr>
        <w:t>Article2&gt;</w:t>
      </w:r>
      <w:r w:rsidRPr="0007707F">
        <w:t>Člen 11 – odstavek 6 – točka d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(da)</w:t>
            </w:r>
            <w:r w:rsidRPr="0007707F">
              <w:tab/>
            </w:r>
            <w:r w:rsidRPr="0007707F">
              <w:rPr>
                <w:b/>
                <w:i/>
              </w:rPr>
              <w:t>država rojstva;</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69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2019/1240</w:t>
      </w:r>
    </w:p>
    <w:p w:rsidR="00537AB8" w:rsidRPr="0007707F" w:rsidRDefault="000F612F">
      <w:r w:rsidRPr="0007707F">
        <w:rPr>
          <w:rStyle w:val="HideTWBExt"/>
          <w:noProof w:val="0"/>
        </w:rPr>
        <w:t>&lt;Article2&gt;</w:t>
      </w:r>
      <w:r w:rsidRPr="0007707F">
        <w:t>Člen 11 – odstavek 8 – pododstavek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Kadar se ugotovijo zadetki, da orodje iz člena 11 rezultate v dosjeju prosilca začasno na voljo centralni enoti ETIAS v skladu s členom 22(2) in členom 23(2), in sicer do konca ročnega postopka. Kadar </w:t>
            </w:r>
            <w:r w:rsidRPr="0007707F">
              <w:t>se podatki, ki so dani na voljo, ujemajo s podatki prosilca ali kadar ostajajo dvomi, se v dosjeju prosilca hrani edinstvena identifikacijska oznaka podatkov, ki so sprožili zadetek.</w:t>
            </w:r>
          </w:p>
        </w:tc>
        <w:tc>
          <w:tcPr>
            <w:tcW w:w="4876" w:type="dxa"/>
          </w:tcPr>
          <w:p w:rsidR="00537AB8" w:rsidRPr="0007707F" w:rsidRDefault="000F612F">
            <w:pPr>
              <w:pStyle w:val="Normal6a"/>
            </w:pPr>
            <w:r w:rsidRPr="0007707F">
              <w:t>Kadar se ugotovijo zadetki, da orodje iz člena 11 rezultate v dosjeju pro</w:t>
            </w:r>
            <w:r w:rsidRPr="0007707F">
              <w:t xml:space="preserve">silca </w:t>
            </w:r>
            <w:r w:rsidRPr="0007707F">
              <w:rPr>
                <w:b/>
                <w:i/>
              </w:rPr>
              <w:t>v načinu „samo za branje“</w:t>
            </w:r>
            <w:r w:rsidRPr="0007707F">
              <w:t xml:space="preserve"> začasno na voljo centralni enoti ETIAS v skladu s členom 22(2) in členom 23(2), in sicer do konca ročnega postopka. Kadar se podatki, ki so dani na voljo, ujemajo s podatki prosilca ali kadar ostajajo dvomi, se v dosjeju pro</w:t>
            </w:r>
            <w:r w:rsidRPr="0007707F">
              <w:t>silca hrani edinstvena identifikacijska oznaka podatkov, ki so sprožili zadetek.</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70</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w:t>
      </w:r>
      <w:r w:rsidRPr="0007707F">
        <w:rPr>
          <w:rStyle w:val="HideTWBExt"/>
          <w:noProof w:val="0"/>
        </w:rPr>
        <w:t>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8 – pododstavek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Kadar se ugotovijo zadetki, </w:t>
            </w:r>
            <w:r w:rsidRPr="0007707F">
              <w:rPr>
                <w:b/>
                <w:i/>
              </w:rPr>
              <w:t>da</w:t>
            </w:r>
            <w:r w:rsidRPr="0007707F">
              <w:t xml:space="preserve"> orodje iz člena 11 </w:t>
            </w:r>
            <w:r w:rsidRPr="0007707F">
              <w:rPr>
                <w:b/>
                <w:i/>
              </w:rPr>
              <w:t>rezultate</w:t>
            </w:r>
            <w:r w:rsidRPr="0007707F">
              <w:t xml:space="preserve"> v dosjeju prosilca </w:t>
            </w:r>
            <w:r w:rsidRPr="0007707F">
              <w:rPr>
                <w:b/>
                <w:i/>
              </w:rPr>
              <w:t>začasno na voljo centralni enoti ETIAS</w:t>
            </w:r>
            <w:r w:rsidRPr="0007707F">
              <w:t xml:space="preserve"> v skladu s členom 22(2) in členom 23(2), in sicer do konca ročnega postopka. Kadar se podatki, ki so dani na voljo, ujemajo s podatki prosilca ali kadar ostajajo dvomi,</w:t>
            </w:r>
            <w:r w:rsidRPr="0007707F">
              <w:t xml:space="preserve"> se v dosjeju prosilca hrani edinstvena identifikacijska oznaka podatkov, ki so sprožili zadetek.</w:t>
            </w:r>
          </w:p>
        </w:tc>
        <w:tc>
          <w:tcPr>
            <w:tcW w:w="4876" w:type="dxa"/>
          </w:tcPr>
          <w:p w:rsidR="00537AB8" w:rsidRPr="0007707F" w:rsidRDefault="000F612F">
            <w:pPr>
              <w:pStyle w:val="Normal6a"/>
            </w:pPr>
            <w:r w:rsidRPr="0007707F">
              <w:t xml:space="preserve">Kadar se ugotovijo zadetki, orodje iz člena 11 </w:t>
            </w:r>
            <w:r w:rsidRPr="0007707F">
              <w:rPr>
                <w:b/>
                <w:i/>
              </w:rPr>
              <w:t>omogoči centralni enoti ETIAS začasen dostop do rezultatov</w:t>
            </w:r>
            <w:r w:rsidRPr="0007707F">
              <w:t xml:space="preserve"> v dosjeju prosilca </w:t>
            </w:r>
            <w:r w:rsidRPr="0007707F">
              <w:rPr>
                <w:b/>
                <w:i/>
              </w:rPr>
              <w:t>v načinu „samo za branje“</w:t>
            </w:r>
            <w:r w:rsidRPr="0007707F">
              <w:t> v sklad</w:t>
            </w:r>
            <w:r w:rsidRPr="0007707F">
              <w:t>u s členom 22(2) in členom 23(2), in sicer do konca ročnega postopka. Kadar se podatki, ki so dani na voljo, ujemajo s podatki prosilca ali kadar ostajajo dvomi, se v dosjeju prosilca hrani edinstvena identifikacijska oznaka podatkov, ki so sprožili zadete</w:t>
            </w:r>
            <w:r w:rsidRPr="0007707F">
              <w:t>k.</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Fabienne Keller, Ondřej Kovařík, Abir Al-Sahlani</w:t>
      </w:r>
      <w:r w:rsidRPr="0007707F">
        <w:rPr>
          <w:rStyle w:val="HideTWBExt"/>
          <w:noProof w:val="0"/>
        </w:rPr>
        <w:t>&lt;/Membe</w:t>
      </w:r>
      <w:r w:rsidRPr="0007707F">
        <w:rPr>
          <w:rStyle w:val="HideTWBExt"/>
          <w:noProof w:val="0"/>
        </w:rPr>
        <w:t>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8 – pododstavek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Kadar se ugotovijo zadetki, </w:t>
            </w:r>
            <w:r w:rsidRPr="0007707F">
              <w:rPr>
                <w:b/>
                <w:i/>
              </w:rPr>
              <w:t>da orodje iz člena 11 rezultate</w:t>
            </w:r>
            <w:r w:rsidRPr="0007707F">
              <w:t xml:space="preserve"> v dosjeju prosilca </w:t>
            </w:r>
            <w:r w:rsidRPr="0007707F">
              <w:rPr>
                <w:b/>
                <w:i/>
              </w:rPr>
              <w:t>začasno na voljo centralni enoti ETIAS</w:t>
            </w:r>
            <w:r w:rsidRPr="0007707F">
              <w:t xml:space="preserve"> v skladu s členom 22(2) in členom 23(2), in sicer do konca ročnega postopka. Kadar se podatki, ki so dani na voljo, ujemajo s podatki pros</w:t>
            </w:r>
            <w:r w:rsidRPr="0007707F">
              <w:t>ilca ali kadar ostajajo dvomi, se v dosjeju prosilca hrani edinstvena identifikacijska oznaka podatkov, ki so sprožili zadetek.</w:t>
            </w:r>
          </w:p>
        </w:tc>
        <w:tc>
          <w:tcPr>
            <w:tcW w:w="4876" w:type="dxa"/>
          </w:tcPr>
          <w:p w:rsidR="00537AB8" w:rsidRPr="0007707F" w:rsidRDefault="000F612F">
            <w:pPr>
              <w:pStyle w:val="Normal6a"/>
            </w:pPr>
            <w:r w:rsidRPr="0007707F">
              <w:t xml:space="preserve">Kadar se ugotovijo zadetki, </w:t>
            </w:r>
            <w:r w:rsidRPr="0007707F">
              <w:rPr>
                <w:b/>
                <w:i/>
              </w:rPr>
              <w:t>ESP omogoči centralni enoti ETIAS začasen dostop do rezultatov</w:t>
            </w:r>
            <w:r w:rsidRPr="0007707F">
              <w:t xml:space="preserve"> v dosjeju prosilca </w:t>
            </w:r>
            <w:r w:rsidRPr="0007707F">
              <w:rPr>
                <w:b/>
                <w:i/>
              </w:rPr>
              <w:t xml:space="preserve">v načinu „samo za </w:t>
            </w:r>
            <w:r w:rsidRPr="0007707F">
              <w:rPr>
                <w:b/>
                <w:i/>
              </w:rPr>
              <w:t>branje“</w:t>
            </w:r>
            <w:r w:rsidRPr="0007707F">
              <w:t xml:space="preserve"> v skladu s členom 22(2) in členom 23(2), in sicer do konca ročnega postopka. Kadar se podatki, ki so dani na voljo, ujemajo s podatki prosilca ali kadar ostajajo dvomi, se v dosjeju prosilca hrani edinstvena identifikacijska oznaka podatkov, ki so </w:t>
            </w:r>
            <w:r w:rsidRPr="0007707F">
              <w:t>sprožili zadetek.</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72</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9</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9.</w:t>
            </w:r>
            <w:r w:rsidRPr="0007707F">
              <w:tab/>
              <w:t>Zadetek se sproži, kadar se vsi ali nekateri podatki iz dosjeja prosilca v ETIAS, ki so uporabljeni za poizvedbo, v celoti ali delno u</w:t>
            </w:r>
            <w:r w:rsidRPr="0007707F">
              <w:t xml:space="preserve">jemajo s podatki v evidenci, razpisu ukrepa ali dosjeju v vpogledanih drugih informacijskih sistemih EU. Komisija z </w:t>
            </w:r>
            <w:r w:rsidRPr="0007707F">
              <w:rPr>
                <w:b/>
                <w:i/>
              </w:rPr>
              <w:t>izvedbenim</w:t>
            </w:r>
            <w:r w:rsidRPr="0007707F">
              <w:t xml:space="preserve"> aktom opredeli delno ujemanje, vključno s stopnjo verjetnosti.</w:t>
            </w:r>
          </w:p>
        </w:tc>
        <w:tc>
          <w:tcPr>
            <w:tcW w:w="4876" w:type="dxa"/>
          </w:tcPr>
          <w:p w:rsidR="00537AB8" w:rsidRPr="0007707F" w:rsidRDefault="000F612F">
            <w:pPr>
              <w:pStyle w:val="Normal6a"/>
            </w:pPr>
            <w:r w:rsidRPr="0007707F">
              <w:t>9.</w:t>
            </w:r>
            <w:r w:rsidRPr="0007707F">
              <w:tab/>
              <w:t>Zadetek se sproži, kadar se vsi ali nekateri podatki iz dosjeja</w:t>
            </w:r>
            <w:r w:rsidRPr="0007707F">
              <w:t xml:space="preserve"> prosilca v ETIAS, ki so uporabljeni za poizvedbo, v celoti ali delno ujemajo s podatki v evidenci, razpisu ukrepa ali dosjeju v vpogledanih drugih informacijskih sistemih EU. </w:t>
            </w:r>
            <w:r w:rsidRPr="0007707F">
              <w:rPr>
                <w:b/>
                <w:i/>
              </w:rPr>
              <w:t xml:space="preserve">Da bi se izognili napačnim zadetkom, vsi organi, ki vnašajo podatke, zagotovijo </w:t>
            </w:r>
            <w:r w:rsidRPr="0007707F">
              <w:rPr>
                <w:b/>
                <w:i/>
              </w:rPr>
              <w:t>njihovo kakovost in točnost.</w:t>
            </w:r>
            <w:r w:rsidRPr="0007707F">
              <w:t xml:space="preserve"> Komisija z </w:t>
            </w:r>
            <w:r w:rsidRPr="0007707F">
              <w:rPr>
                <w:b/>
                <w:i/>
              </w:rPr>
              <w:t>delegiranim</w:t>
            </w:r>
            <w:r w:rsidRPr="0007707F">
              <w:t xml:space="preserve"> aktom opredeli delno ujemanje, vključno s stopnjo verjetnosti.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 xml:space="preserve">Dragoş Tudorache, Michal </w:t>
      </w:r>
      <w:r w:rsidRPr="0007707F">
        <w:t>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w:t>
      </w:r>
      <w:r w:rsidRPr="0007707F">
        <w:t>avek 9</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9.</w:t>
            </w:r>
            <w:r w:rsidRPr="0007707F">
              <w:tab/>
              <w:t xml:space="preserve">Zadetek se sproži, kadar se vsi ali nekateri podatki iz dosjeja prosilca v ETIAS, ki so uporabljeni za poizvedbo, v celoti ali delno ujemajo s podatki v evidenci, razpisu ukrepa </w:t>
            </w:r>
            <w:r w:rsidRPr="0007707F">
              <w:t>ali dosjeju v vpogledanih drugih informacijskih sistemih EU. Komisija z izvedbenim aktom opredeli delno ujemanje, vključno s stopnjo verjetnosti.</w:t>
            </w:r>
          </w:p>
        </w:tc>
        <w:tc>
          <w:tcPr>
            <w:tcW w:w="4876" w:type="dxa"/>
          </w:tcPr>
          <w:p w:rsidR="00537AB8" w:rsidRPr="0007707F" w:rsidRDefault="000F612F">
            <w:pPr>
              <w:pStyle w:val="Normal6a"/>
            </w:pPr>
            <w:r w:rsidRPr="0007707F">
              <w:t>9.</w:t>
            </w:r>
            <w:r w:rsidRPr="0007707F">
              <w:tab/>
              <w:t>Zadetek se sproži, kadar se vsi ali nekateri podatki iz dosjeja prosilca v ETIAS, ki so uporabljeni za poiz</w:t>
            </w:r>
            <w:r w:rsidRPr="0007707F">
              <w:t>vedbo, v celoti ali delno ujemajo s podatki v evidenci, razpisu ukrepa ali dosjeju v vpogledanih drugih informacijskih sistemih EU. Komisija z izvedbenim aktom opredeli delno ujemanje, vključno s stopnjo verjetnosti</w:t>
            </w:r>
            <w:r w:rsidRPr="0007707F">
              <w:rPr>
                <w:b/>
                <w:i/>
              </w:rPr>
              <w:t xml:space="preserve">, za omejitev števila lažnih zadetkov in </w:t>
            </w:r>
            <w:r w:rsidRPr="0007707F">
              <w:rPr>
                <w:b/>
                <w:i/>
              </w:rPr>
              <w:t>omejitev števila poizvedb ETIAS samo na tiste, ki so res potrebne</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w:t>
      </w:r>
      <w:r w:rsidRPr="0007707F">
        <w:rPr>
          <w:rStyle w:val="HideTWBExt"/>
          <w:noProof w:val="0"/>
        </w:rPr>
        <w: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9</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9.</w:t>
            </w:r>
            <w:r w:rsidRPr="0007707F">
              <w:tab/>
            </w:r>
            <w:r w:rsidRPr="0007707F">
              <w:t xml:space="preserve">Zadetek se sproži, kadar se vsi ali nekateri podatki iz dosjeja prosilca v ETIAS, ki so uporabljeni za poizvedbo, v celoti ali delno ujemajo s podatki v evidenci, razpisu ukrepa ali dosjeju v vpogledanih drugih informacijskih sistemih EU. Komisija z </w:t>
            </w:r>
            <w:r w:rsidRPr="0007707F">
              <w:rPr>
                <w:b/>
                <w:i/>
              </w:rPr>
              <w:t>izvedb</w:t>
            </w:r>
            <w:r w:rsidRPr="0007707F">
              <w:rPr>
                <w:b/>
                <w:i/>
              </w:rPr>
              <w:t>enim</w:t>
            </w:r>
            <w:r w:rsidRPr="0007707F">
              <w:t xml:space="preserve"> aktom opredeli delno ujemanje, vključno s stopnjo verjetnosti.</w:t>
            </w:r>
          </w:p>
        </w:tc>
        <w:tc>
          <w:tcPr>
            <w:tcW w:w="4876" w:type="dxa"/>
          </w:tcPr>
          <w:p w:rsidR="00537AB8" w:rsidRPr="0007707F" w:rsidRDefault="000F612F">
            <w:pPr>
              <w:pStyle w:val="Normal6a"/>
            </w:pPr>
            <w:r w:rsidRPr="0007707F">
              <w:t>9.</w:t>
            </w:r>
            <w:r w:rsidRPr="0007707F">
              <w:tab/>
              <w:t>Zadetek se sproži, kadar se vsi ali nekateri podatki iz dosjeja prosilca v ETIAS, ki so uporabljeni za poizvedbo, v celoti ali delno ujemajo s podatki v evidenci, razpisu ukrepa ali dos</w:t>
            </w:r>
            <w:r w:rsidRPr="0007707F">
              <w:t xml:space="preserve">jeju v vpogledanih drugih informacijskih sistemih EU. Komisija z </w:t>
            </w:r>
            <w:r w:rsidRPr="0007707F">
              <w:rPr>
                <w:b/>
                <w:i/>
              </w:rPr>
              <w:t>delegiranim</w:t>
            </w:r>
            <w:r w:rsidRPr="0007707F">
              <w:t xml:space="preserve"> aktom opredeli delno ujemanje, vključno s stopnjo verjetnosti.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w:t>
      </w:r>
      <w:r w:rsidRPr="0007707F">
        <w:t>ragoş Tudorache, 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10</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10.</w:t>
            </w:r>
            <w:r w:rsidRPr="0007707F">
              <w:tab/>
              <w:t xml:space="preserve">Komisija za namene odstavka 1 z </w:t>
            </w:r>
            <w:r w:rsidRPr="0007707F">
              <w:rPr>
                <w:b/>
                <w:i/>
              </w:rPr>
              <w:t>izvedbenim</w:t>
            </w:r>
            <w:r w:rsidRPr="0007707F">
              <w:t xml:space="preserve"> aktom opredeli tehnične </w:t>
            </w:r>
            <w:r w:rsidRPr="0007707F">
              <w:rPr>
                <w:b/>
                <w:i/>
              </w:rPr>
              <w:t>modalitete</w:t>
            </w:r>
            <w:r w:rsidRPr="0007707F">
              <w:t xml:space="preserve"> za izvajanje člena 24(6)(c)(ii) in člena 54(1)(b) v zvezi s hrambo podatkov.</w:t>
            </w:r>
          </w:p>
        </w:tc>
        <w:tc>
          <w:tcPr>
            <w:tcW w:w="4876" w:type="dxa"/>
          </w:tcPr>
          <w:p w:rsidR="00537AB8" w:rsidRPr="0007707F" w:rsidRDefault="000F612F">
            <w:pPr>
              <w:pStyle w:val="Normal6a"/>
            </w:pPr>
            <w:r w:rsidRPr="0007707F">
              <w:t>10.</w:t>
            </w:r>
            <w:r w:rsidRPr="0007707F">
              <w:tab/>
              <w:t xml:space="preserve">Komisija za namene odstavka 1 z </w:t>
            </w:r>
            <w:r w:rsidRPr="0007707F">
              <w:rPr>
                <w:b/>
                <w:i/>
              </w:rPr>
              <w:t>delegiranim</w:t>
            </w:r>
            <w:r w:rsidRPr="0007707F">
              <w:t xml:space="preserve"> aktom opredeli tehnične </w:t>
            </w:r>
            <w:r w:rsidRPr="0007707F">
              <w:rPr>
                <w:b/>
                <w:i/>
              </w:rPr>
              <w:t>podrobnosti</w:t>
            </w:r>
            <w:r w:rsidRPr="0007707F">
              <w:t xml:space="preserve"> za izvajanje člena 24(6)(c)(ii) in člena 54(1)(b) v zvezi s hrambo podatkov</w:t>
            </w:r>
            <w:r w:rsidRPr="0007707F">
              <w:rPr>
                <w:b/>
                <w:i/>
              </w:rPr>
              <w:t>, pri čemer v celoti upošteva načelo najmanjšega obsega podatkov in ustrezna obdobja hrambe</w:t>
            </w:r>
            <w:r w:rsidRPr="0007707F">
              <w:t>.</w:t>
            </w:r>
          </w:p>
        </w:tc>
      </w:tr>
    </w:tbl>
    <w:p w:rsidR="00537AB8" w:rsidRPr="0007707F" w:rsidRDefault="000F612F">
      <w:pPr>
        <w:pStyle w:val="AmOrLang"/>
      </w:pPr>
      <w:r w:rsidRPr="0007707F">
        <w:t>Or</w:t>
      </w:r>
      <w:r w:rsidRPr="0007707F">
        <w:t xml:space="preserve">.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2018/1244</w:t>
      </w:r>
    </w:p>
    <w:p w:rsidR="00537AB8" w:rsidRPr="0007707F" w:rsidRDefault="000F612F">
      <w:r w:rsidRPr="0007707F">
        <w:rPr>
          <w:rStyle w:val="HideTWBExt"/>
          <w:noProof w:val="0"/>
        </w:rPr>
        <w:t>&lt;</w:t>
      </w:r>
      <w:r w:rsidRPr="0007707F">
        <w:rPr>
          <w:rStyle w:val="HideTWBExt"/>
          <w:noProof w:val="0"/>
        </w:rPr>
        <w:t>Article2&gt;</w:t>
      </w:r>
      <w:r w:rsidRPr="0007707F">
        <w:t>Člen 11 – odstavek 10</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10.</w:t>
            </w:r>
            <w:r w:rsidRPr="0007707F">
              <w:tab/>
              <w:t xml:space="preserve">Komisija za namene odstavka 1 z </w:t>
            </w:r>
            <w:r w:rsidRPr="0007707F">
              <w:rPr>
                <w:b/>
                <w:i/>
              </w:rPr>
              <w:t>izvedbenim</w:t>
            </w:r>
            <w:r w:rsidRPr="0007707F">
              <w:t xml:space="preserve"> aktom opredeli tehnične </w:t>
            </w:r>
            <w:r w:rsidRPr="0007707F">
              <w:rPr>
                <w:b/>
                <w:i/>
              </w:rPr>
              <w:t>modalitete</w:t>
            </w:r>
            <w:r w:rsidRPr="0007707F">
              <w:t xml:space="preserve"> za izvajanje člena 24(6)(c)(ii) in člena 54(1)(b) v zvezi s hrambo podatkov.</w:t>
            </w:r>
          </w:p>
        </w:tc>
        <w:tc>
          <w:tcPr>
            <w:tcW w:w="4876" w:type="dxa"/>
          </w:tcPr>
          <w:p w:rsidR="00537AB8" w:rsidRPr="0007707F" w:rsidRDefault="000F612F">
            <w:pPr>
              <w:pStyle w:val="Normal6a"/>
            </w:pPr>
            <w:r w:rsidRPr="0007707F">
              <w:t>10.</w:t>
            </w:r>
            <w:r w:rsidRPr="0007707F">
              <w:tab/>
              <w:t xml:space="preserve">Komisija za namene odstavka 1 z </w:t>
            </w:r>
            <w:r w:rsidRPr="0007707F">
              <w:rPr>
                <w:b/>
                <w:i/>
              </w:rPr>
              <w:t>delegiranim</w:t>
            </w:r>
            <w:r w:rsidRPr="0007707F">
              <w:t xml:space="preserve"> aktom opredeli tehnične </w:t>
            </w:r>
            <w:r w:rsidRPr="0007707F">
              <w:rPr>
                <w:b/>
                <w:i/>
              </w:rPr>
              <w:t>podrobnosti</w:t>
            </w:r>
            <w:r w:rsidRPr="0007707F">
              <w:t xml:space="preserve"> za izvajanje člena 24(6)(c)(ii) in člena 54(1)(b) v zvezi s hrambo podatkov </w:t>
            </w:r>
            <w:r w:rsidRPr="0007707F">
              <w:rPr>
                <w:b/>
                <w:i/>
              </w:rPr>
              <w:t>ob upoštevanju načela najmanjšega obsega podatkov in obstoječih rokov</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w:t>
      </w:r>
      <w:r w:rsidRPr="0007707F">
        <w:rPr>
          <w:rStyle w:val="HideTWBExt"/>
          <w:noProof w:val="0"/>
        </w:rPr>
        <w: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Začasni neposredni dostop različnih organov do sistemov, do katerih prvotno niso imeli dostopa, pomeni tveganje shranjevanja podatkov v dveh (ali več) različnih sistemih ali podaljšanja prvotno dogovorjenega ob</w:t>
      </w:r>
      <w:r w:rsidRPr="0007707F">
        <w:t>dobja hrambe podatkov s strani sozakonodajalcev. Ti dve načeli bi bili v nasprotju s splošnimi načeli zakonodaje in načel EU o varstvu podatkov. V vsakem primeru gre za bistveno vprašanje, zato bi ga bilo treba obravnavati z delegiranim aktom.</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w:t>
      </w:r>
      <w:r w:rsidRPr="0007707F">
        <w:rPr>
          <w:rStyle w:val="HideTWBExt"/>
          <w:noProof w:val="0"/>
        </w:rPr>
        <w:t>mendB&gt;</w:t>
      </w:r>
      <w:r w:rsidRPr="0007707F">
        <w:t>Predlog spremembe</w:t>
      </w:r>
      <w:r w:rsidRPr="0007707F">
        <w:tab/>
      </w:r>
      <w:r w:rsidRPr="0007707F">
        <w:tab/>
      </w:r>
      <w:r w:rsidRPr="0007707F">
        <w:rPr>
          <w:rStyle w:val="HideTWBExt"/>
          <w:noProof w:val="0"/>
        </w:rPr>
        <w:t>&lt;NumAmB&gt;</w:t>
      </w:r>
      <w:r w:rsidRPr="0007707F">
        <w:t>77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w:t>
      </w:r>
      <w:r w:rsidRPr="0007707F">
        <w:t xml:space="preserve"> – odstavek 10</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10.</w:t>
            </w:r>
            <w:r w:rsidRPr="0007707F">
              <w:tab/>
              <w:t xml:space="preserve">Komisija za namene odstavka 1 z </w:t>
            </w:r>
            <w:r w:rsidRPr="0007707F">
              <w:rPr>
                <w:b/>
                <w:i/>
              </w:rPr>
              <w:t>izvedbenim</w:t>
            </w:r>
            <w:r w:rsidRPr="0007707F">
              <w:t xml:space="preserve"> aktom opredeli tehnične </w:t>
            </w:r>
            <w:r w:rsidRPr="0007707F">
              <w:rPr>
                <w:b/>
                <w:i/>
              </w:rPr>
              <w:t>modalitete</w:t>
            </w:r>
            <w:r w:rsidRPr="0007707F">
              <w:t xml:space="preserve"> za izvajanje člena 24(6)(c)(ii) in člena 54(1)(b) v zvezi s hrambo podatkov.</w:t>
            </w:r>
          </w:p>
        </w:tc>
        <w:tc>
          <w:tcPr>
            <w:tcW w:w="4876" w:type="dxa"/>
          </w:tcPr>
          <w:p w:rsidR="00537AB8" w:rsidRPr="0007707F" w:rsidRDefault="000F612F">
            <w:pPr>
              <w:pStyle w:val="Normal6a"/>
            </w:pPr>
            <w:r w:rsidRPr="0007707F">
              <w:t>10.</w:t>
            </w:r>
            <w:r w:rsidRPr="0007707F">
              <w:tab/>
            </w:r>
            <w:r w:rsidRPr="0007707F">
              <w:t xml:space="preserve">Komisija za namene odstavka 1 z </w:t>
            </w:r>
            <w:r w:rsidRPr="0007707F">
              <w:rPr>
                <w:b/>
                <w:i/>
              </w:rPr>
              <w:t>delegiranim</w:t>
            </w:r>
            <w:r w:rsidRPr="0007707F">
              <w:t xml:space="preserve"> aktom opredeli tehnične </w:t>
            </w:r>
            <w:r w:rsidRPr="0007707F">
              <w:rPr>
                <w:b/>
                <w:i/>
              </w:rPr>
              <w:t>podrobnosti</w:t>
            </w:r>
            <w:r w:rsidRPr="0007707F">
              <w:t xml:space="preserve"> za izvajanje člena 24(6)(c)(ii) in člena 54(1)(b) v zvezi s hrambo podatkov.</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78</w:t>
      </w:r>
      <w:r w:rsidRPr="0007707F">
        <w:rPr>
          <w:rStyle w:val="HideTWBExt"/>
          <w:noProof w:val="0"/>
        </w:rPr>
        <w:t>&lt;/NumAmB&gt;</w:t>
      </w:r>
    </w:p>
    <w:p w:rsidR="00537AB8" w:rsidRPr="0007707F" w:rsidRDefault="000F612F">
      <w:pPr>
        <w:pStyle w:val="NormalBold"/>
      </w:pPr>
      <w:r w:rsidRPr="0007707F">
        <w:rPr>
          <w:rStyle w:val="HideTWBExt"/>
          <w:noProof w:val="0"/>
        </w:rPr>
        <w:t>&lt;RepeatBl</w:t>
      </w:r>
      <w:r w:rsidRPr="0007707F">
        <w:rPr>
          <w:rStyle w:val="HideTWBExt"/>
          <w:noProof w:val="0"/>
        </w:rPr>
        <w:t>ock-By&gt;&lt;Members&gt;</w:t>
      </w:r>
      <w:r w:rsidRPr="0007707F">
        <w:t>Dragoş Tudorache, 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w:t>
      </w:r>
      <w:r w:rsidRPr="0007707F">
        <w:t>a (EU) 2018/1240</w:t>
      </w:r>
    </w:p>
    <w:p w:rsidR="00537AB8" w:rsidRPr="0007707F" w:rsidRDefault="000F612F">
      <w:r w:rsidRPr="0007707F">
        <w:rPr>
          <w:rStyle w:val="HideTWBExt"/>
          <w:noProof w:val="0"/>
        </w:rPr>
        <w:t>&lt;Article2&gt;</w:t>
      </w:r>
      <w:r w:rsidRPr="0007707F">
        <w:t>Člen 11 – odstavek 11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Pri beleženju podatkov v zvezi z zadetki v dosje prosilca v ETIAS se za namene člena 25(2), člena 28(8) in člena 29(9) navede izvor podatkov.</w:t>
            </w:r>
            <w:r w:rsidRPr="0007707F">
              <w:t xml:space="preserve"> To vključuje vrsto razpisa ukrepa, razen razpisov ukrepov iz člena 23(1), vir podatkov (kateri drugi informacijski sistemi EU ali podatki Europola), edinstveno identifikacijsko številko, ki jo uporablja vir podatkov, ki so sprožili zadetek, državo članico</w:t>
            </w:r>
            <w:r w:rsidRPr="0007707F">
              <w:t>, ki je vnesla ali zagotovila podatke, ki so sprožili zadetek, ter, kadar je to mogoče, datum in čas, ko so bili podatki vneseni v druge informacijske sisteme EU ali podatke Europola.</w:t>
            </w:r>
          </w:p>
        </w:tc>
        <w:tc>
          <w:tcPr>
            <w:tcW w:w="4876" w:type="dxa"/>
          </w:tcPr>
          <w:p w:rsidR="00537AB8" w:rsidRPr="0007707F" w:rsidRDefault="000F612F">
            <w:pPr>
              <w:pStyle w:val="Normal6a"/>
            </w:pPr>
            <w:r w:rsidRPr="0007707F">
              <w:t xml:space="preserve">Pri beleženju podatkov v zvezi z zadetki v dosje prosilca v ETIAS se za </w:t>
            </w:r>
            <w:r w:rsidRPr="0007707F">
              <w:t>namene člena 25(2), člena 28(8) in člena 29(9) navede izvor podatkov. To vključuje vrsto razpisa ukrepa, razen razpisov ukrepov iz člena 23(1), vir podatkov (kateri drugi informacijski sistemi EU ali podatki Europola), edinstveno identifikacijsko številko,</w:t>
            </w:r>
            <w:r w:rsidRPr="0007707F">
              <w:t xml:space="preserve"> ki jo uporablja vir podatkov, ki so sprožili zadetek, državo članico, ki je vnesla ali zagotovila podatke, ki so sprožili zadetek, ter, kadar je to mogoče, datum in čas, ko so bili podatki vneseni v druge informacijske sisteme EU ali podatke Europola. </w:t>
            </w:r>
            <w:r w:rsidRPr="0007707F">
              <w:rPr>
                <w:b/>
                <w:i/>
              </w:rPr>
              <w:t>Kad</w:t>
            </w:r>
            <w:r w:rsidRPr="0007707F">
              <w:rPr>
                <w:b/>
                <w:i/>
              </w:rPr>
              <w:t>ar zadetek privede do negativne odločitve in brez poseganja v kakršne koli omejitve v informacijskem sistemu EU, ki je sprožil zadetek, se prosilca obvesti o sistemu, ki je ustvaril zadetek, da se prosilcu zagotovi pravica do učinkovitega pravnega sredstva</w:t>
            </w:r>
            <w:r w:rsidRPr="0007707F">
              <w:rPr>
                <w:b/>
                <w:i/>
              </w:rPr>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79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11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Pri beleženju podatkov v zvezi z zadetki v dosje prosilca v ETIAS se za namene člena 25(2), člena 28(8) in člena 29(9) navede izvor podatkov. To vključuje vr</w:t>
            </w:r>
            <w:r w:rsidRPr="0007707F">
              <w:t>sto razpisa ukrepa, razen razpisov ukrepov iz člena 23(1), vir podatkov (kateri drugi informacijski sistemi EU ali podatki Europola), edinstveno identifikacijsko številko, ki jo uporablja vir podatkov, ki so sprožili zadetek, državo članico, ki je vnesla a</w:t>
            </w:r>
            <w:r w:rsidRPr="0007707F">
              <w:t>li zagotovila podatke, ki so sprožili zadetek, ter, kadar je to mogoče, datum in čas, ko so bili podatki vneseni v druge informacijske sisteme EU ali podatke Europola.</w:t>
            </w:r>
          </w:p>
        </w:tc>
        <w:tc>
          <w:tcPr>
            <w:tcW w:w="4876" w:type="dxa"/>
          </w:tcPr>
          <w:p w:rsidR="00537AB8" w:rsidRPr="0007707F" w:rsidRDefault="000F612F">
            <w:pPr>
              <w:pStyle w:val="Normal6a"/>
            </w:pPr>
            <w:r w:rsidRPr="0007707F">
              <w:t>Pri beleženju podatkov v zvezi z zadetki v dosje prosilca v ETIAS se za namene člena 25(</w:t>
            </w:r>
            <w:r w:rsidRPr="0007707F">
              <w:t>2), člena 28(8) in člena 29(9) navede izvor podatkov. To vključuje vrsto razpisa ukrepa, razen razpisov ukrepov iz člena 23(1), vir podatkov (kateri drugi informacijski sistemi EU ali podatki Europola), edinstveno identifikacijsko številko, ki jo uporablja</w:t>
            </w:r>
            <w:r w:rsidRPr="0007707F">
              <w:t xml:space="preserve"> vir podatkov, ki so sprožili zadetek, državo članico, ki je vnesla ali zagotovila podatke, ki so sprožili zadetek, ter, kadar je to mogoče, datum in čas, ko so bili podatki vneseni v druge informacijske sisteme EU ali podatke Europola. </w:t>
            </w:r>
            <w:r w:rsidRPr="0007707F">
              <w:rPr>
                <w:b/>
                <w:i/>
              </w:rPr>
              <w:t>Kadar zadetek prive</w:t>
            </w:r>
            <w:r w:rsidRPr="0007707F">
              <w:rPr>
                <w:b/>
                <w:i/>
              </w:rPr>
              <w:t>de do negativne odločitve in brez poseganja v kakršne koli omejitve v informacijskem sistemu EU, ki je sprožil zadetek, se prosilca obvesti o sistemu, ki je ustvaril zadetek, da se prosilcu zagotovi pravica do učinkovitega pravnega sredstva.</w:t>
            </w:r>
          </w:p>
        </w:tc>
      </w:tr>
    </w:tbl>
    <w:p w:rsidR="00537AB8" w:rsidRPr="0007707F" w:rsidRDefault="000F612F">
      <w:pPr>
        <w:pStyle w:val="AmOrLang"/>
      </w:pPr>
      <w:r w:rsidRPr="0007707F">
        <w:t xml:space="preserve">Or. </w:t>
      </w:r>
      <w:r w:rsidRPr="0007707F">
        <w:rPr>
          <w:rStyle w:val="HideTWBExt"/>
          <w:noProof w:val="0"/>
        </w:rPr>
        <w:t>&lt;Original</w:t>
      </w:r>
      <w:r w:rsidRPr="0007707F">
        <w:rPr>
          <w:rStyle w:val="HideTWBExt"/>
          <w:noProof w:val="0"/>
        </w:rPr>
        <w:t>&gt;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 xml:space="preserve">Bistveno je, da posamezniki, katerih prošnje so bile zavrnjene, vedo, da obstaja evidenca in kateri informacijski sistem je ustvaril zadetek, ki je zatem privedel do zavrnitve njihove prošnje. To jim </w:t>
      </w:r>
      <w:r w:rsidRPr="0007707F">
        <w:t>bo omogočilo uveljavljanje svojih individualnih pravic na podlagi uredbe o sistemu ETIAS, pa tudi na podlagi pravnih instrumentov v drugih informacijskih sistemih EU, kot je navedeno v ustrezni študiji EPRS.</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80</w:t>
      </w:r>
      <w:r w:rsidRPr="0007707F">
        <w:rPr>
          <w:rStyle w:val="HideTWBExt"/>
          <w:noProof w:val="0"/>
        </w:rPr>
        <w:t>&lt;</w:t>
      </w:r>
      <w:r w:rsidRPr="0007707F">
        <w:rPr>
          <w:rStyle w:val="HideTWBExt"/>
          <w:noProof w:val="0"/>
        </w:rPr>
        <w: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 odstavek 11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w:t>
            </w:r>
            <w:r w:rsidRPr="0007707F">
              <w:t>,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Pri beleženju podatkov v zvezi z zadetki v dosje prosilca v ETIAS se za namene člena 25(2), člena 28(8) in člena 29(9) navede izvor podatkov. To vključuje vrsto razpisa ukrepa, razen razpisov ukrepov iz člena 23</w:t>
            </w:r>
            <w:r w:rsidRPr="0007707F">
              <w:t>(1), vir podatkov (kateri drugi informacijski sistemi EU ali podatki Europola), edinstveno identifikacijsko številko, ki jo uporablja vir podatkov, ki so sprožili zadetek, državo članico, ki je vnesla ali zagotovila podatke, ki so sprožili zadetek, ter, ka</w:t>
            </w:r>
            <w:r w:rsidRPr="0007707F">
              <w:t>dar je to mogoče, datum in čas, ko so bili podatki vneseni v druge informacijske sisteme EU ali podatke Europola.</w:t>
            </w:r>
          </w:p>
        </w:tc>
        <w:tc>
          <w:tcPr>
            <w:tcW w:w="4876" w:type="dxa"/>
          </w:tcPr>
          <w:p w:rsidR="00537AB8" w:rsidRPr="0007707F" w:rsidRDefault="000F612F">
            <w:pPr>
              <w:pStyle w:val="Normal6a"/>
            </w:pPr>
            <w:r w:rsidRPr="0007707F">
              <w:t xml:space="preserve">Pri beleženju podatkov v zvezi z zadetki v dosje prosilca v ETIAS se za namene člena 25(2), člena 28(8) in člena 29(9) navede izvor podatkov. </w:t>
            </w:r>
            <w:r w:rsidRPr="0007707F">
              <w:t>To vključuje vrsto razpisa ukrepa, razen razpisov ukrepov iz člena 23(1), vir podatkov (kateri drugi informacijski sistemi EU ali podatki Europola), edinstveno identifikacijsko številko, ki jo uporablja vir podatkov, ki so sprožili zadetek, državo članico,</w:t>
            </w:r>
            <w:r w:rsidRPr="0007707F">
              <w:t xml:space="preserve"> ki je vnesla ali zagotovila podatke, ki so sprožili zadetek, ter, kadar je to mogoče, datum in čas, ko so bili podatki vneseni v druge informacijske sisteme EU ali podatke Europola. </w:t>
            </w:r>
            <w:r w:rsidRPr="0007707F">
              <w:rPr>
                <w:b/>
                <w:i/>
              </w:rPr>
              <w:t xml:space="preserve">Kadar zadetek privede do negativne odločitve in brez poseganja v kakršne </w:t>
            </w:r>
            <w:r w:rsidRPr="0007707F">
              <w:rPr>
                <w:b/>
                <w:i/>
              </w:rPr>
              <w:t>koli omejitve v informacijskem sistemu EU, ki je sprožil zadetek, se prosilca obvesti, kateri sistem je ustvaril zadetek, da se prosilcu zagotovi pravica do učinkovitega pravnega sredstva.</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 xml:space="preserve">Predlog </w:t>
      </w:r>
      <w:r w:rsidRPr="0007707F">
        <w:t>spremembe</w:t>
      </w:r>
      <w:r w:rsidRPr="0007707F">
        <w:tab/>
      </w:r>
      <w:r w:rsidRPr="0007707F">
        <w:tab/>
      </w:r>
      <w:r w:rsidRPr="0007707F">
        <w:rPr>
          <w:rStyle w:val="HideTWBExt"/>
          <w:noProof w:val="0"/>
        </w:rPr>
        <w:t>&lt;NumAmB&gt;</w:t>
      </w:r>
      <w:r w:rsidRPr="0007707F">
        <w:t>81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4</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w:t>
      </w:r>
      <w:r w:rsidRPr="0007707F">
        <w:rPr>
          <w:rStyle w:val="HideTWBExt"/>
          <w:noProof w:val="0"/>
        </w:rPr>
        <w:t>Article2&gt;</w:t>
      </w:r>
      <w:r w:rsidRPr="0007707F">
        <w:t>Člen 11 – odstavek 11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Pri beleženju podatkov v zvezi z zadetki v dosje prosilca v ETIAS se za namene člena 25(2), člena 28(8) in člena 29(9) navede izvor podatkov. To vključuje </w:t>
            </w:r>
            <w:r w:rsidRPr="0007707F">
              <w:t>vrsto razpisa ukrepa, razen razpisov ukrepov iz člena 23(1), vir podatkov (kateri drugi informacijski sistemi EU ali podatki Europola), edinstveno identifikacijsko številko, ki jo uporablja vir podatkov, ki so sprožili zadetek, državo članico, ki je vnesla</w:t>
            </w:r>
            <w:r w:rsidRPr="0007707F">
              <w:t xml:space="preserve"> ali zagotovila podatke, ki so sprožili zadetek, ter, kadar je to mogoče, datum in čas, ko so bili podatki vneseni v druge informacijske sisteme EU ali podatke Europola.</w:t>
            </w:r>
          </w:p>
        </w:tc>
        <w:tc>
          <w:tcPr>
            <w:tcW w:w="4876" w:type="dxa"/>
          </w:tcPr>
          <w:p w:rsidR="00537AB8" w:rsidRPr="0007707F" w:rsidRDefault="000F612F">
            <w:pPr>
              <w:pStyle w:val="Normal6a"/>
            </w:pPr>
            <w:r w:rsidRPr="0007707F">
              <w:t>Pri beleženju podatkov v zvezi z zadetki v dosje prosilca v ETIAS se za namene člena 2</w:t>
            </w:r>
            <w:r w:rsidRPr="0007707F">
              <w:t>5(2), člena 28(8) in člena 29(9) navede izvor podatkov. To vključuje vrsto razpisa ukrepa, razen razpisov ukrepov iz člena 23(1), vir podatkov (kateri drugi informacijski sistemi EU ali podatki Europola), edinstveno identifikacijsko številko, ki jo uporabl</w:t>
            </w:r>
            <w:r w:rsidRPr="0007707F">
              <w:t xml:space="preserve">ja vir podatkov, ki so sprožili zadetek, državo članico, ki je vnesla ali zagotovila podatke, ki so sprožili zadetek, ter, kadar je to mogoče, datum in čas, ko so bili podatki vneseni v druge informacijske sisteme EU ali podatke Europola. </w:t>
            </w:r>
            <w:r w:rsidRPr="0007707F">
              <w:rPr>
                <w:b/>
                <w:i/>
              </w:rPr>
              <w:t>Kadar zadetek pri</w:t>
            </w:r>
            <w:r w:rsidRPr="0007707F">
              <w:rPr>
                <w:b/>
                <w:i/>
              </w:rPr>
              <w:t>vede do negativne odločitve, se prosilca obvesti o sistemu, ki je ustvaril zadetek, da se prosilcu zagotovi pravica do učinkovitega pravnega sredstva.</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82</w:t>
      </w:r>
      <w:r w:rsidRPr="0007707F">
        <w:rPr>
          <w:rStyle w:val="HideTWBExt"/>
          <w:noProof w:val="0"/>
        </w:rPr>
        <w:t>&lt;/NumAmB&gt;</w:t>
      </w:r>
    </w:p>
    <w:p w:rsidR="00537AB8" w:rsidRPr="0007707F" w:rsidRDefault="000F612F">
      <w:pPr>
        <w:pStyle w:val="NormalBold"/>
      </w:pPr>
      <w:r w:rsidRPr="0007707F">
        <w:rPr>
          <w:rStyle w:val="HideTWBExt"/>
          <w:noProof w:val="0"/>
        </w:rPr>
        <w:t>&lt;RepeatBlock-By</w:t>
      </w:r>
      <w:r w:rsidRPr="0007707F">
        <w:rPr>
          <w:rStyle w:val="HideTWBExt"/>
          <w:noProof w:val="0"/>
        </w:rPr>
        <w:t>&gt;&lt;Members&gt;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5</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a</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Za namene členov 6, 14 </w:t>
            </w:r>
            <w:r w:rsidRPr="0007707F">
              <w:rPr>
                <w:b/>
                <w:i/>
              </w:rPr>
              <w:t>in 17</w:t>
            </w:r>
            <w:r w:rsidRPr="0007707F">
              <w:t xml:space="preserve"> Uredbe (EU) 2017/2226 avtomatizirani postopek, ki uporablja varno komunikacijsko infrastrukturo iz člena 6(2)(d) te uredbe, opravi poizvedbo in iz centralnega sistema ETIAS uvozi informacije iz člena 47(2) te uredbe ter številk</w:t>
            </w:r>
            <w:r w:rsidRPr="0007707F">
              <w:t>o prošnje in konec obdobja veljavnosti potovalne odobritve ETIAS ter v SVI ustrezno posodobi evidenco o vstopu/izstopu.;</w:t>
            </w:r>
          </w:p>
        </w:tc>
        <w:tc>
          <w:tcPr>
            <w:tcW w:w="4876" w:type="dxa"/>
          </w:tcPr>
          <w:p w:rsidR="00537AB8" w:rsidRPr="0007707F" w:rsidRDefault="000F612F">
            <w:pPr>
              <w:pStyle w:val="Normal6a"/>
            </w:pPr>
            <w:r w:rsidRPr="0007707F">
              <w:t>Za namene členov 6, 14</w:t>
            </w:r>
            <w:r w:rsidRPr="0007707F">
              <w:rPr>
                <w:b/>
                <w:i/>
              </w:rPr>
              <w:t>, 17 in 18</w:t>
            </w:r>
            <w:r w:rsidRPr="0007707F">
              <w:t xml:space="preserve"> Uredbe (EU) 2017/2226 avtomatizirani postopek, ki uporablja varno komunikacijsko infrastrukturo iz čle</w:t>
            </w:r>
            <w:r w:rsidRPr="0007707F">
              <w:t xml:space="preserve">na 6(2)(d) te uredbe, opravi poizvedbo in iz centralnega sistema ETIAS uvozi informacije iz člena 47(2) te uredbe ter številko prošnje in konec obdobja veljavnosti potovalne odobritve ETIAS ter v SVI ustrezno posodobi evidenco o vstopu/izstopu </w:t>
            </w:r>
            <w:r w:rsidRPr="0007707F">
              <w:rPr>
                <w:b/>
                <w:i/>
              </w:rPr>
              <w:t>ali evidenco</w:t>
            </w:r>
            <w:r w:rsidRPr="0007707F">
              <w:rPr>
                <w:b/>
                <w:i/>
              </w:rPr>
              <w:t xml:space="preserve"> o zavrnitvi vstopa</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5</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a</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Za namene členov 6, 14 in 17 Uredbe (EU) 2017/2226 avtomatizirani postopek, ki uporablja varno komunikacijsko infrastrukturo iz člena 6(2)(d) te ure</w:t>
            </w:r>
            <w:r w:rsidRPr="0007707F">
              <w:t>dbe, opravi poizvedbo in iz centralnega sistema ETIAS uvozi informacije iz člena 47(2) te uredbe ter številko prošnje in konec obdobja veljavnosti potovalne odobritve ETIAS ter v SVI ustrezno posodobi evidenco o vstopu/izstopu.;</w:t>
            </w:r>
          </w:p>
        </w:tc>
        <w:tc>
          <w:tcPr>
            <w:tcW w:w="4876" w:type="dxa"/>
          </w:tcPr>
          <w:p w:rsidR="00537AB8" w:rsidRPr="0007707F" w:rsidRDefault="000F612F">
            <w:pPr>
              <w:pStyle w:val="Normal6a"/>
            </w:pPr>
            <w:r w:rsidRPr="0007707F">
              <w:t>Za namene členov 6, 14 in 1</w:t>
            </w:r>
            <w:r w:rsidRPr="0007707F">
              <w:t xml:space="preserve">7 Uredbe (EU) 2017/2226 avtomatizirani postopek, ki uporablja varno komunikacijsko infrastrukturo iz člena 6(2)(d) te uredbe, opravi poizvedbo in iz centralnega sistema ETIAS uvozi informacije iz </w:t>
            </w:r>
            <w:r w:rsidRPr="0007707F">
              <w:rPr>
                <w:b/>
                <w:i/>
              </w:rPr>
              <w:t>točk (a) do (c)</w:t>
            </w:r>
            <w:r w:rsidRPr="0007707F">
              <w:t xml:space="preserve"> člena 47(2) te uredbe ter številko prošnje i</w:t>
            </w:r>
            <w:r w:rsidRPr="0007707F">
              <w:t>n konec obdobja veljavnosti potovalne odobritve ETIAS ter v SVI ustrezno posodobi evidenco o vstopu/izstopu.;</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 xml:space="preserve">S tem se spoštuje hramba podatkov v skladu z omejitvami namena in prepreči, </w:t>
      </w:r>
      <w:r w:rsidRPr="0007707F">
        <w:t>da bi se v SVI registrirali dodatni podatki, ki niso potrebni za njegov namen.</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w:t>
      </w:r>
      <w:r w:rsidRPr="0007707F">
        <w:t>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5</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11 a</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Za namene členov 6, 14 in 17 Uredbe (EU) 2017/2226 avtomatizirani postopek, ki uporablja varno k</w:t>
            </w:r>
            <w:r w:rsidRPr="0007707F">
              <w:t>omunikacijsko infrastrukturo iz člena 6(2)(d) te uredbe, opravi poizvedbo in iz centralnega sistema ETIAS uvozi informacije iz člena 47(2) te uredbe ter številko prošnje in konec obdobja veljavnosti potovalne odobritve ETIAS ter v SVI ustrezno posodobi evi</w:t>
            </w:r>
            <w:r w:rsidRPr="0007707F">
              <w:t>denco o vstopu/izstopu.;</w:t>
            </w:r>
          </w:p>
        </w:tc>
        <w:tc>
          <w:tcPr>
            <w:tcW w:w="4876" w:type="dxa"/>
          </w:tcPr>
          <w:p w:rsidR="00537AB8" w:rsidRPr="0007707F" w:rsidRDefault="000F612F">
            <w:pPr>
              <w:pStyle w:val="Normal6a"/>
            </w:pPr>
            <w:r w:rsidRPr="0007707F">
              <w:t xml:space="preserve">Za namene členov 6, 14 in 17 Uredbe (EU) 2017/2226 avtomatizirani postopek, ki uporablja varno komunikacijsko infrastrukturo iz člena 6(2)(d) te uredbe, opravi poizvedbo in iz centralnega sistema ETIAS uvozi informacije iz </w:t>
            </w:r>
            <w:r w:rsidRPr="0007707F">
              <w:rPr>
                <w:b/>
                <w:i/>
              </w:rPr>
              <w:t>točk (a)</w:t>
            </w:r>
            <w:r w:rsidRPr="0007707F">
              <w:rPr>
                <w:b/>
                <w:i/>
              </w:rPr>
              <w:t xml:space="preserve"> do (c)</w:t>
            </w:r>
            <w:r w:rsidRPr="0007707F">
              <w:t xml:space="preserve"> člena 47(2) te uredbe ter številko prošnje in konec obdobja veljavnosti potovalne odobritve ETIAS ter v SVI ustrezno posodobi evidenco o vstopu/izstopu.;</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85</w:t>
      </w:r>
      <w:r w:rsidRPr="0007707F">
        <w:rPr>
          <w:rStyle w:val="HideTWBExt"/>
          <w:noProof w:val="0"/>
        </w:rPr>
        <w:t>&lt;/NumAmB&gt;</w:t>
      </w:r>
    </w:p>
    <w:p w:rsidR="00537AB8" w:rsidRPr="0007707F" w:rsidRDefault="000F612F">
      <w:pPr>
        <w:pStyle w:val="NormalBold"/>
      </w:pPr>
      <w:r w:rsidRPr="0007707F">
        <w:rPr>
          <w:rStyle w:val="HideTWBExt"/>
          <w:noProof w:val="0"/>
        </w:rPr>
        <w:t>&lt;</w:t>
      </w:r>
      <w:r w:rsidRPr="0007707F">
        <w:rPr>
          <w:rStyle w:val="HideTWBExt"/>
          <w:noProof w:val="0"/>
        </w:rPr>
        <w: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6</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12 – odstavek 2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w:t>
            </w:r>
            <w:r w:rsidRPr="0007707F">
              <w:t xml:space="preserve"> spremembe</w:t>
            </w:r>
          </w:p>
        </w:tc>
      </w:tr>
      <w:tr w:rsidR="00537AB8" w:rsidRPr="0007707F">
        <w:trPr>
          <w:jc w:val="center"/>
        </w:trPr>
        <w:tc>
          <w:tcPr>
            <w:tcW w:w="4876" w:type="dxa"/>
          </w:tcPr>
          <w:p w:rsidR="00537AB8" w:rsidRPr="0007707F" w:rsidRDefault="000F612F">
            <w:pPr>
              <w:pStyle w:val="Normal6a"/>
            </w:pPr>
            <w:r w:rsidRPr="0007707F">
              <w:t>2.</w:t>
            </w:r>
            <w:r w:rsidRPr="0007707F">
              <w:tab/>
              <w:t>Za namene odstavka 1 se Evropska unija in Interpol dogovorita o sporazumu o sodelovanju. V tem sporazumu o sodelovanju se določijo načini izmenjave informacij in zaščitni ukrepi za varstvo osebnih podatkov.;</w:t>
            </w:r>
          </w:p>
        </w:tc>
        <w:tc>
          <w:tcPr>
            <w:tcW w:w="4876" w:type="dxa"/>
          </w:tcPr>
          <w:p w:rsidR="00537AB8" w:rsidRPr="0007707F" w:rsidRDefault="000F612F">
            <w:pPr>
              <w:pStyle w:val="Normal6a"/>
            </w:pPr>
            <w:r w:rsidRPr="0007707F">
              <w:t>2.</w:t>
            </w:r>
            <w:r w:rsidRPr="0007707F">
              <w:tab/>
            </w:r>
            <w:r w:rsidRPr="0007707F">
              <w:t xml:space="preserve">Za namene odstavka 1 se Evropska unija in Interpol dogovorita o sporazumu o sodelovanju. V tem sporazumu o sodelovanju se določijo načini izmenjave informacij in zaščitni ukrepi za varstvo osebnih podatkov. </w:t>
            </w:r>
            <w:r w:rsidRPr="0007707F">
              <w:rPr>
                <w:b/>
                <w:i/>
              </w:rPr>
              <w:t xml:space="preserve">Ta sporazum o sodelovanju med drugim in v vsakem </w:t>
            </w:r>
            <w:r w:rsidRPr="0007707F">
              <w:rPr>
                <w:b/>
                <w:i/>
              </w:rPr>
              <w:t>primeru zagotavlja, da se vodijo vsi ustrezni dnevniki, da se informacije ne razkrijejo lastniku podatkov iz razpisa ukrepa Interpola in da se v nobenem primeru ne izvajajo nadaljnji prenosi podatkov.</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w:t>
      </w:r>
      <w:r w:rsidRPr="0007707F">
        <w:t>dlog spremembe</w:t>
      </w:r>
      <w:r w:rsidRPr="0007707F">
        <w:tab/>
      </w:r>
      <w:r w:rsidRPr="0007707F">
        <w:tab/>
      </w:r>
      <w:r w:rsidRPr="0007707F">
        <w:rPr>
          <w:rStyle w:val="HideTWBExt"/>
          <w:noProof w:val="0"/>
        </w:rPr>
        <w:t>&lt;NumAmB&gt;</w:t>
      </w:r>
      <w:r w:rsidRPr="0007707F">
        <w:t>86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6</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12 – odstav</w:t>
      </w:r>
      <w:r w:rsidRPr="0007707F">
        <w:t>ek 2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 xml:space="preserve">Za namene odstavka 1 se Evropska unija in Interpol dogovorita o sporazumu o sodelovanju. V tem sporazumu o sodelovanju se določijo načini izmenjave informacij in zaščitni </w:t>
            </w:r>
            <w:r w:rsidRPr="0007707F">
              <w:t>ukrepi za varstvo osebnih podatkov.</w:t>
            </w:r>
            <w:r w:rsidRPr="0007707F">
              <w:rPr>
                <w:b/>
                <w:i/>
              </w:rPr>
              <w:t>;</w:t>
            </w:r>
          </w:p>
        </w:tc>
        <w:tc>
          <w:tcPr>
            <w:tcW w:w="4876" w:type="dxa"/>
          </w:tcPr>
          <w:p w:rsidR="00537AB8" w:rsidRPr="0007707F" w:rsidRDefault="000F612F">
            <w:pPr>
              <w:pStyle w:val="Normal6a"/>
            </w:pPr>
            <w:r w:rsidRPr="0007707F">
              <w:t>2.</w:t>
            </w:r>
            <w:r w:rsidRPr="0007707F">
              <w:tab/>
              <w:t xml:space="preserve">Za namene odstavka 1 se Evropska unija in Interpol dogovorita o sporazumu o sodelovanju. V tem sporazumu o sodelovanju se določijo načini izmenjave informacij in zaščitni ukrepi za varstvo </w:t>
            </w:r>
            <w:r w:rsidRPr="0007707F">
              <w:rPr>
                <w:b/>
                <w:i/>
              </w:rPr>
              <w:t>zasebnosti in</w:t>
            </w:r>
            <w:r w:rsidRPr="0007707F">
              <w:t xml:space="preserve"> osebnih podat</w:t>
            </w:r>
            <w:r w:rsidRPr="0007707F">
              <w:t xml:space="preserve">kov. </w:t>
            </w:r>
            <w:r w:rsidRPr="0007707F">
              <w:rPr>
                <w:b/>
                <w:i/>
              </w:rPr>
              <w:t>Sporazum o sodelovanju zagotavlja, da se vodijo vsi ustrezni dnevniki, da se državi, ki je sprožila razpis ukrepa Interpola, ne razkrijejo nobene informacije in da se ne izvajajo nadaljnji prenosi osebnih podatkov.</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w:t>
      </w:r>
      <w:r w:rsidRPr="0007707F">
        <w:rPr>
          <w:rStyle w:val="HideTWBExt"/>
          <w:noProof w:val="0"/>
        </w:rPr>
        <w: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6</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12 – odstavek 2 (novo)</w:t>
      </w:r>
      <w:r w:rsidRPr="0007707F">
        <w:rPr>
          <w:rStyle w:val="HideTWBExt"/>
          <w:noProof w:val="0"/>
        </w:rPr>
        <w:t>&lt;</w:t>
      </w:r>
      <w:r w:rsidRPr="0007707F">
        <w:rPr>
          <w:rStyle w:val="HideTWBExt"/>
          <w:noProof w:val="0"/>
        </w:rPr>
        <w: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r>
            <w:r w:rsidRPr="0007707F">
              <w:rPr>
                <w:b/>
                <w:i/>
              </w:rPr>
              <w:t>Za namene</w:t>
            </w:r>
            <w:r w:rsidRPr="0007707F">
              <w:t xml:space="preserve"> odstavka 1 </w:t>
            </w:r>
            <w:r w:rsidRPr="0007707F">
              <w:rPr>
                <w:b/>
                <w:i/>
              </w:rPr>
              <w:t>se Evropska unija in Interpol dogovorita o sporazumu o sodelovanju. V tem sporazumu o sodelovanju se določijo načini izmenjave informacij in zaščitni ukrepi za varstv</w:t>
            </w:r>
            <w:r w:rsidRPr="0007707F">
              <w:rPr>
                <w:b/>
                <w:i/>
              </w:rPr>
              <w:t>o osebnih podatkov</w:t>
            </w:r>
            <w:r w:rsidRPr="0007707F">
              <w:t>.</w:t>
            </w:r>
            <w:r w:rsidRPr="0007707F">
              <w:rPr>
                <w:b/>
                <w:i/>
              </w:rPr>
              <w:t>;</w:t>
            </w:r>
          </w:p>
        </w:tc>
        <w:tc>
          <w:tcPr>
            <w:tcW w:w="4876" w:type="dxa"/>
          </w:tcPr>
          <w:p w:rsidR="00537AB8" w:rsidRPr="0007707F" w:rsidRDefault="000F612F">
            <w:pPr>
              <w:pStyle w:val="Normal6a"/>
            </w:pPr>
            <w:r w:rsidRPr="0007707F">
              <w:t>2.</w:t>
            </w:r>
            <w:r w:rsidRPr="0007707F">
              <w:tab/>
            </w:r>
            <w:r w:rsidRPr="0007707F">
              <w:rPr>
                <w:b/>
                <w:i/>
              </w:rPr>
              <w:t>Če izvajanje</w:t>
            </w:r>
            <w:r w:rsidRPr="0007707F">
              <w:t xml:space="preserve"> odstavka 1 </w:t>
            </w:r>
            <w:r w:rsidRPr="0007707F">
              <w:rPr>
                <w:b/>
                <w:i/>
              </w:rPr>
              <w:t>ni zagotovljeno, ETIAS ne poizveduje v Interpolovih podatkovnih zbirkah</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88</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 xml:space="preserve">Dragoş Tudorache, </w:t>
      </w:r>
      <w:r w:rsidRPr="0007707F">
        <w:t>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6</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12</w:t>
      </w:r>
      <w:r w:rsidRPr="0007707F">
        <w:t xml:space="preserve"> – odstavek 2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 xml:space="preserve">Za namene odstavka 1 se Evropska unija in Interpol dogovorita o sporazumu o sodelovanju. V tem sporazumu o sodelovanju se določijo načini izmenjave informacij in </w:t>
            </w:r>
            <w:r w:rsidRPr="0007707F">
              <w:t>zaščitni ukrepi za varstvo osebnih podatkov</w:t>
            </w:r>
            <w:r w:rsidRPr="0007707F">
              <w:rPr>
                <w:b/>
                <w:i/>
              </w:rPr>
              <w:t>.</w:t>
            </w:r>
            <w:r w:rsidRPr="0007707F">
              <w:t>;</w:t>
            </w:r>
          </w:p>
        </w:tc>
        <w:tc>
          <w:tcPr>
            <w:tcW w:w="4876" w:type="dxa"/>
          </w:tcPr>
          <w:p w:rsidR="00537AB8" w:rsidRPr="0007707F" w:rsidRDefault="000F612F">
            <w:pPr>
              <w:pStyle w:val="Normal6a"/>
            </w:pPr>
            <w:r w:rsidRPr="0007707F">
              <w:t>2.</w:t>
            </w:r>
            <w:r w:rsidRPr="0007707F">
              <w:tab/>
              <w:t xml:space="preserve">Za namene odstavka 1 se Evropska unija in Interpol dogovorita o sporazumu o sodelovanju. V tem sporazumu o sodelovanju se določijo načini izmenjave informacij in zaščitni ukrepi za varstvo osebnih podatkov </w:t>
            </w:r>
            <w:r w:rsidRPr="0007707F">
              <w:rPr>
                <w:b/>
                <w:i/>
              </w:rPr>
              <w:t>t</w:t>
            </w:r>
            <w:r w:rsidRPr="0007707F">
              <w:rPr>
                <w:b/>
                <w:i/>
              </w:rPr>
              <w:t>er upoštevanje člena 218 PDEU</w:t>
            </w:r>
            <w:r w:rsidRPr="0007707F">
              <w:t>;</w:t>
            </w:r>
            <w:r w:rsidRPr="0007707F">
              <w:rPr>
                <w:b/>
                <w:i/>
              </w:rPr>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89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w:t>
      </w:r>
      <w:r w:rsidRPr="0007707F">
        <w:rPr>
          <w:rStyle w:val="HideTWBExt"/>
          <w:noProof w:val="0"/>
        </w:rPr>
        <w:t>Article&gt;</w:t>
      </w:r>
      <w:r w:rsidRPr="0007707F">
        <w:t>Člen 1 – odstavek 7</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20 – odstavek 2 – točka n</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(n)</w:t>
            </w:r>
            <w:r w:rsidRPr="0007707F">
              <w:tab/>
            </w:r>
            <w:r w:rsidRPr="0007707F">
              <w:t xml:space="preserve">ali se prosilec ujema z osebo, katere podatki so zabeleženi v sistemu ECRIS-TCN za teroristična kazniva dejanja </w:t>
            </w:r>
            <w:r w:rsidRPr="0007707F">
              <w:rPr>
                <w:b/>
                <w:i/>
              </w:rPr>
              <w:t>in</w:t>
            </w:r>
            <w:r w:rsidRPr="0007707F">
              <w:t xml:space="preserve"> druga huda kazniva dejanja</w:t>
            </w:r>
            <w:r w:rsidRPr="0007707F">
              <w:rPr>
                <w:b/>
                <w:i/>
              </w:rPr>
              <w:t>.</w:t>
            </w:r>
            <w:r w:rsidRPr="0007707F">
              <w:t>;</w:t>
            </w:r>
          </w:p>
        </w:tc>
        <w:tc>
          <w:tcPr>
            <w:tcW w:w="4876" w:type="dxa"/>
          </w:tcPr>
          <w:p w:rsidR="00537AB8" w:rsidRPr="0007707F" w:rsidRDefault="000F612F">
            <w:pPr>
              <w:pStyle w:val="Normal6a"/>
            </w:pPr>
            <w:r w:rsidRPr="0007707F">
              <w:t>(n)</w:t>
            </w:r>
            <w:r w:rsidRPr="0007707F">
              <w:tab/>
              <w:t>ali se prosilec ujema z osebo, katere podatki so zabeleženi v sistemu ECRIS-TCN za teroristična kazniva deja</w:t>
            </w:r>
            <w:r w:rsidRPr="0007707F">
              <w:t xml:space="preserve">nja </w:t>
            </w:r>
            <w:r w:rsidRPr="0007707F">
              <w:rPr>
                <w:b/>
                <w:i/>
              </w:rPr>
              <w:t>v zadnjih 20 letih ali</w:t>
            </w:r>
            <w:r w:rsidRPr="0007707F">
              <w:t xml:space="preserve"> druga huda kazniva dejanja </w:t>
            </w:r>
            <w:r w:rsidRPr="0007707F">
              <w:rPr>
                <w:b/>
                <w:i/>
              </w:rPr>
              <w:t>iz Priloge k tej uredbi v zadnjih desetih letih, kadar je za navedena kazniva dejanja v nacionalnem pravu zagrožena najvišja zaporna kazen ali ukrep, vezan na odvzem prostosti, najmanj tri leta</w:t>
            </w:r>
            <w:r w:rsidRPr="0007707F">
              <w:t>;</w:t>
            </w:r>
          </w:p>
        </w:tc>
      </w:tr>
    </w:tbl>
    <w:p w:rsidR="00537AB8" w:rsidRPr="0007707F" w:rsidRDefault="000F612F">
      <w:pPr>
        <w:pStyle w:val="AmOrLang"/>
      </w:pPr>
      <w:r w:rsidRPr="0007707F">
        <w:t xml:space="preserve">Or. </w:t>
      </w:r>
      <w:r w:rsidRPr="0007707F">
        <w:rPr>
          <w:rStyle w:val="HideTWBExt"/>
          <w:noProof w:val="0"/>
        </w:rPr>
        <w:t>&lt;O</w:t>
      </w:r>
      <w:r w:rsidRPr="0007707F">
        <w:rPr>
          <w:rStyle w:val="HideTWBExt"/>
          <w:noProof w:val="0"/>
        </w:rPr>
        <w:t>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90</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7</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w:t>
      </w:r>
      <w:r w:rsidRPr="0007707F">
        <w:rPr>
          <w:rStyle w:val="HideTWBExt"/>
          <w:noProof w:val="0"/>
        </w:rPr>
        <w:t>Article2&gt;</w:t>
      </w:r>
      <w:r w:rsidRPr="0007707F">
        <w:t>Člen 20 – odstavek 2 – točka n</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(n)</w:t>
            </w:r>
            <w:r w:rsidRPr="0007707F">
              <w:tab/>
              <w:t xml:space="preserve">ali se prosilec ujema z osebo, katere podatki so zabeleženi v sistemu ECRIS-TCN </w:t>
            </w:r>
            <w:r w:rsidRPr="0007707F">
              <w:rPr>
                <w:b/>
                <w:i/>
              </w:rPr>
              <w:t>za teroristična kazniva dejanja in druga huda kazniva dejanja</w:t>
            </w:r>
            <w:r w:rsidRPr="0007707F">
              <w:t>.</w:t>
            </w:r>
            <w:r w:rsidRPr="0007707F">
              <w:rPr>
                <w:b/>
                <w:i/>
              </w:rPr>
              <w:t>;</w:t>
            </w:r>
          </w:p>
        </w:tc>
        <w:tc>
          <w:tcPr>
            <w:tcW w:w="4876" w:type="dxa"/>
          </w:tcPr>
          <w:p w:rsidR="00537AB8" w:rsidRPr="0007707F" w:rsidRDefault="000F612F">
            <w:pPr>
              <w:pStyle w:val="Normal6a"/>
            </w:pPr>
            <w:r w:rsidRPr="0007707F">
              <w:t>(n)</w:t>
            </w:r>
            <w:r w:rsidRPr="0007707F">
              <w:tab/>
              <w:t xml:space="preserve">ali se prosilec ujema z osebo, katere podatki so zabeleženi v sistemu ECRIS-TCN </w:t>
            </w:r>
            <w:r w:rsidRPr="0007707F">
              <w:rPr>
                <w:b/>
                <w:i/>
              </w:rPr>
              <w:t>in ki je bila v zadnjih desetih letih obsojena za kaznivo dejanje s seznama v Prilogi k tej uredbi, če je za to kaznivo dejanje v nacionalnem pravu zagrožena najvišja zapor</w:t>
            </w:r>
            <w:r w:rsidRPr="0007707F">
              <w:rPr>
                <w:b/>
                <w:i/>
              </w:rPr>
              <w:t>na kazen ali ukrep, vezan na odvzem prostosti, najmanj tri leta, v primeru terorističnih kaznivih dejanj pa v zadnjih 20 letih</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V skladu z logiko priloge, ki določa časovno omejitev pomem</w:t>
      </w:r>
      <w:r w:rsidRPr="0007707F">
        <w:t>bnosti podatkov v zvezi z obsodbami, in ker države članice nimajo usklajenega sistema za obdobja hrambe podatkov v svojih nacionalnih kazenskih evidencah, je treba določiti tudi časovno omejitev zadetkov, ki se lahko sprožijo, in ne le vrste/resnosti kazni</w:t>
      </w:r>
      <w:r w:rsidRPr="0007707F">
        <w:t>vega dejanja.</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 xml:space="preserve">Člen 1 – </w:t>
      </w:r>
      <w:r w:rsidRPr="0007707F">
        <w:t>odstavek 7</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20 – odstavek 2 – točka n</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(n)</w:t>
            </w:r>
            <w:r w:rsidRPr="0007707F">
              <w:tab/>
              <w:t xml:space="preserve">ali se prosilec ujema z osebo, katere podatki so zabeleženi v sistemu ECRIS-TCN </w:t>
            </w:r>
            <w:r w:rsidRPr="0007707F">
              <w:rPr>
                <w:b/>
                <w:i/>
              </w:rPr>
              <w:t>za teroristična kazniv</w:t>
            </w:r>
            <w:r w:rsidRPr="0007707F">
              <w:rPr>
                <w:b/>
                <w:i/>
              </w:rPr>
              <w:t>a dejanja in druga huda kazniva dejanja.</w:t>
            </w:r>
            <w:r w:rsidRPr="0007707F">
              <w:t>;</w:t>
            </w:r>
          </w:p>
        </w:tc>
        <w:tc>
          <w:tcPr>
            <w:tcW w:w="4876" w:type="dxa"/>
          </w:tcPr>
          <w:p w:rsidR="00537AB8" w:rsidRPr="0007707F" w:rsidRDefault="000F612F">
            <w:pPr>
              <w:pStyle w:val="Normal6a"/>
            </w:pPr>
            <w:r w:rsidRPr="0007707F">
              <w:t>(n)</w:t>
            </w:r>
            <w:r w:rsidRPr="0007707F">
              <w:tab/>
              <w:t xml:space="preserve">ali se prosilec ujema z osebo, katere podatki so zabeleženi v sistemu ECRIS-TCN </w:t>
            </w:r>
            <w:r w:rsidRPr="0007707F">
              <w:rPr>
                <w:b/>
                <w:i/>
              </w:rPr>
              <w:t xml:space="preserve">in ki je bila v zadnjih desetih letih obsojena za kaznivo dejanje s seznama v Prilogi k tej uredbi, če je za to kaznivo dejanje v </w:t>
            </w:r>
            <w:r w:rsidRPr="0007707F">
              <w:rPr>
                <w:b/>
                <w:i/>
              </w:rPr>
              <w:t>nacionalnem pravu zagrožena najvišja zaporna kazen ali ukrep, vezan na odvzem prostosti, najmanj tri leta, v primeru terorističnih kaznivih dejanj pa v zadnjih 20 letih</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92</w:t>
      </w:r>
      <w:r w:rsidRPr="0007707F">
        <w:rPr>
          <w:rStyle w:val="HideTWBExt"/>
          <w:noProof w:val="0"/>
        </w:rPr>
        <w:t>&lt;/</w:t>
      </w:r>
      <w:r w:rsidRPr="0007707F">
        <w:rPr>
          <w:rStyle w:val="HideTWBExt"/>
          <w:noProof w:val="0"/>
        </w:rPr>
        <w: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7 – točka a (novo)</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w:t>
            </w:r>
            <w:r w:rsidRPr="0007707F">
              <w:tab/>
            </w:r>
            <w:r w:rsidRPr="0007707F">
              <w:rPr>
                <w:b/>
                <w:i/>
              </w:rPr>
              <w:t>(7a) v členu 20(2) se</w:t>
            </w:r>
            <w:r w:rsidRPr="0007707F">
              <w:rPr>
                <w:b/>
                <w:i/>
              </w:rPr>
              <w:t xml:space="preserve"> doda naslednja točka: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„(na) ali je za prosilca razpisan ukrep o vrnitvi, vnesen v SIS“.</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7 a (novo)</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(7a)</w:t>
            </w:r>
            <w:r w:rsidRPr="0007707F">
              <w:tab/>
            </w:r>
            <w:r w:rsidRPr="0007707F">
              <w:rPr>
                <w:b/>
                <w:i/>
              </w:rPr>
              <w:t>v členu 20(2) se prvi pododstavek nadomesti z naslednjim: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Centralni sistem ETIAS sproži poizvedbo prek </w:t>
            </w:r>
            <w:r w:rsidRPr="0007707F">
              <w:rPr>
                <w:b/>
                <w:i/>
              </w:rPr>
              <w:t>evropskega iskalnega portala, da primerja ustrezne podatke iz točk (a), (aa), (b), (c), (d), (f), (g), (j), (k) in (m) člena 17(2) ter iz člena 17(8) s podatki v zapisu, dosjeju ali razpisu ukrepa v dosjeju prosilca v centralnem sistemu ETIAS, SIS, SVI, VI</w:t>
            </w:r>
            <w:r w:rsidRPr="0007707F">
              <w:rPr>
                <w:b/>
                <w:i/>
              </w:rPr>
              <w:t>S, sistemu Eurodac, sistemu ECRIS-TCN, med podatki Europola ter v Interpolovih podatkovnih zbirkah SLTD in TDAWN</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w:t>
      </w:r>
      <w:r w:rsidRPr="0007707F">
        <w:rPr>
          <w:rStyle w:val="HideTWBExt"/>
          <w:noProof w:val="0"/>
        </w:rPr>
        <w: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9 – točka a a (novo)</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(aa)</w:t>
            </w:r>
            <w:r w:rsidRPr="0007707F">
              <w:tab/>
            </w:r>
            <w:r w:rsidRPr="0007707F">
              <w:rPr>
                <w:b/>
                <w:i/>
              </w:rPr>
              <w:t>v odstavku 1 se doda naslednja točka: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„(ca) razpis ukrepa za nezakonite </w:t>
            </w:r>
            <w:r w:rsidRPr="0007707F">
              <w:rPr>
                <w:b/>
                <w:i/>
              </w:rPr>
              <w:t>migrante, za katere je bila izdana odločba o vrnitvi“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w:t>
      </w:r>
      <w:r w:rsidRPr="0007707F">
        <w:t>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9 – točka b</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23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 xml:space="preserve">Besedilo, ki ga predlaga </w:t>
            </w:r>
            <w:r w:rsidRPr="0007707F">
              <w:t>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Kadar se pri primerjavi iz odstavka 1 pokaže en ali več zadetkov, centralni sistem ETIAS pošlje avtomatsko uradno obvestilo centralni enoti ETIAS. Centralna enota ETIAS ima po uradnem obvestilu dostop do dosjeja prosilca in d</w:t>
            </w:r>
            <w:r w:rsidRPr="0007707F">
              <w:t>o morebitnih z njim povezanih dosjejev, da preveri, ali se osebni podatki prosilca ujemajo z osebnimi podatki v razpisu ukrepa, ki je sprožil ta zadetek, in če je ujemanje potrjeno, centralni sistem ETIAS pošlje avtomatsko uradno obvestilo uradu SIRENE drž</w:t>
            </w:r>
            <w:r w:rsidRPr="0007707F">
              <w:t>ave članice, ki je vnesla zadevni razpis ukrepa. Zadevni urad SIRENE nadalje preveri, ali se osebni podatki prosilca ujemajo z osebnimi podatki v razpisu ukrepa, ki je sprožil zadetek, nakar sprejme morebitne ustrezne nadaljnje ukrepe.;</w:t>
            </w:r>
          </w:p>
        </w:tc>
        <w:tc>
          <w:tcPr>
            <w:tcW w:w="4876" w:type="dxa"/>
          </w:tcPr>
          <w:p w:rsidR="00537AB8" w:rsidRPr="0007707F" w:rsidRDefault="000F612F">
            <w:pPr>
              <w:pStyle w:val="Normal6a"/>
            </w:pPr>
            <w:r w:rsidRPr="0007707F">
              <w:t>2.</w:t>
            </w:r>
            <w:r w:rsidRPr="0007707F">
              <w:tab/>
              <w:t>Kadar se pri pri</w:t>
            </w:r>
            <w:r w:rsidRPr="0007707F">
              <w:t xml:space="preserve">merjavi iz odstavka 1 pokaže en ali več zadetkov, centralni sistem ETIAS pošlje avtomatsko uradno obvestilo centralni enoti ETIAS. Centralna enota ETIAS ima po uradnem obvestilu </w:t>
            </w:r>
            <w:r w:rsidRPr="0007707F">
              <w:rPr>
                <w:b/>
                <w:i/>
              </w:rPr>
              <w:t>začasni</w:t>
            </w:r>
            <w:r w:rsidRPr="0007707F">
              <w:t xml:space="preserve"> dostop do dosjeja prosilca in do morebitnih z njim povezanih dosjejev,</w:t>
            </w:r>
            <w:r w:rsidRPr="0007707F">
              <w:t xml:space="preserve"> da preveri, ali se osebni podatki prosilca ujemajo z osebnimi podatki v razpisu ukrepa, ki je sprožil ta zadetek, in če je ujemanje potrjeno, centralni sistem ETIAS pošlje avtomatsko uradno obvestilo uradu SIRENE države članice, ki je vnesla zadevni razpi</w:t>
            </w:r>
            <w:r w:rsidRPr="0007707F">
              <w:t>s ukrepa. Zadevni urad SIRENE nadalje preveri, ali se osebni podatki prosilca ujemajo z osebnimi podatki v razpisu ukrepa, ki je sprožil zadetek, nakar sprejme morebitne ustrezne nadaljnje ukrepe.;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w:t>
      </w:r>
      <w:r w:rsidRPr="0007707F">
        <w:t xml:space="preserve"> spremembe</w:t>
      </w:r>
      <w:r w:rsidRPr="0007707F">
        <w:tab/>
      </w:r>
      <w:r w:rsidRPr="0007707F">
        <w:tab/>
      </w:r>
      <w:r w:rsidRPr="0007707F">
        <w:rPr>
          <w:rStyle w:val="HideTWBExt"/>
          <w:noProof w:val="0"/>
        </w:rPr>
        <w:t>&lt;NumAmB&gt;</w:t>
      </w:r>
      <w:r w:rsidRPr="0007707F">
        <w:t>96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10</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25 a – odstavek 1 – točka d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(da)</w:t>
            </w:r>
            <w:r w:rsidRPr="0007707F">
              <w:tab/>
            </w:r>
            <w:r w:rsidRPr="0007707F">
              <w:rPr>
                <w:b/>
                <w:i/>
              </w:rPr>
              <w:t>členu 4 Uredbe (EU) 2018/1860 (vrnitve)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w:t>
      </w:r>
      <w:r w:rsidRPr="0007707F">
        <w:t>,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10</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25 a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r>
            <w:r w:rsidRPr="0007707F">
              <w:rPr>
                <w:b/>
                <w:i/>
              </w:rPr>
              <w:t xml:space="preserve">Nacionalne </w:t>
            </w:r>
            <w:r w:rsidRPr="0007707F">
              <w:rPr>
                <w:b/>
                <w:i/>
              </w:rPr>
              <w:t>enote</w:t>
            </w:r>
            <w:r w:rsidRPr="0007707F">
              <w:t xml:space="preserve"> ETIAS </w:t>
            </w:r>
            <w:r w:rsidRPr="0007707F">
              <w:rPr>
                <w:b/>
                <w:i/>
              </w:rPr>
              <w:t>imajo</w:t>
            </w:r>
            <w:r w:rsidRPr="0007707F">
              <w:t xml:space="preserve"> za namene iz odstavka 1 tudi dostop do nacionalnih registrov kazenskih evidenc</w:t>
            </w:r>
            <w:r w:rsidRPr="0007707F">
              <w:rPr>
                <w:b/>
                <w:i/>
              </w:rPr>
              <w:t>, da pridobijo</w:t>
            </w:r>
            <w:r w:rsidRPr="0007707F">
              <w:t xml:space="preserve"> informacije o državljanih tretjih držav in osebah brez državljanstva, ki so bile obsojene za teroristično kaznivo dejanje ali drugo </w:t>
            </w:r>
            <w:r w:rsidRPr="0007707F">
              <w:rPr>
                <w:b/>
                <w:i/>
              </w:rPr>
              <w:t>hudo</w:t>
            </w:r>
            <w:r w:rsidRPr="0007707F">
              <w:t xml:space="preserve"> kaznivo </w:t>
            </w:r>
            <w:r w:rsidRPr="0007707F">
              <w:t>dejanje.</w:t>
            </w:r>
            <w:r w:rsidRPr="0007707F">
              <w:rPr>
                <w:b/>
                <w:i/>
              </w:rPr>
              <w:t>;</w:t>
            </w:r>
          </w:p>
        </w:tc>
        <w:tc>
          <w:tcPr>
            <w:tcW w:w="4876" w:type="dxa"/>
          </w:tcPr>
          <w:p w:rsidR="00537AB8" w:rsidRPr="0007707F" w:rsidRDefault="000F612F">
            <w:pPr>
              <w:pStyle w:val="Normal6a"/>
            </w:pPr>
            <w:r w:rsidRPr="0007707F">
              <w:t>2.</w:t>
            </w:r>
            <w:r w:rsidRPr="0007707F">
              <w:tab/>
            </w:r>
            <w:r w:rsidRPr="0007707F">
              <w:rPr>
                <w:b/>
                <w:i/>
              </w:rPr>
              <w:t>Če je zadetek rezultat preverjanja v skladu s točko (n) člena 20(2), ima ustrezno pooblaščeno osebje nacionalnih enot</w:t>
            </w:r>
            <w:r w:rsidRPr="0007707F">
              <w:t xml:space="preserve"> ETIAS </w:t>
            </w:r>
            <w:r w:rsidRPr="0007707F">
              <w:rPr>
                <w:b/>
                <w:i/>
              </w:rPr>
              <w:t>v skladu z nacionalnim pravom</w:t>
            </w:r>
            <w:r w:rsidRPr="0007707F">
              <w:t xml:space="preserve"> za namene iz odstavka 1 tudi dostop do nacionalnih registrov kazenskih evidenc </w:t>
            </w:r>
            <w:r w:rsidRPr="0007707F">
              <w:rPr>
                <w:b/>
                <w:i/>
              </w:rPr>
              <w:t>svoje drža</w:t>
            </w:r>
            <w:r w:rsidRPr="0007707F">
              <w:rPr>
                <w:b/>
                <w:i/>
              </w:rPr>
              <w:t>ve članice, da pridobi</w:t>
            </w:r>
            <w:r w:rsidRPr="0007707F">
              <w:t xml:space="preserve"> informacije o državljanih tretjih držav in osebah brez državljanstva, ki so bile obsojene za teroristično kaznivo dejanje ali </w:t>
            </w:r>
            <w:r w:rsidRPr="0007707F">
              <w:rPr>
                <w:b/>
                <w:i/>
              </w:rPr>
              <w:t>katero koli</w:t>
            </w:r>
            <w:r w:rsidRPr="0007707F">
              <w:t xml:space="preserve"> drugo kaznivo dejanje </w:t>
            </w:r>
            <w:r w:rsidRPr="0007707F">
              <w:rPr>
                <w:b/>
                <w:i/>
              </w:rPr>
              <w:t>iz Priloge k tej uredbi</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w:t>
      </w:r>
      <w:r w:rsidRPr="0007707F">
        <w:rPr>
          <w:rStyle w:val="HideTWBExt"/>
          <w:noProof w:val="0"/>
        </w:rPr>
        <w:t>AmendB&gt;</w:t>
      </w:r>
      <w:r w:rsidRPr="0007707F">
        <w:t>Predlog spremembe</w:t>
      </w:r>
      <w:r w:rsidRPr="0007707F">
        <w:tab/>
      </w:r>
      <w:r w:rsidRPr="0007707F">
        <w:tab/>
      </w:r>
      <w:r w:rsidRPr="0007707F">
        <w:rPr>
          <w:rStyle w:val="HideTWBExt"/>
          <w:noProof w:val="0"/>
        </w:rPr>
        <w:t>&lt;NumAmB&gt;</w:t>
      </w:r>
      <w:r w:rsidRPr="0007707F">
        <w:t>98</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w:t>
      </w:r>
      <w:r w:rsidRPr="0007707F">
        <w:rPr>
          <w:rStyle w:val="HideTWBExt"/>
          <w:noProof w:val="0"/>
        </w:rPr>
        <w:t>/DocAmend&gt;</w:t>
      </w:r>
    </w:p>
    <w:p w:rsidR="00537AB8" w:rsidRPr="0007707F" w:rsidRDefault="000F612F">
      <w:pPr>
        <w:pStyle w:val="NormalBold"/>
      </w:pPr>
      <w:r w:rsidRPr="0007707F">
        <w:rPr>
          <w:rStyle w:val="HideTWBExt"/>
          <w:noProof w:val="0"/>
        </w:rPr>
        <w:t>&lt;Article&gt;</w:t>
      </w:r>
      <w:r w:rsidRPr="0007707F">
        <w:t>Člen 1 – odstavek 10</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25 a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 xml:space="preserve">Nacionalne enote ETIAS imajo za namene iz odstavka 1 tudi dostop do nacionalnih </w:t>
            </w:r>
            <w:r w:rsidRPr="0007707F">
              <w:t>registrov kazenskih evidenc, da pridobijo informacije o državljanih tretjih držav in osebah brez državljanstva, ki so bile obsojene za teroristično kaznivo dejanje ali drugo hudo kaznivo dejanje.</w:t>
            </w:r>
            <w:r w:rsidRPr="0007707F">
              <w:rPr>
                <w:b/>
                <w:i/>
              </w:rPr>
              <w:t>;</w:t>
            </w:r>
          </w:p>
        </w:tc>
        <w:tc>
          <w:tcPr>
            <w:tcW w:w="4876" w:type="dxa"/>
          </w:tcPr>
          <w:p w:rsidR="00537AB8" w:rsidRPr="0007707F" w:rsidRDefault="000F612F">
            <w:pPr>
              <w:pStyle w:val="Normal6a"/>
            </w:pPr>
            <w:r w:rsidRPr="0007707F">
              <w:t>2.</w:t>
            </w:r>
            <w:r w:rsidRPr="0007707F">
              <w:tab/>
              <w:t>Nacionalne enote ETIAS imajo za namene iz odstavka 1 tud</w:t>
            </w:r>
            <w:r w:rsidRPr="0007707F">
              <w:t xml:space="preserve">i dostop do nacionalnih registrov kazenskih evidenc, da pridobijo informacije o državljanih tretjih držav in osebah brez državljanstva, ki so bile obsojene za teroristično kaznivo dejanje ali </w:t>
            </w:r>
            <w:r w:rsidRPr="0007707F">
              <w:rPr>
                <w:b/>
                <w:i/>
              </w:rPr>
              <w:t>katero koli</w:t>
            </w:r>
            <w:r w:rsidRPr="0007707F">
              <w:t xml:space="preserve"> drugo hudo kaznivo dejanje</w:t>
            </w:r>
            <w:r w:rsidRPr="0007707F">
              <w:rPr>
                <w:b/>
                <w:i/>
              </w:rPr>
              <w:t>, navedeno v Prilogi k Ure</w:t>
            </w:r>
            <w:r w:rsidRPr="0007707F">
              <w:rPr>
                <w:b/>
                <w:i/>
              </w:rPr>
              <w:t>dbi (EU) 2018/1240</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99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10</w:t>
      </w:r>
      <w:r w:rsidRPr="0007707F">
        <w:rPr>
          <w:rStyle w:val="HideTWBExt"/>
          <w:noProof w:val="0"/>
        </w:rPr>
        <w:t>&lt;/Arti</w:t>
      </w:r>
      <w:r w:rsidRPr="0007707F">
        <w:rPr>
          <w:rStyle w:val="HideTWBExt"/>
          <w:noProof w:val="0"/>
        </w:rPr>
        <w:t>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25 a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 xml:space="preserve">Nacionalne enote ETIAS imajo za namene iz odstavka 1 tudi dostop do nacionalnih registrov kazenskih evidenc, da pridobijo </w:t>
            </w:r>
            <w:r w:rsidRPr="0007707F">
              <w:t>informacije o državljanih tretjih držav in osebah brez državljanstva, ki so bile obsojene za teroristično kaznivo dejanje ali drugo hudo kaznivo dejanje.</w:t>
            </w:r>
            <w:r w:rsidRPr="0007707F">
              <w:rPr>
                <w:b/>
                <w:i/>
              </w:rPr>
              <w:t>;</w:t>
            </w:r>
          </w:p>
        </w:tc>
        <w:tc>
          <w:tcPr>
            <w:tcW w:w="4876" w:type="dxa"/>
          </w:tcPr>
          <w:p w:rsidR="00537AB8" w:rsidRPr="0007707F" w:rsidRDefault="000F612F">
            <w:pPr>
              <w:pStyle w:val="Normal6a"/>
            </w:pPr>
            <w:r w:rsidRPr="0007707F">
              <w:t>2.</w:t>
            </w:r>
            <w:r w:rsidRPr="0007707F">
              <w:tab/>
              <w:t xml:space="preserve">Nacionalne enote ETIAS imajo </w:t>
            </w:r>
            <w:r w:rsidRPr="0007707F">
              <w:rPr>
                <w:b/>
                <w:i/>
              </w:rPr>
              <w:t>v skladu z nacionalnim pravom</w:t>
            </w:r>
            <w:r w:rsidRPr="0007707F">
              <w:t xml:space="preserve"> za namene iz odstavka 1 tudi dostop do nacionalnih registrov kazenskih evidenc, da pridobijo informacije o državljanih tretjih držav in osebah brez državljanstva, ki so bile obsojene za teroristično kaznivo dejanje ali </w:t>
            </w:r>
            <w:r w:rsidRPr="0007707F">
              <w:rPr>
                <w:b/>
                <w:i/>
              </w:rPr>
              <w:t>katero koli</w:t>
            </w:r>
            <w:r w:rsidRPr="0007707F">
              <w:t xml:space="preserve"> drugo hudo kaznivo dejan</w:t>
            </w:r>
            <w:r w:rsidRPr="0007707F">
              <w:t>je.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100</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11 a (novo)</w:t>
      </w:r>
      <w:r w:rsidRPr="0007707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(11a)</w:t>
            </w:r>
            <w:r w:rsidRPr="0007707F">
              <w:tab/>
            </w:r>
            <w:r w:rsidRPr="0007707F">
              <w:rPr>
                <w:b/>
                <w:i/>
              </w:rPr>
              <w:t>v členu 26 se vstavi naslednji odstavek:</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3a.V primeru zadetkov v zvezi z vračanjem v SIS nacionalna enota ETIAS države članice, ki obravnava prošnjo:</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(a) kadar odločbo o vrnitvi spremlja </w:t>
            </w:r>
            <w:r w:rsidRPr="0007707F">
              <w:rPr>
                <w:b/>
                <w:i/>
              </w:rPr>
              <w:t>prepoved vstopa, prek izmenjave dopolnilnih informacij takoj obvesti državo članico izdajateljico.Država članica izdajateljica takoj izbriše razpis ukrepa za vrnitev in vnese razpis ukrepa za zavrnitev vstopa in prepoved prebivanja v skladu s točko (b) čle</w:t>
            </w:r>
            <w:r w:rsidRPr="0007707F">
              <w:rPr>
                <w:b/>
                <w:i/>
              </w:rPr>
              <w:t>na 24(1) Uredbe (EU) 2018/1861;</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(b) kadar odločbe o vrnitvi ne spremlja prepoved vstopa, prek izmenjave dopolnilnih informacij takoj obvesti državo članico izdajateljico, da ta brez odlašanja izbriše razpis ukrepa za vrnitev.</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w:t>
      </w:r>
      <w:r w:rsidRPr="0007707F">
        <w:rPr>
          <w:rStyle w:val="HideTWBExt"/>
          <w:noProof w:val="0"/>
        </w:rPr>
        <w:t>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Sophia in 't Veld, Dragoş Tudorache</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11 a (novo)</w:t>
      </w:r>
      <w:r w:rsidRPr="0007707F">
        <w:rPr>
          <w:rStyle w:val="HideTWBExt"/>
          <w:noProof w:val="0"/>
        </w:rPr>
        <w:t>&lt;/Article&gt;</w:t>
      </w:r>
    </w:p>
    <w:p w:rsidR="00537AB8" w:rsidRPr="0007707F" w:rsidRDefault="000F612F">
      <w:r w:rsidRPr="0007707F">
        <w:t>Uredba (EU) 2018/12</w:t>
      </w:r>
      <w:r w:rsidRPr="0007707F">
        <w:t>40</w:t>
      </w:r>
    </w:p>
    <w:p w:rsidR="00537AB8" w:rsidRPr="0007707F" w:rsidRDefault="000F612F">
      <w:r w:rsidRPr="0007707F">
        <w:rPr>
          <w:rStyle w:val="HideTWBExt"/>
          <w:noProof w:val="0"/>
        </w:rPr>
        <w:t>&lt;Article2&gt;</w:t>
      </w:r>
      <w:r w:rsidRPr="0007707F">
        <w:t>Člen 38 – odstavek 2 – točka (c)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(11a)</w:t>
            </w:r>
            <w:r w:rsidRPr="0007707F">
              <w:tab/>
            </w:r>
            <w:r w:rsidRPr="0007707F">
              <w:rPr>
                <w:b/>
                <w:i/>
              </w:rPr>
              <w:t>Točka (c) člena 38(2) se nadomesti z naslednjim: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(c) izjavo o razlogih za zavrnitev potovalne odobritve, v kateri so navedeni </w:t>
            </w:r>
            <w:r w:rsidRPr="0007707F">
              <w:rPr>
                <w:b/>
                <w:i/>
              </w:rPr>
              <w:t>veljavni razlogi od tistih iz člena 37(1) in (2), vključno z informacijami o tem, kateri informacijski sistem je ustvaril zadetek, zaradi katerega je bila prošnja zavrnjena, kar prosilcu omogoča vložitev pritožbe.</w:t>
            </w:r>
            <w:r w:rsidRPr="0007707F">
              <w:t xml:space="preserve"> </w:t>
            </w:r>
            <w:r w:rsidRPr="0007707F">
              <w:rPr>
                <w:b/>
                <w:i/>
              </w:rPr>
              <w:t>To ne posega v morebitne omejitve pri uvel</w:t>
            </w:r>
            <w:r w:rsidRPr="0007707F">
              <w:rPr>
                <w:b/>
                <w:i/>
              </w:rPr>
              <w:t>javljanju pravice do obveščenosti iz Uredbe (ES) št. 767/2008, Uredbe (EU) 2017/2226, Uredbe (EU) 2018/1861 in Uredbe (EU) 2019/816;</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Obrazložitev</w:t>
      </w:r>
      <w:r w:rsidRPr="0007707F">
        <w:rPr>
          <w:rStyle w:val="HideTWBExt"/>
          <w:noProof w:val="0"/>
        </w:rPr>
        <w:t>&lt;/TitreJust&gt;</w:t>
      </w:r>
    </w:p>
    <w:p w:rsidR="00537AB8" w:rsidRPr="0007707F" w:rsidRDefault="000F612F">
      <w:pPr>
        <w:pStyle w:val="AmJustText"/>
      </w:pPr>
      <w:r w:rsidRPr="0007707F">
        <w:t>Ker je pravica do učinkovitega pravnega sredstva določ</w:t>
      </w:r>
      <w:r w:rsidRPr="0007707F">
        <w:t>ena v členu 47 Listine EU in v členu 13 EKČP, bi moral prosilec prejeti dovolj jasno razlago razlogov za zavrnitev, da lahko učinkovito uveljavlja pravico do pritožbe in izpodbija razloge za zavrnitev. Zato je bistveno, da posamezniki, katerih prošnje so b</w:t>
      </w:r>
      <w:r w:rsidRPr="0007707F">
        <w:t>ile zavrnjene, vedo, da obstaja evidenca in kateri informacijski sistem je ustvaril zadetek, ki je privedel do zavrnitve njihove prošnje. To jim bo omogočilo uveljavljanje individualnih pravic na podlagi uredbe o sistemu ETIAS, pa tudi na podlagi pravnih i</w:t>
      </w:r>
      <w:r w:rsidRPr="0007707F">
        <w:t>nstrumentov v drugih informacijskih sistemih EU.</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102</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12 a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45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(12a)</w:t>
            </w:r>
            <w:r w:rsidRPr="0007707F">
              <w:tab/>
            </w:r>
            <w:r w:rsidRPr="0007707F">
              <w:rPr>
                <w:b/>
                <w:i/>
              </w:rPr>
              <w:t>Člen 45a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Center za pomoč prevoznikom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1.V okviru centralne enote ETIAS se vzpostavi center za pomoč prevoznikom, ki </w:t>
            </w:r>
            <w:r w:rsidRPr="0007707F">
              <w:rPr>
                <w:b/>
                <w:i/>
              </w:rPr>
              <w:t>prevoznikom pomaga pri izvajanju člena 45 te uredbe, člena 13 Uredbe (EU) 2017/2226 [SVI] in člena 45b predloga COM(2018)0302 [VIS].</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2.Center za pomoč prevoznikom je odgovoren za: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 vzpostavitev in vzdrževanje centralnega registra prevoznikov, ki pre</w:t>
            </w:r>
            <w:r w:rsidRPr="0007707F">
              <w:rPr>
                <w:b/>
                <w:i/>
              </w:rPr>
              <w:t>važajo potnike v komercialne namene do zunanjih meja, v posvetovanju z državami članicami,</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(b) zagotavljanje operativne in tehnične podpore prevoznikom v zvezi s poizvedbami o potnikih v skladu s členom 45 te uredbe, členom 13 Uredbe (EU) 2017/2226 [SVI]</w:t>
            </w:r>
            <w:r w:rsidRPr="0007707F">
              <w:rPr>
                <w:b/>
                <w:i/>
              </w:rPr>
              <w:t xml:space="preserve"> in členom 45b predloga COM(2018)0302 [VIS].</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3.Ustrezno pooblaščeno osebje centra za pomoč prevoznikom ima dostop do podatkovnih datotek, shranjenih v CIR, centralnem sistemu ETIAS, centralnem sistemu SVI in centralnem sistemu VIS za namene preverjanja s</w:t>
            </w:r>
            <w:r w:rsidRPr="0007707F">
              <w:rPr>
                <w:b/>
                <w:i/>
              </w:rPr>
              <w:t>tatusa potnikov, da se zagotovi operativna podpora iz točke (b) odstavka 2.</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4. Komisija z izvedbenim aktom določi pravila v zvezi z registracijo prevoznikov iz točke (a) odstavka 2 ter z dostopom osebja centra za pomoč prevoznikom iz odstavka 3 do sistem</w:t>
            </w:r>
            <w:r w:rsidRPr="0007707F">
              <w:rPr>
                <w:b/>
                <w:i/>
              </w:rPr>
              <w:t>ov ETIAS, SVI in VIS.</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12 a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69 – odstavek 1 – točka (c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(12a)</w:t>
            </w:r>
            <w:r w:rsidRPr="0007707F">
              <w:tab/>
            </w:r>
            <w:r w:rsidRPr="0007707F">
              <w:rPr>
                <w:b/>
                <w:i/>
              </w:rPr>
              <w:t>v členu 69(1) se doda nova točka (ca):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(ca) podatke, ki se </w:t>
            </w:r>
            <w:r w:rsidRPr="0007707F">
              <w:rPr>
                <w:b/>
                <w:i/>
              </w:rPr>
              <w:t>uporabljajo prek interoperabilnosti z drugimi informacijskimi sistemi za obdelavo prošenj, zlasti v primerih ročne obdelave;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xml:space="preserve">, </w:t>
      </w:r>
      <w:r w:rsidRPr="0007707F">
        <w:t>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12 b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69 – odstavek 4</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 xml:space="preserve">Predlog </w:t>
            </w:r>
            <w:r w:rsidRPr="0007707F">
              <w:t>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(12b)</w:t>
            </w:r>
            <w:r w:rsidRPr="0007707F">
              <w:tab/>
            </w:r>
            <w:r w:rsidRPr="0007707F">
              <w:rPr>
                <w:b/>
                <w:i/>
              </w:rPr>
              <w:t>Člen 69(4) se nadomesti z naslednjim: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4.</w:t>
            </w:r>
            <w:r w:rsidRPr="0007707F">
              <w:t xml:space="preserve"> </w:t>
            </w:r>
            <w:r w:rsidRPr="0007707F">
              <w:rPr>
                <w:b/>
                <w:i/>
              </w:rPr>
              <w:t>Takšni dnevniki se lahko uporabljajo zgolj za spremljanje dopustnosti obdelave podatkov, za zagotavljanje varnosti in celovitosti podatkov ter za zagotovitev pravice prosilca do učinkovitega prav</w:t>
            </w:r>
            <w:r w:rsidRPr="0007707F">
              <w:rPr>
                <w:b/>
                <w:i/>
              </w:rPr>
              <w:t>nega sredstva.</w:t>
            </w:r>
            <w:r w:rsidRPr="0007707F">
              <w:t xml:space="preserve"> </w:t>
            </w:r>
            <w:r w:rsidRPr="0007707F">
              <w:rPr>
                <w:b/>
                <w:i/>
              </w:rPr>
              <w:t>Dnevniki se z ustreznimi ukrepi zaščitijo pred nepooblaščenim dostopom</w:t>
            </w:r>
            <w:r w:rsidRPr="0007707F">
              <w:t xml:space="preserve"> </w:t>
            </w:r>
            <w:r w:rsidRPr="0007707F">
              <w:rPr>
                <w:b/>
                <w:i/>
              </w:rPr>
              <w:t>in izbrišejo eno leto po izteku obdobja hrambe iz člena 54, razen če so potrebni za že začete postopke spremljanja.</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12 c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w:t>
      </w:r>
      <w:r w:rsidRPr="0007707F">
        <w:t>en 69 – odstavek 4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(12c)</w:t>
            </w:r>
            <w:r w:rsidRPr="0007707F">
              <w:tab/>
            </w:r>
            <w:r w:rsidRPr="0007707F">
              <w:rPr>
                <w:b/>
                <w:i/>
              </w:rPr>
              <w:t>v členu 69 se doda nov odstavek:</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4a.</w:t>
            </w:r>
            <w:r w:rsidRPr="0007707F">
              <w:t xml:space="preserve"> </w:t>
            </w:r>
            <w:r w:rsidRPr="0007707F">
              <w:rPr>
                <w:b/>
                <w:i/>
              </w:rPr>
              <w:t>Za namene odstavka 4 Komisija z delegiranim aktom opredeli tehnične podrobnosti za njegovo izvajanje.</w:t>
            </w:r>
          </w:p>
        </w:tc>
      </w:tr>
    </w:tbl>
    <w:p w:rsidR="00537AB8" w:rsidRPr="0007707F" w:rsidRDefault="000F612F">
      <w:pPr>
        <w:pStyle w:val="AmOrLang"/>
      </w:pPr>
      <w:r w:rsidRPr="0007707F">
        <w:t xml:space="preserve">Or. </w:t>
      </w:r>
      <w:r w:rsidRPr="0007707F">
        <w:rPr>
          <w:rStyle w:val="HideTWBExt"/>
          <w:noProof w:val="0"/>
        </w:rPr>
        <w:t>&lt;Original</w:t>
      </w:r>
      <w:r w:rsidRPr="0007707F">
        <w:rPr>
          <w:rStyle w:val="HideTWBExt"/>
          <w:noProof w:val="0"/>
        </w:rPr>
        <w:t>&gt;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 točka c</w:t>
      </w:r>
      <w:r w:rsidRPr="0007707F">
        <w:rPr>
          <w:rStyle w:val="HideTWBExt"/>
          <w:noProof w:val="0"/>
        </w:rPr>
        <w:t>&lt;/</w:t>
      </w:r>
      <w:r w:rsidRPr="0007707F">
        <w:rPr>
          <w:rStyle w:val="HideTWBExt"/>
          <w:noProof w:val="0"/>
        </w:rPr>
        <w: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88 – odstavek 6</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6.</w:t>
            </w:r>
            <w:r w:rsidRPr="0007707F">
              <w:tab/>
              <w:t xml:space="preserve">Interoperabilnost iz člena 11 s sistemom ECRIS-TCN se začne, ko začne delovati [CIR], kar je načrtovano v letu 2022. </w:t>
            </w:r>
            <w:r w:rsidRPr="0007707F">
              <w:rPr>
                <w:b/>
                <w:i/>
              </w:rPr>
              <w:t>ETIAS za</w:t>
            </w:r>
            <w:r w:rsidRPr="0007707F">
              <w:rPr>
                <w:b/>
                <w:i/>
              </w:rPr>
              <w:t>čne delovati ne glede na to, ali je vzpostavljena interoperabilnost s sistemom ECRIS-TCN.</w:t>
            </w:r>
          </w:p>
        </w:tc>
        <w:tc>
          <w:tcPr>
            <w:tcW w:w="4876" w:type="dxa"/>
          </w:tcPr>
          <w:p w:rsidR="00537AB8" w:rsidRPr="0007707F" w:rsidRDefault="000F612F">
            <w:pPr>
              <w:pStyle w:val="Normal6a"/>
            </w:pPr>
            <w:r w:rsidRPr="0007707F">
              <w:t>6.</w:t>
            </w:r>
            <w:r w:rsidRPr="0007707F">
              <w:tab/>
              <w:t>Interoperabilnost iz člena 11 s sistemom ECRIS-TCN se začne, ko začne delovati [CIR], kar je načrtovano v letu 2022.</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w:t>
      </w:r>
      <w:r w:rsidRPr="0007707F">
        <w:rPr>
          <w:rStyle w:val="HideTWBExt"/>
          <w:noProof w:val="0"/>
        </w:rPr>
        <w:t>AmendB&gt;</w:t>
      </w:r>
      <w:r w:rsidRPr="0007707F">
        <w:t>Predlog spremembe</w:t>
      </w:r>
      <w:r w:rsidRPr="0007707F">
        <w:tab/>
      </w:r>
      <w:r w:rsidRPr="0007707F">
        <w:tab/>
      </w:r>
      <w:r w:rsidRPr="0007707F">
        <w:rPr>
          <w:rStyle w:val="HideTWBExt"/>
          <w:noProof w:val="0"/>
        </w:rPr>
        <w:t>&lt;NumAmB&gt;</w:t>
      </w:r>
      <w:r w:rsidRPr="0007707F">
        <w:t>107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 točka c</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88 – odstavek 7</w:t>
      </w:r>
      <w:r w:rsidRPr="0007707F">
        <w:rPr>
          <w:rStyle w:val="HideTWBExt"/>
          <w:noProof w:val="0"/>
        </w:rPr>
        <w:t>&lt;/Art</w:t>
      </w:r>
      <w:r w:rsidRPr="0007707F">
        <w:rPr>
          <w:rStyle w:val="HideTWBExt"/>
          <w:noProof w:val="0"/>
        </w:rPr>
        <w: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7.</w:t>
            </w:r>
            <w:r w:rsidRPr="0007707F">
              <w:tab/>
              <w:t xml:space="preserve">ETIAS začne delovati ne glede na to, ali je </w:t>
            </w:r>
            <w:r w:rsidRPr="0007707F">
              <w:rPr>
                <w:b/>
                <w:i/>
              </w:rPr>
              <w:t>bil sklenjen sporazum o sodelovanju med Evropsko unijo in Interpolom iz člena 12(2), in ne glede na to, ali je</w:t>
            </w:r>
            <w:r w:rsidRPr="0007707F">
              <w:t xml:space="preserve"> mogoče poizvedovati po Interpolovih podatkovnih zbirkah.</w:t>
            </w:r>
            <w:r w:rsidRPr="0007707F">
              <w:rPr>
                <w:b/>
                <w:i/>
              </w:rPr>
              <w:t>;</w:t>
            </w:r>
          </w:p>
        </w:tc>
        <w:tc>
          <w:tcPr>
            <w:tcW w:w="4876" w:type="dxa"/>
          </w:tcPr>
          <w:p w:rsidR="00537AB8" w:rsidRPr="0007707F" w:rsidRDefault="000F612F">
            <w:pPr>
              <w:pStyle w:val="Normal6a"/>
            </w:pPr>
            <w:r w:rsidRPr="0007707F">
              <w:t>7.</w:t>
            </w:r>
            <w:r w:rsidRPr="0007707F">
              <w:tab/>
              <w:t>ETIAS začne delovati ne glede na to, ali je mogoče poizvedovati po Interpolovih podatkovnih zbirkah.</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108</w:t>
      </w:r>
      <w:r w:rsidRPr="0007707F">
        <w:rPr>
          <w:rStyle w:val="HideTWBExt"/>
          <w:noProof w:val="0"/>
        </w:rPr>
        <w:t>&lt;/NumAmB&gt;</w:t>
      </w:r>
    </w:p>
    <w:p w:rsidR="00537AB8" w:rsidRPr="0007707F" w:rsidRDefault="000F612F">
      <w:pPr>
        <w:pStyle w:val="NormalBold"/>
      </w:pPr>
      <w:r w:rsidRPr="0007707F">
        <w:rPr>
          <w:rStyle w:val="HideTWBExt"/>
          <w:noProof w:val="0"/>
        </w:rPr>
        <w:t>&lt;R</w:t>
      </w:r>
      <w:r w:rsidRPr="0007707F">
        <w:rPr>
          <w:rStyle w:val="HideTWBExt"/>
          <w:noProof w:val="0"/>
        </w:rPr>
        <w:t>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 točka c</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88 – odstavek 7</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w:t>
            </w:r>
            <w:r w:rsidRPr="0007707F">
              <w:t xml:space="preserve">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7.</w:t>
            </w:r>
            <w:r w:rsidRPr="0007707F">
              <w:tab/>
              <w:t xml:space="preserve">ETIAS </w:t>
            </w:r>
            <w:r w:rsidRPr="0007707F">
              <w:rPr>
                <w:b/>
                <w:i/>
              </w:rPr>
              <w:t>začne delovati ne glede na to, ali je bil sklenjen</w:t>
            </w:r>
            <w:r w:rsidRPr="0007707F">
              <w:t xml:space="preserve"> sporazum o sodelovanju med Evropsko unijo in Interpolom iz člena 12(2)</w:t>
            </w:r>
            <w:r w:rsidRPr="0007707F">
              <w:rPr>
                <w:b/>
                <w:i/>
              </w:rPr>
              <w:t>, in ne glede na to, ali je mogoče poizvedovati po Interpolovih podatkovnih zbirka</w:t>
            </w:r>
            <w:r w:rsidRPr="0007707F">
              <w:rPr>
                <w:b/>
                <w:i/>
              </w:rPr>
              <w:t>h</w:t>
            </w:r>
            <w:r w:rsidRPr="0007707F">
              <w:t>.</w:t>
            </w:r>
            <w:r w:rsidRPr="0007707F">
              <w:rPr>
                <w:b/>
                <w:i/>
              </w:rPr>
              <w:t>;</w:t>
            </w:r>
          </w:p>
        </w:tc>
        <w:tc>
          <w:tcPr>
            <w:tcW w:w="4876" w:type="dxa"/>
          </w:tcPr>
          <w:p w:rsidR="00537AB8" w:rsidRPr="0007707F" w:rsidRDefault="000F612F">
            <w:pPr>
              <w:pStyle w:val="Normal6a"/>
            </w:pPr>
            <w:r w:rsidRPr="0007707F">
              <w:t>7.</w:t>
            </w:r>
            <w:r w:rsidRPr="0007707F">
              <w:tab/>
              <w:t xml:space="preserve">ETIAS </w:t>
            </w:r>
            <w:r w:rsidRPr="0007707F">
              <w:rPr>
                <w:b/>
                <w:i/>
              </w:rPr>
              <w:t>ne poizveduje v podatkovnih zbirkah Interpola, dokler ne začne veljati</w:t>
            </w:r>
            <w:r w:rsidRPr="0007707F">
              <w:t xml:space="preserve"> sporazum o sodelovanju med Evropsko unijo in Interpolom iz člena 12(2).</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109</w:t>
      </w:r>
      <w:r w:rsidRPr="0007707F">
        <w:rPr>
          <w:rStyle w:val="HideTWBExt"/>
          <w:noProof w:val="0"/>
        </w:rPr>
        <w:t>&lt;/NumAmB&gt;</w:t>
      </w:r>
    </w:p>
    <w:p w:rsidR="00537AB8" w:rsidRPr="0007707F" w:rsidRDefault="000F612F">
      <w:pPr>
        <w:pStyle w:val="NormalBold"/>
      </w:pPr>
      <w:r w:rsidRPr="0007707F">
        <w:rPr>
          <w:rStyle w:val="HideTWBExt"/>
          <w:noProof w:val="0"/>
        </w:rPr>
        <w:t>&lt;</w:t>
      </w:r>
      <w:r w:rsidRPr="0007707F">
        <w:rPr>
          <w:rStyle w:val="HideTWBExt"/>
          <w:noProof w:val="0"/>
        </w:rPr>
        <w: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a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89 – odstavek 2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(13a)</w:t>
            </w:r>
            <w:r w:rsidRPr="0007707F">
              <w:tab/>
            </w:r>
            <w:r w:rsidRPr="0007707F">
              <w:rPr>
                <w:b/>
                <w:i/>
              </w:rPr>
              <w:t>člen 89 se spremeni:</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 odstavek 2 se nadomesti z naslednjim: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„2.</w:t>
            </w:r>
            <w:r w:rsidRPr="0007707F">
              <w:t xml:space="preserve"> </w:t>
            </w:r>
            <w:r w:rsidRPr="0007707F">
              <w:rPr>
                <w:b/>
                <w:i/>
              </w:rPr>
              <w:t xml:space="preserve">Pooblastilo za sprejemanje delegiranih aktov iz člena 6(4), člena 11(9), člena 11(10), člena 17(3), (5) in (6), členov 18(4) </w:t>
            </w:r>
            <w:r w:rsidRPr="0007707F">
              <w:rPr>
                <w:b/>
                <w:i/>
              </w:rPr>
              <w:t>in 27(3), člena 31, členov 33(2), 36(4), 39(2), 54(2) in 69(4a), člena 83(1) in (3) ter člena 85(3) se prenese na Komisijo za pet let od 9. oktobra 2018.</w:t>
            </w:r>
            <w:r w:rsidRPr="0007707F">
              <w:t xml:space="preserve"> </w:t>
            </w:r>
            <w:r w:rsidRPr="0007707F">
              <w:rPr>
                <w:b/>
                <w:i/>
              </w:rPr>
              <w:t>Komisija pripravi poročilo o prenosu pooblastila najpozneje devet mesecev pred koncem petletnega obdob</w:t>
            </w:r>
            <w:r w:rsidRPr="0007707F">
              <w:rPr>
                <w:b/>
                <w:i/>
              </w:rPr>
              <w:t>ja. Prenos pooblastila se samodejno podaljšuje za enako dolga obdobja, razen če Evropski parlament ali Svet nasprotuje takemu podaljšanju najpozneje tri mesece pred koncem vsakega obdobja.“;</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w:t>
      </w:r>
      <w:r w:rsidRPr="0007707F">
        <w:t>mbe</w:t>
      </w:r>
      <w:r w:rsidRPr="0007707F">
        <w:tab/>
      </w:r>
      <w:r w:rsidRPr="0007707F">
        <w:tab/>
      </w:r>
      <w:r w:rsidRPr="0007707F">
        <w:rPr>
          <w:rStyle w:val="HideTWBExt"/>
          <w:noProof w:val="0"/>
        </w:rPr>
        <w:t>&lt;NumAmB&gt;</w:t>
      </w:r>
      <w:r w:rsidRPr="0007707F">
        <w:t>110</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b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89 – odstav</w:t>
      </w:r>
      <w:r w:rsidRPr="0007707F">
        <w:t>ek 3</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(13b)</w:t>
            </w:r>
            <w:r w:rsidRPr="0007707F">
              <w:tab/>
            </w:r>
            <w:r w:rsidRPr="0007707F">
              <w:rPr>
                <w:b/>
                <w:i/>
              </w:rPr>
              <w:t>(b) odstavek 3 se nadomesti z naslednjim: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w:t>
            </w:r>
            <w:r w:rsidRPr="0007707F">
              <w:t xml:space="preserve"> </w:t>
            </w:r>
            <w:r w:rsidRPr="0007707F">
              <w:rPr>
                <w:b/>
                <w:i/>
              </w:rPr>
              <w:t xml:space="preserve">Prenos pooblastila iz členov 6(4), 11(9) in 11(10), člena 17(3), (5) in (6), členov 18(4) in 27(3), člena 31, členov 33(2), 36(4), </w:t>
            </w:r>
            <w:r w:rsidRPr="0007707F">
              <w:rPr>
                <w:b/>
                <w:i/>
              </w:rPr>
              <w:t>39(2) in 54(2), člena 83(1) in (3) ter člena 85(3) lahko kadar koli prekliče Evropski parlament ali Svet.</w:t>
            </w:r>
            <w:r w:rsidRPr="0007707F">
              <w:t xml:space="preserve"> </w:t>
            </w:r>
            <w:r w:rsidRPr="0007707F">
              <w:rPr>
                <w:b/>
                <w:i/>
              </w:rPr>
              <w:t>S sklepom o preklicu preneha veljati prenos pooblastila iz navedenega sklepa.</w:t>
            </w:r>
            <w:r w:rsidRPr="0007707F">
              <w:t xml:space="preserve"> </w:t>
            </w:r>
            <w:r w:rsidRPr="0007707F">
              <w:rPr>
                <w:b/>
                <w:i/>
              </w:rPr>
              <w:t>Sklep začne učinkovati dan po njegovi objavi v Uradnem listu Evropske un</w:t>
            </w:r>
            <w:r w:rsidRPr="0007707F">
              <w:rPr>
                <w:b/>
                <w:i/>
              </w:rPr>
              <w:t>ije ali na poznejši dan, ki je določen v navedenem sklepu.</w:t>
            </w:r>
            <w:r w:rsidRPr="0007707F">
              <w:t xml:space="preserve"> </w:t>
            </w:r>
            <w:r w:rsidRPr="0007707F">
              <w:rPr>
                <w:b/>
                <w:i/>
              </w:rPr>
              <w:t>Sklep ne vpliva na veljavnost že veljavnih delegiranih aktov.</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w:t>
      </w:r>
      <w:r w:rsidRPr="0007707F">
        <w:t>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c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89 – odstavek 6</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(13c)</w:t>
            </w:r>
            <w:r w:rsidRPr="0007707F">
              <w:tab/>
            </w:r>
            <w:r w:rsidRPr="0007707F">
              <w:rPr>
                <w:b/>
                <w:i/>
              </w:rPr>
              <w:t>(c) odstavek 6 se nadomesti z naslednjim: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6.</w:t>
            </w:r>
            <w:r w:rsidRPr="0007707F">
              <w:t xml:space="preserve"> </w:t>
            </w:r>
            <w:r w:rsidRPr="0007707F">
              <w:rPr>
                <w:b/>
                <w:i/>
              </w:rPr>
              <w:t>Delegirani akt, sprejet na podlagi členov 6(4), 11(9) in 11(10), člena 17(3), (5) ali (6), členov 18(4) in 27(3), člena 31, členov 33(2), 36(4), 39(2) in 54(2), člena 83(1) ali (3) ali člena 85(3), zač</w:t>
            </w:r>
            <w:r w:rsidRPr="0007707F">
              <w:rPr>
                <w:b/>
                <w:i/>
              </w:rPr>
              <w:t>ne veljati le, če mu niti Evropski parlament niti Svet ne nasprotuje v roku dveh mesecev od uradnega obvestila Evropskemu parlamentu in Svetu o tem aktu ali če pred iztekom tega roka tako Evropski parlament kot Svet obvestita Komisijo, da mu ne bosta naspr</w:t>
            </w:r>
            <w:r w:rsidRPr="0007707F">
              <w:rPr>
                <w:b/>
                <w:i/>
              </w:rPr>
              <w:t>otovala.</w:t>
            </w:r>
            <w:r w:rsidRPr="0007707F">
              <w:t xml:space="preserve"> </w:t>
            </w:r>
            <w:r w:rsidRPr="0007707F">
              <w:rPr>
                <w:b/>
                <w:i/>
              </w:rPr>
              <w:t>Ta rok se na pobudo Evropskega parlamenta ali Sveta podaljša za dva meseca.</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112</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w:t>
      </w:r>
      <w:r w:rsidRPr="0007707F">
        <w:rPr>
          <w:rStyle w:val="HideTWBExt"/>
          <w:noProof w:val="0"/>
        </w:rPr>
        <w: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1 – odstavek 13 d (novo)</w:t>
      </w:r>
      <w:r w:rsidRPr="0007707F">
        <w:rPr>
          <w:rStyle w:val="HideTWBExt"/>
          <w:noProof w:val="0"/>
        </w:rPr>
        <w:t>&lt;/Article&gt;</w:t>
      </w:r>
    </w:p>
    <w:p w:rsidR="00537AB8" w:rsidRPr="0007707F" w:rsidRDefault="000F612F">
      <w:r w:rsidRPr="0007707F">
        <w:t>Uredba (EU) 2018/1240</w:t>
      </w:r>
    </w:p>
    <w:p w:rsidR="00537AB8" w:rsidRPr="0007707F" w:rsidRDefault="000F612F">
      <w:r w:rsidRPr="0007707F">
        <w:rPr>
          <w:rStyle w:val="HideTWBExt"/>
          <w:noProof w:val="0"/>
        </w:rPr>
        <w:t>&lt;Article2&gt;</w:t>
      </w:r>
      <w:r w:rsidRPr="0007707F">
        <w:t>Člen 92 – odstavek 5 – točka -a</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(13d)</w:t>
            </w:r>
            <w:r w:rsidRPr="0007707F">
              <w:tab/>
            </w:r>
            <w:r w:rsidRPr="0007707F">
              <w:rPr>
                <w:b/>
                <w:i/>
              </w:rPr>
              <w:t>(13a) v členu 92(</w:t>
            </w:r>
            <w:r w:rsidRPr="0007707F">
              <w:rPr>
                <w:b/>
                <w:i/>
              </w:rPr>
              <w:t>5) se vstavi naslednja točka: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 iskanje v ECRIS-TCN prek sistema ETIAS;</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 xml:space="preserve">Predlog </w:t>
      </w:r>
      <w:r w:rsidRPr="0007707F">
        <w:t>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1</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6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Dostop do VIS za iskanje podatkov je omejen izključno na ustrezno </w:t>
            </w:r>
            <w:r w:rsidRPr="0007707F">
              <w:t>pooblaščeno osebje organov posamezne države članice</w:t>
            </w:r>
            <w:r w:rsidRPr="0007707F">
              <w:rPr>
                <w:b/>
                <w:i/>
              </w:rPr>
              <w:t>, vključno z ustrezno pooblaščenim osebjem nacionalnih enot ETIAS, imenovanih v skladu s členom 8 Uredbe (EU) 2018/1240 Evropskega parlamenta in Sveta*</w:t>
            </w:r>
            <w:r w:rsidRPr="0007707F">
              <w:t xml:space="preserve">, ki so pristojni za namene iz členov </w:t>
            </w:r>
            <w:r w:rsidRPr="0007707F">
              <w:rPr>
                <w:b/>
                <w:i/>
              </w:rPr>
              <w:t>15 do 22, ter na</w:t>
            </w:r>
            <w:r w:rsidRPr="0007707F">
              <w:rPr>
                <w:b/>
                <w:i/>
              </w:rPr>
              <w:t xml:space="preserve"> ustrezno pooblaščeno osebje nacionalnih organov posamezne države članice in organov EU, ki so pristojni</w:t>
            </w:r>
            <w:r w:rsidRPr="0007707F">
              <w:t xml:space="preserve"> za namene iz </w:t>
            </w:r>
            <w:r w:rsidRPr="0007707F">
              <w:rPr>
                <w:b/>
                <w:i/>
              </w:rPr>
              <w:t>[člena</w:t>
            </w:r>
            <w:r w:rsidRPr="0007707F">
              <w:t xml:space="preserve"> 20 in </w:t>
            </w:r>
            <w:r w:rsidRPr="0007707F">
              <w:rPr>
                <w:b/>
                <w:i/>
              </w:rPr>
              <w:t>člena</w:t>
            </w:r>
            <w:r w:rsidRPr="0007707F">
              <w:t xml:space="preserve"> 21 Uredbe </w:t>
            </w:r>
            <w:r w:rsidRPr="0007707F">
              <w:rPr>
                <w:b/>
                <w:i/>
              </w:rPr>
              <w:t>(EU) 2018/xx</w:t>
            </w:r>
            <w:r w:rsidRPr="0007707F">
              <w:t xml:space="preserve"> o interoperabilnosti</w:t>
            </w:r>
            <w:r w:rsidRPr="0007707F">
              <w:rPr>
                <w:b/>
                <w:i/>
              </w:rPr>
              <w:t>], v obsegu, potrebnem za izvajanje nalog v skladu s temi nameni in sorazmer</w:t>
            </w:r>
            <w:r w:rsidRPr="0007707F">
              <w:rPr>
                <w:b/>
                <w:i/>
              </w:rPr>
              <w:t>no z zasledovanimi cilji</w:t>
            </w:r>
            <w:r w:rsidRPr="0007707F">
              <w:t>.</w:t>
            </w:r>
            <w:r w:rsidRPr="0007707F">
              <w:rPr>
                <w:b/>
                <w:i/>
              </w:rPr>
              <w:t>“;</w:t>
            </w:r>
          </w:p>
        </w:tc>
        <w:tc>
          <w:tcPr>
            <w:tcW w:w="4876" w:type="dxa"/>
          </w:tcPr>
          <w:p w:rsidR="00537AB8" w:rsidRPr="0007707F" w:rsidRDefault="000F612F">
            <w:pPr>
              <w:pStyle w:val="Normal6a"/>
            </w:pPr>
            <w:r w:rsidRPr="0007707F">
              <w:t xml:space="preserve">Dostop do VIS za iskanje podatkov je omejen izključno na ustrezno pooblaščeno osebje </w:t>
            </w:r>
            <w:r w:rsidRPr="0007707F">
              <w:rPr>
                <w:b/>
                <w:i/>
              </w:rPr>
              <w:t>nacionalnih</w:t>
            </w:r>
            <w:r w:rsidRPr="0007707F">
              <w:t xml:space="preserve"> organov posamezne države članice </w:t>
            </w:r>
            <w:r w:rsidRPr="0007707F">
              <w:rPr>
                <w:b/>
                <w:i/>
              </w:rPr>
              <w:t>in organov EU</w:t>
            </w:r>
            <w:r w:rsidRPr="0007707F">
              <w:t xml:space="preserve">, ki so pristojni za namene iz členov </w:t>
            </w:r>
            <w:r w:rsidRPr="0007707F">
              <w:rPr>
                <w:b/>
                <w:i/>
              </w:rPr>
              <w:t>6a in 6b, členov 15 do 22, člena 22g ter</w:t>
            </w:r>
            <w:r w:rsidRPr="0007707F">
              <w:t xml:space="preserve"> za nam</w:t>
            </w:r>
            <w:r w:rsidRPr="0007707F">
              <w:t xml:space="preserve">ene iz </w:t>
            </w:r>
            <w:r w:rsidRPr="0007707F">
              <w:rPr>
                <w:b/>
                <w:i/>
              </w:rPr>
              <w:t>členov</w:t>
            </w:r>
            <w:r w:rsidRPr="0007707F">
              <w:t xml:space="preserve"> 20 in 21 Uredbe </w:t>
            </w:r>
            <w:r w:rsidRPr="0007707F">
              <w:rPr>
                <w:b/>
                <w:i/>
              </w:rPr>
              <w:t>2019/817</w:t>
            </w:r>
            <w:r w:rsidRPr="0007707F">
              <w:t xml:space="preserve"> o interoperabilnosti.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w:t>
      </w:r>
      <w:r w:rsidRPr="0007707F">
        <w:rPr>
          <w:rStyle w:val="HideTWBExt"/>
          <w:noProof w:val="0"/>
        </w:rPr>
        <w:t>Article&gt;</w:t>
      </w:r>
      <w:r w:rsidRPr="0007707F">
        <w:t>Člen 2 – odstavek 1 – točka 2</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Členi 18 b, 18 c in 18 d</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rPr>
                <w:b/>
                <w:i/>
              </w:rPr>
              <w:t>[...]</w:t>
            </w:r>
          </w:p>
        </w:tc>
        <w:tc>
          <w:tcPr>
            <w:tcW w:w="4876" w:type="dxa"/>
          </w:tcPr>
          <w:p w:rsidR="00537AB8" w:rsidRPr="0007707F" w:rsidRDefault="000F612F">
            <w:pPr>
              <w:pStyle w:val="Normal6a"/>
            </w:pPr>
            <w:r w:rsidRPr="0007707F">
              <w:rPr>
                <w:b/>
                <w:i/>
              </w:rPr>
              <w:t>črtano</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Fabienne Keller, Ondřej Kovařík</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w:t>
      </w:r>
      <w:r w:rsidRPr="0007707F">
        <w:t xml:space="preserve"> točka 2</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18 b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 xml:space="preserve">Od začetka delovanja ETIAS, kot je določeno v členu 88(1) Uredbe (EU) 2018/1240, se „CS-VIS“ poveže z </w:t>
            </w:r>
            <w:r w:rsidRPr="0007707F">
              <w:rPr>
                <w:b/>
                <w:i/>
              </w:rPr>
              <w:t xml:space="preserve">orodjem </w:t>
            </w:r>
            <w:r w:rsidRPr="0007707F">
              <w:rPr>
                <w:b/>
                <w:i/>
              </w:rPr>
              <w:t>iz člena 11 Uredbe (EU) 2018/1240</w:t>
            </w:r>
            <w:r w:rsidRPr="0007707F">
              <w:t xml:space="preserve">, da se omogoči avtomatizirana obdelava iz </w:t>
            </w:r>
            <w:r w:rsidRPr="0007707F">
              <w:rPr>
                <w:b/>
                <w:i/>
              </w:rPr>
              <w:t>navedenega člena</w:t>
            </w:r>
            <w:r w:rsidRPr="0007707F">
              <w:t>.</w:t>
            </w:r>
          </w:p>
        </w:tc>
        <w:tc>
          <w:tcPr>
            <w:tcW w:w="4876" w:type="dxa"/>
          </w:tcPr>
          <w:p w:rsidR="00537AB8" w:rsidRPr="0007707F" w:rsidRDefault="000F612F">
            <w:pPr>
              <w:pStyle w:val="Normal6a"/>
            </w:pPr>
            <w:r w:rsidRPr="0007707F">
              <w:t>1.</w:t>
            </w:r>
            <w:r w:rsidRPr="0007707F">
              <w:tab/>
              <w:t xml:space="preserve">Od začetka delovanja ETIAS, kot je določeno v členu 88(1) Uredbe (EU) 2018/1240, se „CS-VIS“ poveže z </w:t>
            </w:r>
            <w:r w:rsidRPr="0007707F">
              <w:rPr>
                <w:b/>
                <w:i/>
              </w:rPr>
              <w:t>ESP</w:t>
            </w:r>
            <w:r w:rsidRPr="0007707F">
              <w:t xml:space="preserve">, da se omogoči avtomatizirana obdelava iz </w:t>
            </w:r>
            <w:r w:rsidRPr="0007707F">
              <w:rPr>
                <w:b/>
                <w:i/>
              </w:rPr>
              <w:t>člena 11 Ur</w:t>
            </w:r>
            <w:r w:rsidRPr="0007707F">
              <w:rPr>
                <w:b/>
                <w:i/>
              </w:rPr>
              <w:t>edbe (EU) 2018/1240</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Dragoş Tudorache, Michal Šimečka, Ramona Strugariu, Malik Azmani, Olivier Chastel, Fabienne Keller, Ondřej Kovařík</w:t>
      </w:r>
      <w:r w:rsidRPr="0007707F">
        <w:rPr>
          <w:rStyle w:val="HideTWBExt"/>
          <w:noProof w:val="0"/>
        </w:rPr>
        <w:t>&lt;/</w:t>
      </w:r>
      <w:r w:rsidRPr="0007707F">
        <w:rPr>
          <w:rStyle w:val="HideTWBExt"/>
          <w:noProof w:val="0"/>
        </w:rPr>
        <w: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2</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18 b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Avtomatizirana ob</w:t>
            </w:r>
            <w:r w:rsidRPr="0007707F">
              <w:t>delava iz člena 11 Uredbe (EU) 2018/1240 omogoča preverjanja v skladu s členom 20 navedene uredbe in nadaljnja preverjanja v skladu s členoma 22 in 26 navedene uredbe.</w:t>
            </w:r>
            <w:r w:rsidRPr="0007707F">
              <w:rPr>
                <w:b/>
                <w:i/>
              </w:rPr>
              <w:tab/>
              <w:t xml:space="preserve">  </w:t>
            </w:r>
            <w:r w:rsidRPr="0007707F">
              <w:t>Za namene preverjanj iz točke (i) člena 20(2) Uredbe (EU) 2018/1240 centralni sistem E</w:t>
            </w:r>
            <w:r w:rsidRPr="0007707F">
              <w:t xml:space="preserve">TIAS uporablja </w:t>
            </w:r>
            <w:r w:rsidRPr="0007707F">
              <w:rPr>
                <w:b/>
                <w:i/>
              </w:rPr>
              <w:t>orodje iz člena 11 navedene uredbe</w:t>
            </w:r>
            <w:r w:rsidRPr="0007707F">
              <w:t xml:space="preserve"> za primerjavo podatkov v ETIAS s podatki v VIS v skladu s členom 11(8) navedene uredbe, in sicer z uporabo korelacij iz tabele v Prilogi II.</w:t>
            </w:r>
          </w:p>
        </w:tc>
        <w:tc>
          <w:tcPr>
            <w:tcW w:w="4876" w:type="dxa"/>
          </w:tcPr>
          <w:p w:rsidR="00537AB8" w:rsidRPr="0007707F" w:rsidRDefault="000F612F">
            <w:pPr>
              <w:pStyle w:val="Normal6a"/>
            </w:pPr>
            <w:r w:rsidRPr="0007707F">
              <w:t>2.</w:t>
            </w:r>
            <w:r w:rsidRPr="0007707F">
              <w:tab/>
              <w:t>Avtomatizirana obdelava iz člena 11 Uredbe (EU) 2018/1240 omog</w:t>
            </w:r>
            <w:r w:rsidRPr="0007707F">
              <w:t>oča preverjanja v skladu s členom 20 navedene uredbe in nadaljnja preverjanja v skladu s členoma 22 in 26 navedene uredbe.</w:t>
            </w:r>
            <w:r w:rsidRPr="0007707F">
              <w:br/>
            </w:r>
            <w:r w:rsidRPr="0007707F">
              <w:br/>
              <w:t xml:space="preserve">Za namene preverjanj iz točke (i) člena 20(2) Uredbe (EU) 2018/1240 centralni sistem ETIAS uporablja </w:t>
            </w:r>
            <w:r w:rsidRPr="0007707F">
              <w:rPr>
                <w:b/>
                <w:i/>
              </w:rPr>
              <w:t>ESP</w:t>
            </w:r>
            <w:r w:rsidRPr="0007707F">
              <w:t xml:space="preserve"> za primerjavo podatkov v ET</w:t>
            </w:r>
            <w:r w:rsidRPr="0007707F">
              <w:t>IAS s podatki v VIS v skladu s členom 11(8) navedene uredbe, in sicer z uporabo korelacij iz tabele v Prilogi II.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 xml:space="preserve">Dragoş Tudorache, Michal </w:t>
      </w:r>
      <w:r w:rsidRPr="0007707F">
        <w:t>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2</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18 c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w:t>
            </w:r>
            <w:r w:rsidRPr="0007707F">
              <w:t xml:space="preserve"> ki so ji dodeljene z Uredbo (EU) 2018/1240, pravico do dostopa do ustreznih podatkov v VIS in do poizvedb v njem v skladu s členom 11(8) navedene uredbe.</w:t>
            </w:r>
          </w:p>
        </w:tc>
        <w:tc>
          <w:tcPr>
            <w:tcW w:w="4876" w:type="dxa"/>
          </w:tcPr>
          <w:p w:rsidR="00537AB8" w:rsidRPr="0007707F" w:rsidRDefault="000F612F">
            <w:pPr>
              <w:pStyle w:val="Normal6a"/>
            </w:pPr>
            <w:r w:rsidRPr="0007707F">
              <w:t>1.</w:t>
            </w:r>
            <w:r w:rsidRPr="0007707F">
              <w:tab/>
              <w:t xml:space="preserve">Centralna enota ETIAS, ustanovljena v okviru Evropske agencije za mejno in obalno stražo v skladu </w:t>
            </w:r>
            <w:r w:rsidRPr="0007707F">
              <w:t xml:space="preserve">s členom 7 Uredbe (EU) 2018/1240, ima za namene opravljanja nalog, ki so ji dodeljene z Uredbo (EU) 2018/1240, pravico do dostopa do ustreznih podatkov v VIS in do poizvedb v njem v </w:t>
            </w:r>
            <w:r w:rsidRPr="0007707F">
              <w:rPr>
                <w:b/>
                <w:i/>
              </w:rPr>
              <w:t>načinu „samo za branje“ v</w:t>
            </w:r>
            <w:r w:rsidRPr="0007707F">
              <w:t xml:space="preserve"> skladu s členom 11(8) navedene uredbe.</w:t>
            </w:r>
          </w:p>
        </w:tc>
      </w:tr>
    </w:tbl>
    <w:p w:rsidR="00537AB8" w:rsidRPr="0007707F" w:rsidRDefault="000F612F">
      <w:pPr>
        <w:pStyle w:val="AmOrLang"/>
      </w:pPr>
      <w:r w:rsidRPr="0007707F">
        <w:t xml:space="preserve">Or. </w:t>
      </w:r>
      <w:r w:rsidRPr="0007707F">
        <w:rPr>
          <w:rStyle w:val="HideTWBExt"/>
          <w:noProof w:val="0"/>
        </w:rPr>
        <w:t>&lt;Ori</w:t>
      </w:r>
      <w:r w:rsidRPr="0007707F">
        <w:rPr>
          <w:rStyle w:val="HideTWBExt"/>
          <w:noProof w:val="0"/>
        </w:rPr>
        <w:t>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118</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2</w:t>
      </w:r>
      <w:r w:rsidRPr="0007707F">
        <w:rPr>
          <w:rStyle w:val="HideTWBExt"/>
          <w:noProof w:val="0"/>
        </w:rPr>
        <w:t>&lt;/A</w:t>
      </w:r>
      <w:r w:rsidRPr="0007707F">
        <w:rPr>
          <w:rStyle w:val="HideTWBExt"/>
          <w:noProof w:val="0"/>
        </w:rPr>
        <w:t>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18 c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 xml:space="preserve">Centralna enota ETIAS, ustanovljena v okviru Evropske agencije za mejno in obalno stražo v skladu s členom 7 Uredbe (EU) </w:t>
            </w:r>
            <w:r w:rsidRPr="0007707F">
              <w:t>2018/1240, ima za namene opravljanja nalog, ki so ji dodeljene z Uredbo (EU) 2018/1240, pravico do dostopa do ustreznih podatkov v VIS in do poizvedb v njem v skladu s členom 11(8) navedene uredbe.</w:t>
            </w:r>
          </w:p>
        </w:tc>
        <w:tc>
          <w:tcPr>
            <w:tcW w:w="4876" w:type="dxa"/>
          </w:tcPr>
          <w:p w:rsidR="00537AB8" w:rsidRPr="0007707F" w:rsidRDefault="000F612F">
            <w:pPr>
              <w:pStyle w:val="Normal6a"/>
            </w:pPr>
            <w:r w:rsidRPr="0007707F">
              <w:t>1.</w:t>
            </w:r>
            <w:r w:rsidRPr="0007707F">
              <w:tab/>
              <w:t>Centralna enota ETIAS, ustanovljena v okviru Evropske a</w:t>
            </w:r>
            <w:r w:rsidRPr="0007707F">
              <w:t xml:space="preserve">gencije za mejno in obalno stražo v skladu s členom 7 Uredbe (EU) 2018/1240, ima za namene opravljanja nalog, ki so ji dodeljene z Uredbo (EU) 2018/1240, pravico do dostopa do ustreznih podatkov v VIS in do poizvedb v njem v </w:t>
            </w:r>
            <w:r w:rsidRPr="0007707F">
              <w:rPr>
                <w:b/>
                <w:i/>
              </w:rPr>
              <w:t>načinu „samo za branje“ v</w:t>
            </w:r>
            <w:r w:rsidRPr="0007707F">
              <w:t xml:space="preserve"> sklad</w:t>
            </w:r>
            <w:r w:rsidRPr="0007707F">
              <w:t>u s členom 11(8) navedene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119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w:t>
      </w:r>
      <w:r w:rsidRPr="0007707F">
        <w:rPr>
          <w:rStyle w:val="HideTWBExt"/>
          <w:noProof w:val="0"/>
        </w:rPr>
        <w: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2</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18 c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 xml:space="preserve">Centralna enota ETIAS, ustanovljena v okviru </w:t>
            </w:r>
            <w:r w:rsidRPr="0007707F">
              <w:t>Evropske agencije za mejno in obalno stražo v skladu s členom 7 Uredbe (EU) 2018/1240, ima za namene opravljanja nalog, ki so ji dodeljene z Uredbo (EU) 2018/1240, pravico do dostopa do ustreznih podatkov v VIS in do poizvedb v njem v skladu s členom 11(8)</w:t>
            </w:r>
            <w:r w:rsidRPr="0007707F">
              <w:t xml:space="preserve"> navedene uredbe.</w:t>
            </w:r>
          </w:p>
        </w:tc>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dodeljene z Uredbo (EU) 2018/1240, pravico do dostopa do ustr</w:t>
            </w:r>
            <w:r w:rsidRPr="0007707F">
              <w:t xml:space="preserve">eznih podatkov v VIS in do poizvedb v njem v </w:t>
            </w:r>
            <w:r w:rsidRPr="0007707F">
              <w:rPr>
                <w:b/>
                <w:i/>
              </w:rPr>
              <w:t>načinu „samo za branje“ v</w:t>
            </w:r>
            <w:r w:rsidRPr="0007707F">
              <w:t xml:space="preserve"> skladu s členom 11(8) navedene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120</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 xml:space="preserve">Dragoş Tudorache, Michal </w:t>
      </w:r>
      <w:r w:rsidRPr="0007707F">
        <w:t>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2</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w:t>
      </w:r>
      <w:r w:rsidRPr="0007707F">
        <w:t>len 18 d – odstavek 2</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2.</w:t>
            </w:r>
            <w:r w:rsidRPr="0007707F">
              <w:tab/>
              <w:t>Nacionalne enote ETIAS, imenovane v skladu s členom 8(1) Uredbe (EU) 2018/1240, imajo za namene obravnavanja prošenj za potovalno odobritev v skladu s členom 8(2) na</w:t>
            </w:r>
            <w:r w:rsidRPr="0007707F">
              <w:t xml:space="preserve">vedene uredbe dostop do VIS </w:t>
            </w:r>
            <w:r w:rsidRPr="0007707F">
              <w:rPr>
                <w:b/>
                <w:i/>
              </w:rPr>
              <w:t>in lahko vpogledajo vanj</w:t>
            </w:r>
            <w:r w:rsidRPr="0007707F">
              <w:t xml:space="preserve"> v načinu „samo za branje“. Nacionalne enote ETIAS lahko vpogledajo v podatke iz členov 9 do 14 te uredbe.</w:t>
            </w:r>
          </w:p>
        </w:tc>
        <w:tc>
          <w:tcPr>
            <w:tcW w:w="4876" w:type="dxa"/>
          </w:tcPr>
          <w:p w:rsidR="00537AB8" w:rsidRPr="0007707F" w:rsidRDefault="000F612F">
            <w:pPr>
              <w:pStyle w:val="Normal6a"/>
            </w:pPr>
            <w:r w:rsidRPr="0007707F">
              <w:t>2.</w:t>
            </w:r>
            <w:r w:rsidRPr="0007707F">
              <w:tab/>
              <w:t>Nacionalne enote ETIAS, imenovane v skladu s členom 8(1) Uredbe (EU) 2018/1240, imajo za namen</w:t>
            </w:r>
            <w:r w:rsidRPr="0007707F">
              <w:t xml:space="preserve">e obravnavanja prošenj za potovalno odobritev v skladu s členom 8(2) navedene uredbe </w:t>
            </w:r>
            <w:r w:rsidRPr="0007707F">
              <w:rPr>
                <w:b/>
                <w:i/>
              </w:rPr>
              <w:t>začasen</w:t>
            </w:r>
            <w:r w:rsidRPr="0007707F">
              <w:t xml:space="preserve"> dostop do VIS v načinu „samo za branje“. Nacionalne enote ETIAS lahko vpogledajo v podatke iz členov 9 do 14 te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3</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Člen 34 a</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rPr>
                <w:b/>
                <w:i/>
              </w:rPr>
              <w:t>(3)</w:t>
            </w:r>
            <w:r w:rsidRPr="0007707F">
              <w:tab/>
            </w:r>
            <w:r w:rsidRPr="0007707F">
              <w:rPr>
                <w:b/>
                <w:i/>
              </w:rPr>
              <w:t>vstavi se naslednji člen:</w:t>
            </w:r>
          </w:p>
        </w:tc>
        <w:tc>
          <w:tcPr>
            <w:tcW w:w="4876" w:type="dxa"/>
          </w:tcPr>
          <w:p w:rsidR="00537AB8" w:rsidRPr="0007707F" w:rsidRDefault="000F612F">
            <w:pPr>
              <w:pStyle w:val="Normal6a"/>
            </w:pPr>
            <w:r w:rsidRPr="0007707F">
              <w:rPr>
                <w:b/>
                <w:i/>
              </w:rPr>
              <w:t>črtano</w:t>
            </w:r>
          </w:p>
        </w:tc>
      </w:tr>
      <w:tr w:rsidR="00537AB8" w:rsidRPr="0007707F">
        <w:trPr>
          <w:jc w:val="center"/>
        </w:trPr>
        <w:tc>
          <w:tcPr>
            <w:tcW w:w="4876" w:type="dxa"/>
          </w:tcPr>
          <w:p w:rsidR="00537AB8" w:rsidRPr="0007707F" w:rsidRDefault="000F612F">
            <w:pPr>
              <w:pStyle w:val="Normal6a"/>
            </w:pPr>
            <w:r w:rsidRPr="0007707F">
              <w:rPr>
                <w:b/>
                <w:i/>
              </w:rPr>
              <w:t>„Člen 34a Vodenje dnevnikov</w:t>
            </w:r>
          </w:p>
        </w:tc>
        <w:tc>
          <w:tcPr>
            <w:tcW w:w="4876" w:type="dxa"/>
          </w:tcPr>
          <w:p w:rsidR="00537AB8" w:rsidRPr="0007707F" w:rsidRDefault="00537AB8">
            <w:pPr>
              <w:pStyle w:val="Normal6a"/>
            </w:pPr>
          </w:p>
        </w:tc>
      </w:tr>
      <w:tr w:rsidR="00537AB8" w:rsidRPr="0007707F">
        <w:trPr>
          <w:jc w:val="center"/>
        </w:trPr>
        <w:tc>
          <w:tcPr>
            <w:tcW w:w="4876" w:type="dxa"/>
          </w:tcPr>
          <w:p w:rsidR="00537AB8" w:rsidRPr="0007707F" w:rsidRDefault="000F612F">
            <w:pPr>
              <w:pStyle w:val="Normal6a"/>
            </w:pPr>
            <w:r w:rsidRPr="0007707F">
              <w:rPr>
                <w:b/>
                <w:i/>
              </w:rPr>
              <w:t xml:space="preserve">Za uporabo iz člena 18b te uredbe se v skladu s členom 34 te uredbe in členom 69 Uredbe (EU) 2018/1240 vodijo dnevniki vseh postopkov </w:t>
            </w:r>
            <w:r w:rsidRPr="0007707F">
              <w:rPr>
                <w:b/>
                <w:i/>
              </w:rPr>
              <w:t>obdelave podatkov, ki se izvedejo v okviru VIS in ETIAS.;“</w:t>
            </w:r>
          </w:p>
        </w:tc>
        <w:tc>
          <w:tcPr>
            <w:tcW w:w="4876" w:type="dxa"/>
          </w:tcPr>
          <w:p w:rsidR="00537AB8" w:rsidRPr="0007707F" w:rsidRDefault="00537AB8">
            <w:pPr>
              <w:pStyle w:val="Normal6a"/>
            </w:pP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122</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w:t>
      </w:r>
      <w:r w:rsidRPr="0007707F">
        <w:rPr>
          <w:rStyle w:val="HideTWBExt"/>
          <w:noProof w:val="0"/>
        </w:rPr>
        <w:t>mend&gt;</w:t>
      </w:r>
    </w:p>
    <w:p w:rsidR="00537AB8" w:rsidRPr="0007707F" w:rsidRDefault="000F612F">
      <w:pPr>
        <w:pStyle w:val="NormalBold"/>
      </w:pPr>
      <w:r w:rsidRPr="0007707F">
        <w:rPr>
          <w:rStyle w:val="HideTWBExt"/>
          <w:noProof w:val="0"/>
        </w:rPr>
        <w:t>&lt;Article&gt;</w:t>
      </w:r>
      <w:r w:rsidRPr="0007707F">
        <w:t>Člen 2 – odstavek 1 – točka 3 a (novo)</w:t>
      </w:r>
      <w:r w:rsidRPr="0007707F">
        <w:rPr>
          <w:rStyle w:val="HideTWBExt"/>
          <w:noProof w:val="0"/>
        </w:rPr>
        <w:t>&lt;/Article&gt;</w:t>
      </w:r>
    </w:p>
    <w:p w:rsidR="00537AB8" w:rsidRPr="0007707F" w:rsidRDefault="000F612F">
      <w:r w:rsidRPr="0007707F">
        <w:t>Uredba (ES) št. 767/2008 [VIS]</w:t>
      </w:r>
    </w:p>
    <w:p w:rsidR="00537AB8" w:rsidRPr="0007707F" w:rsidRDefault="000F612F">
      <w:r w:rsidRPr="0007707F">
        <w:rPr>
          <w:rStyle w:val="HideTWBExt"/>
          <w:noProof w:val="0"/>
        </w:rPr>
        <w:t>&lt;Article2&gt;</w:t>
      </w:r>
      <w:r w:rsidRPr="0007707F">
        <w:t>Člen 45 b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(3a)</w:t>
            </w:r>
            <w:r w:rsidRPr="0007707F">
              <w:tab/>
            </w:r>
            <w:r w:rsidRPr="0007707F">
              <w:rPr>
                <w:b/>
                <w:i/>
              </w:rPr>
              <w:t>Novi člen 45 ba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Center za pomoč prevoznikom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1.V okviru </w:t>
            </w:r>
            <w:r w:rsidRPr="0007707F">
              <w:rPr>
                <w:b/>
                <w:i/>
              </w:rPr>
              <w:t>centralne enote ETIAS se vzpostavi center za pomoč prevoznikom, ki prevoznikom pomaga pri izvajanju člena 45 Uredbe (EU) 2018/1240 [ETIAS], člena 13 Uredbe (EU) 2017/2226 [SVI] in člena 45b predloga COM(2018)0302 [VIS].</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2.Center za pomoč prevoznikom je </w:t>
            </w:r>
            <w:r w:rsidRPr="0007707F">
              <w:rPr>
                <w:b/>
                <w:i/>
              </w:rPr>
              <w:t>odgovoren za: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 vzpostavitev in vzdrževanje centralnega registra prevoznikov, ki prevažajo potnike v komercialne namene do zunanjih meja, v posvetovanju z državami članicami,</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(b) zagotavljanje operativne in tehnične podpore prevoznikom v zvezi s poiz</w:t>
            </w:r>
            <w:r w:rsidRPr="0007707F">
              <w:rPr>
                <w:b/>
                <w:i/>
              </w:rPr>
              <w:t>vedbami o potnikih v skladu s členom 45 Uredbe (EU) 2018/1240 [ETIAS], členom 13 Uredbe (EU) 2017/2226 [SVI] in členom 45b predloga COM(2018)0302 [VIS].</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3.Ustrezno pooblaščeno osebje centra za pomoč prevoznikom ima dostop do podatkovnih datotek, shranjen</w:t>
            </w:r>
            <w:r w:rsidRPr="0007707F">
              <w:rPr>
                <w:b/>
                <w:i/>
              </w:rPr>
              <w:t>ih v CIR, centralnem sistemu ETIAS, centralnem sistemu SVI in centralnem sistemu VIS za namene preverjanja statusa potnikov, da se zagotovi operativna podpora iz točke (b) odstavka 2.</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4.</w:t>
            </w:r>
            <w:r w:rsidRPr="0007707F">
              <w:t xml:space="preserve"> </w:t>
            </w:r>
            <w:r w:rsidRPr="0007707F">
              <w:rPr>
                <w:b/>
                <w:i/>
              </w:rPr>
              <w:t xml:space="preserve">Komisija z izvedbenim aktom določi pravila v zvezi z registracijo </w:t>
            </w:r>
            <w:r w:rsidRPr="0007707F">
              <w:rPr>
                <w:b/>
                <w:i/>
              </w:rPr>
              <w:t>prevoznikov iz točke (a) odstavka 2 ter z dostopom osebja centra za pomoč prevoznikom iz odstavka 3 do sistemov ETIAS, SVI in VIS.</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123</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Paulo Ran</w:t>
      </w:r>
      <w:r w:rsidRPr="0007707F">
        <w:t>gel</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2 – odstavek 1 – točka 4</w:t>
      </w:r>
      <w:r w:rsidRPr="0007707F">
        <w:rPr>
          <w:rStyle w:val="HideTWBExt"/>
          <w:noProof w:val="0"/>
        </w:rPr>
        <w:t>&lt;/Article&gt;</w:t>
      </w:r>
    </w:p>
    <w:p w:rsidR="00537AB8" w:rsidRPr="0007707F" w:rsidRDefault="000F612F">
      <w:r w:rsidRPr="0007707F">
        <w:t>Uredba (ES) št. 767/2008</w:t>
      </w:r>
    </w:p>
    <w:p w:rsidR="00537AB8" w:rsidRPr="0007707F" w:rsidRDefault="000F612F">
      <w:r w:rsidRPr="0007707F">
        <w:rPr>
          <w:rStyle w:val="HideTWBExt"/>
          <w:noProof w:val="0"/>
        </w:rPr>
        <w:t>&lt;Article2&gt;</w:t>
      </w:r>
      <w:r w:rsidRPr="0007707F">
        <w:t>Priloga</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rPr>
                <w:b/>
                <w:i/>
              </w:rPr>
              <w:t>(4)</w:t>
            </w:r>
            <w:r w:rsidRPr="0007707F">
              <w:tab/>
            </w:r>
            <w:r w:rsidRPr="0007707F">
              <w:rPr>
                <w:b/>
                <w:i/>
              </w:rPr>
              <w:t xml:space="preserve">priloga se oštevilči kot </w:t>
            </w:r>
            <w:r w:rsidRPr="0007707F">
              <w:rPr>
                <w:b/>
                <w:i/>
              </w:rPr>
              <w:t>Priloga I in doda se naslednja priloga:</w:t>
            </w:r>
          </w:p>
        </w:tc>
        <w:tc>
          <w:tcPr>
            <w:tcW w:w="4876" w:type="dxa"/>
          </w:tcPr>
          <w:p w:rsidR="00537AB8" w:rsidRPr="0007707F" w:rsidRDefault="000F612F">
            <w:pPr>
              <w:pStyle w:val="Normal6a"/>
            </w:pPr>
            <w:r w:rsidRPr="0007707F">
              <w:rPr>
                <w:b/>
                <w:i/>
              </w:rPr>
              <w:t>črtano</w:t>
            </w:r>
          </w:p>
        </w:tc>
      </w:tr>
      <w:tr w:rsidR="00537AB8" w:rsidRPr="0007707F">
        <w:trPr>
          <w:jc w:val="center"/>
        </w:trPr>
        <w:tc>
          <w:tcPr>
            <w:tcW w:w="4876" w:type="dxa"/>
          </w:tcPr>
          <w:p w:rsidR="00537AB8" w:rsidRPr="0007707F" w:rsidRDefault="000F612F">
            <w:pPr>
              <w:pStyle w:val="Normal6a"/>
            </w:pPr>
            <w:r w:rsidRPr="0007707F">
              <w:rPr>
                <w:b/>
                <w:i/>
              </w:rPr>
              <w:t>„Priloga II</w:t>
            </w:r>
          </w:p>
        </w:tc>
        <w:tc>
          <w:tcPr>
            <w:tcW w:w="4876" w:type="dxa"/>
          </w:tcPr>
          <w:p w:rsidR="00537AB8" w:rsidRPr="0007707F" w:rsidRDefault="00537AB8">
            <w:pPr>
              <w:pStyle w:val="Normal6a"/>
            </w:pPr>
          </w:p>
        </w:tc>
      </w:tr>
      <w:tr w:rsidR="00537AB8" w:rsidRPr="0007707F">
        <w:trPr>
          <w:jc w:val="center"/>
        </w:trPr>
        <w:tc>
          <w:tcPr>
            <w:tcW w:w="4876" w:type="dxa"/>
          </w:tcPr>
          <w:p w:rsidR="00537AB8" w:rsidRPr="0007707F" w:rsidRDefault="000F612F">
            <w:pPr>
              <w:pStyle w:val="Normal6a"/>
            </w:pPr>
            <w:r w:rsidRPr="0007707F">
              <w:rPr>
                <w:b/>
                <w:i/>
              </w:rPr>
              <w:t>Korelacijska tabela iz člena18b</w:t>
            </w:r>
          </w:p>
        </w:tc>
        <w:tc>
          <w:tcPr>
            <w:tcW w:w="4876" w:type="dxa"/>
          </w:tcPr>
          <w:p w:rsidR="00537AB8" w:rsidRPr="0007707F" w:rsidRDefault="00537AB8">
            <w:pPr>
              <w:pStyle w:val="Normal6a"/>
            </w:pPr>
          </w:p>
        </w:tc>
      </w:tr>
      <w:tr w:rsidR="00537AB8" w:rsidRPr="0007707F">
        <w:trPr>
          <w:jc w:val="center"/>
        </w:trPr>
        <w:tc>
          <w:tcPr>
            <w:tcW w:w="4876" w:type="dxa"/>
          </w:tcPr>
          <w:p w:rsidR="00537AB8" w:rsidRPr="0007707F" w:rsidRDefault="000F612F">
            <w:pPr>
              <w:pStyle w:val="Normal6a"/>
            </w:pPr>
            <w:r w:rsidRPr="0007707F">
              <w:rPr>
                <w:b/>
                <w:i/>
              </w:rPr>
              <w:t xml:space="preserve">Podatki iz člena 17(2) Uredbe (EU) 2018/1240, ki jih pošilja centralni sistem ETIASUstrezni podatki VIS iz člena 9(4) te uredbe, na podlagi katerih bi bilo </w:t>
            </w:r>
            <w:r w:rsidRPr="0007707F">
              <w:rPr>
                <w:b/>
                <w:i/>
              </w:rPr>
              <w:t>treba preveriti podatke ETIAS</w:t>
            </w:r>
          </w:p>
        </w:tc>
        <w:tc>
          <w:tcPr>
            <w:tcW w:w="4876" w:type="dxa"/>
          </w:tcPr>
          <w:p w:rsidR="00537AB8" w:rsidRPr="0007707F" w:rsidRDefault="00537AB8">
            <w:pPr>
              <w:pStyle w:val="Normal6a"/>
            </w:pP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w:t>
      </w:r>
      <w:r w:rsidRPr="0007707F">
        <w:t>vek 1 – točka 2</w:t>
      </w:r>
      <w:r w:rsidRPr="0007707F">
        <w:rPr>
          <w:rStyle w:val="HideTWBExt"/>
          <w:noProof w:val="0"/>
        </w:rPr>
        <w:t>&lt;/Article&gt;</w:t>
      </w:r>
    </w:p>
    <w:p w:rsidR="00537AB8" w:rsidRPr="0007707F" w:rsidRDefault="000F612F">
      <w:r w:rsidRPr="0007707F">
        <w:t>Uredba (EU) 2017/2226</w:t>
      </w:r>
    </w:p>
    <w:p w:rsidR="00537AB8" w:rsidRPr="0007707F" w:rsidRDefault="000F612F">
      <w:r w:rsidRPr="0007707F">
        <w:rPr>
          <w:rStyle w:val="HideTWBExt"/>
          <w:noProof w:val="0"/>
        </w:rPr>
        <w:t>&lt;Article2&gt;</w:t>
      </w:r>
      <w:r w:rsidRPr="0007707F">
        <w:t>Člen 8 a – odstavek 2 – uvodni del</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Kadar se oblikuje evidenca o vstopu/izstopu za državljana tretje države, ki je oproščen vizumske </w:t>
            </w:r>
            <w:r w:rsidRPr="0007707F">
              <w:t>obveznosti, avtomatizirani postopek centralnemu sistemu SVI omogoči:</w:t>
            </w:r>
          </w:p>
        </w:tc>
        <w:tc>
          <w:tcPr>
            <w:tcW w:w="4876" w:type="dxa"/>
          </w:tcPr>
          <w:p w:rsidR="00537AB8" w:rsidRPr="0007707F" w:rsidRDefault="000F612F">
            <w:pPr>
              <w:pStyle w:val="Normal6a"/>
            </w:pPr>
            <w:r w:rsidRPr="0007707F">
              <w:t xml:space="preserve">Kadar se oblikuje evidenca o vstopu/izstopu </w:t>
            </w:r>
            <w:r w:rsidRPr="0007707F">
              <w:rPr>
                <w:b/>
                <w:i/>
              </w:rPr>
              <w:t>ali evidenca o zavrnitvi vstopa</w:t>
            </w:r>
            <w:r w:rsidRPr="0007707F">
              <w:t xml:space="preserve"> za državljana tretje države, ki je oproščen vizumske obveznosti, avtomatizirani postopek centralnemu sistemu SV</w:t>
            </w:r>
            <w:r w:rsidRPr="0007707F">
              <w:t>I omogoči:</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125</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2</w:t>
      </w:r>
      <w:r w:rsidRPr="0007707F">
        <w:rPr>
          <w:rStyle w:val="HideTWBExt"/>
          <w:noProof w:val="0"/>
        </w:rPr>
        <w:t>&lt;/Art</w:t>
      </w:r>
      <w:r w:rsidRPr="0007707F">
        <w:rPr>
          <w:rStyle w:val="HideTWBExt"/>
          <w:noProof w:val="0"/>
        </w:rPr>
        <w:t>icle&gt;</w:t>
      </w:r>
    </w:p>
    <w:p w:rsidR="00537AB8" w:rsidRPr="0007707F" w:rsidRDefault="000F612F">
      <w:r w:rsidRPr="0007707F">
        <w:t>Uredba (EU) 2017/2226</w:t>
      </w:r>
    </w:p>
    <w:p w:rsidR="00537AB8" w:rsidRPr="0007707F" w:rsidRDefault="000F612F">
      <w:r w:rsidRPr="0007707F">
        <w:rPr>
          <w:rStyle w:val="HideTWBExt"/>
          <w:noProof w:val="0"/>
        </w:rPr>
        <w:t>&lt;Article2&gt;</w:t>
      </w:r>
      <w:r w:rsidRPr="0007707F">
        <w:t>Člen 8 a – odstavek 2 – točka b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(ba)</w:t>
            </w:r>
            <w:r w:rsidRPr="0007707F">
              <w:tab/>
            </w:r>
            <w:r w:rsidRPr="0007707F">
              <w:rPr>
                <w:b/>
                <w:i/>
              </w:rPr>
              <w:t>da v SVI posodobi evidenco o zavrnitvi vstopa v skladu s točko (b) člena 18(1) te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126</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Jorge Buxadé Villalba</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3 a (novo)</w:t>
      </w:r>
      <w:r w:rsidRPr="0007707F">
        <w:rPr>
          <w:rStyle w:val="HideTWBExt"/>
          <w:noProof w:val="0"/>
        </w:rPr>
        <w:t>&lt;/Article&gt;</w:t>
      </w:r>
    </w:p>
    <w:p w:rsidR="00537AB8" w:rsidRPr="0007707F" w:rsidRDefault="000F612F">
      <w:r w:rsidRPr="0007707F">
        <w:t>Uredba (EU)</w:t>
      </w:r>
      <w:r w:rsidRPr="0007707F">
        <w:t xml:space="preserve"> 2017/2226</w:t>
      </w:r>
    </w:p>
    <w:p w:rsidR="00537AB8" w:rsidRPr="0007707F" w:rsidRDefault="000F612F">
      <w:r w:rsidRPr="0007707F">
        <w:rPr>
          <w:rStyle w:val="HideTWBExt"/>
          <w:noProof w:val="0"/>
        </w:rPr>
        <w:t>&lt;Article2&gt;</w:t>
      </w:r>
      <w:r w:rsidRPr="0007707F">
        <w:t>Člen 13 a (novo)</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(3a)</w:t>
            </w:r>
            <w:r w:rsidRPr="0007707F">
              <w:tab/>
            </w:r>
            <w:r w:rsidRPr="0007707F">
              <w:rPr>
                <w:b/>
                <w:i/>
              </w:rPr>
              <w:t>Člen 13a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Center za pomoč prevoznikom</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1.V okviru centralne enote ETIAS se vzpostavi center za pomoč prevoznikom, ki prevoznikom pomaga pri </w:t>
            </w:r>
            <w:r w:rsidRPr="0007707F">
              <w:rPr>
                <w:b/>
                <w:i/>
              </w:rPr>
              <w:t>izvajanju člena 45 Uredbe (EU) 2018/1240 [ETIAS], člena 13 te uredbe in člena 45b predloga COM(2018)0302 [VIS].</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2.Center za pomoč prevoznikom je odgovoren za:</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(a) vzpostavitev in vzdrževanje centralnega registra prevoznikov, ki prevažajo potnike v kome</w:t>
            </w:r>
            <w:r w:rsidRPr="0007707F">
              <w:rPr>
                <w:b/>
                <w:i/>
              </w:rPr>
              <w:t>rcialne namene do zunanjih meja, v posvetovanju z državami članicami,</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 xml:space="preserve">(b) zagotavljanje operativne in tehnične podpore prevoznikom v zvezi s poizvedbami o potnikih v skladu s členom 45 Uredbe (EU) 2018/1240 [ETIAS], členom 13 Uredbe (EU) 2017/2226 [SVI] </w:t>
            </w:r>
            <w:r w:rsidRPr="0007707F">
              <w:rPr>
                <w:b/>
                <w:i/>
              </w:rPr>
              <w:t>in členom 45b predloga COM(2018)0302 [VIS].</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3.Ustrezno pooblaščeno osebje centra za pomoč prevoznikom ima dostop do podatkovnih datotek, shranjenih v CIR, centralnem sistemu ETIAS, centralnem sistemu SVI in centralnem sistemu VIS za namene preverjanja st</w:t>
            </w:r>
            <w:r w:rsidRPr="0007707F">
              <w:rPr>
                <w:b/>
                <w:i/>
              </w:rPr>
              <w:t>atusa potnikov, da se zagotovi operativna podpora iz točke (b) odstavka 2.</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6a"/>
            </w:pPr>
            <w:r w:rsidRPr="0007707F">
              <w:rPr>
                <w:b/>
                <w:i/>
              </w:rPr>
              <w:t>4. Komisija z izvedbenim aktom določi pravila v zvezi z registracijo prevoznikov iz točke (a) odstavka 2 ter z dostopom osebja centra za pomoč prevoznikom iz odstavka 3 do sistemo</w:t>
            </w:r>
            <w:r w:rsidRPr="0007707F">
              <w:rPr>
                <w:b/>
                <w:i/>
              </w:rPr>
              <w:t>v ETIAS, SVI in VIS.</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127</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5</w:t>
      </w:r>
      <w:r w:rsidRPr="0007707F">
        <w:rPr>
          <w:rStyle w:val="HideTWBExt"/>
          <w:noProof w:val="0"/>
        </w:rPr>
        <w:t>&lt;/</w:t>
      </w:r>
      <w:r w:rsidRPr="0007707F">
        <w:rPr>
          <w:rStyle w:val="HideTWBExt"/>
          <w:noProof w:val="0"/>
        </w:rPr>
        <w:t>Article&gt;</w:t>
      </w:r>
    </w:p>
    <w:p w:rsidR="00537AB8" w:rsidRPr="0007707F" w:rsidRDefault="000F612F">
      <w:r w:rsidRPr="0007707F">
        <w:t>Uredba (EU) 2017/2226</w:t>
      </w:r>
    </w:p>
    <w:p w:rsidR="00537AB8" w:rsidRPr="0007707F" w:rsidRDefault="000F612F">
      <w:r w:rsidRPr="0007707F">
        <w:rPr>
          <w:rStyle w:val="HideTWBExt"/>
          <w:noProof w:val="0"/>
        </w:rPr>
        <w:t>&lt;Article2&gt;</w:t>
      </w:r>
      <w:r w:rsidRPr="0007707F">
        <w:t>Člen 25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rPr>
                <w:b/>
                <w:i/>
              </w:rPr>
              <w:t>1.</w:t>
            </w:r>
            <w:r w:rsidRPr="0007707F">
              <w:tab/>
            </w:r>
            <w:r w:rsidRPr="0007707F">
              <w:rPr>
                <w:b/>
                <w:i/>
              </w:rPr>
              <w:t>Centralna enota ETIAS, ustanovljena v okviru Evropske agencije za mejno in obalno stražo v skladu s členom 7 Uredbe (EU) 20</w:t>
            </w:r>
            <w:r w:rsidRPr="0007707F">
              <w:rPr>
                <w:b/>
                <w:i/>
              </w:rPr>
              <w:t>18/1240, ima za namene opravljanja nalog, ki so ji dodeljene z Uredbo (EU) 2018/1240, pravico do dostopa do podatkov v SVI in do poizvedb v njem v skladu s členom 11(8) navedene uredbe.</w:t>
            </w:r>
          </w:p>
        </w:tc>
        <w:tc>
          <w:tcPr>
            <w:tcW w:w="4876" w:type="dxa"/>
          </w:tcPr>
          <w:p w:rsidR="00537AB8" w:rsidRPr="0007707F" w:rsidRDefault="000F612F">
            <w:pPr>
              <w:pStyle w:val="Normal6a"/>
            </w:pPr>
            <w:r w:rsidRPr="0007707F">
              <w:rPr>
                <w:b/>
                <w:i/>
              </w:rPr>
              <w:t>črtano</w:t>
            </w:r>
          </w:p>
        </w:tc>
      </w:tr>
      <w:tr w:rsidR="00537AB8" w:rsidRPr="0007707F">
        <w:trPr>
          <w:jc w:val="center"/>
        </w:trPr>
        <w:tc>
          <w:tcPr>
            <w:tcW w:w="4876" w:type="dxa"/>
          </w:tcPr>
          <w:p w:rsidR="00537AB8" w:rsidRPr="0007707F" w:rsidRDefault="00537AB8">
            <w:pPr>
              <w:pStyle w:val="Normal6a"/>
            </w:pPr>
          </w:p>
        </w:tc>
        <w:tc>
          <w:tcPr>
            <w:tcW w:w="4876" w:type="dxa"/>
          </w:tcPr>
          <w:p w:rsidR="00537AB8" w:rsidRPr="0007707F" w:rsidRDefault="000F612F">
            <w:pPr>
              <w:pStyle w:val="NormalItalic6a"/>
            </w:pPr>
            <w:r w:rsidRPr="0007707F">
              <w:t xml:space="preserve">(Ta predlog spremembe, s katerim se črta neposredni začasni dostop centralne ali nacionalnih enot do sistemov, za katere dostop prvotno ni bil predviden, se uporablja za vse ustrezne dele tega predloga). </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pPr>
        <w:pStyle w:val="AmJustTitle"/>
      </w:pPr>
      <w:r w:rsidRPr="0007707F">
        <w:rPr>
          <w:rStyle w:val="HideTWBExt"/>
          <w:noProof w:val="0"/>
        </w:rPr>
        <w:t>&lt;TitreJust&gt;</w:t>
      </w:r>
      <w:r w:rsidRPr="0007707F">
        <w:t>Obrazlo</w:t>
      </w:r>
      <w:r w:rsidRPr="0007707F">
        <w:t>žitev</w:t>
      </w:r>
      <w:r w:rsidRPr="0007707F">
        <w:rPr>
          <w:rStyle w:val="HideTWBExt"/>
          <w:noProof w:val="0"/>
        </w:rPr>
        <w:t>&lt;/TitreJust&gt;</w:t>
      </w:r>
    </w:p>
    <w:p w:rsidR="00537AB8" w:rsidRPr="0007707F" w:rsidRDefault="000F612F">
      <w:pPr>
        <w:pStyle w:val="AmJustText"/>
      </w:pPr>
      <w:r w:rsidRPr="0007707F">
        <w:t>Pravice dostopa do sistemov EU ureja prvotna zakonodaja, ki je vpostavila te sisteme. Glede na interoperabilnost sistemov je nevarna že sama tehnična možnost neposrednega dostopa, da bi omogočili neposredni dostop vseh organom in uporabni</w:t>
      </w:r>
      <w:r w:rsidRPr="0007707F">
        <w:t>kom v vseh sistemih. To bi prekoračilo vsa načela omejitve namena in sorazmernosti. Nasprotno bi moralo veljati, da v primeru zadetka v iskanju po določenem sistemu vsi organi, za katere prvotno ni bil predviden dostop do tega sistema, uporabijo normalen p</w:t>
      </w:r>
      <w:r w:rsidRPr="0007707F">
        <w:t>ostopek in zaprosijo za dostop do podatkov.</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128</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 xml:space="preserve">Dragoş Tudorache, Michal Šimečka, Ramona Strugariu, Malik Azmani, Olivier Chastel, Fabienne Keller, Ondřej Kovařík, Abir </w:t>
      </w:r>
      <w:r w:rsidRPr="0007707F">
        <w:t>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5</w:t>
      </w:r>
      <w:r w:rsidRPr="0007707F">
        <w:rPr>
          <w:rStyle w:val="HideTWBExt"/>
          <w:noProof w:val="0"/>
        </w:rPr>
        <w:t>&lt;/Article&gt;</w:t>
      </w:r>
    </w:p>
    <w:p w:rsidR="00537AB8" w:rsidRPr="0007707F" w:rsidRDefault="000F612F">
      <w:r w:rsidRPr="0007707F">
        <w:t>Uredba (EU) 2017/2226</w:t>
      </w:r>
    </w:p>
    <w:p w:rsidR="00537AB8" w:rsidRPr="0007707F" w:rsidRDefault="000F612F">
      <w:r w:rsidRPr="0007707F">
        <w:rPr>
          <w:rStyle w:val="HideTWBExt"/>
          <w:noProof w:val="0"/>
        </w:rPr>
        <w:t>&lt;Article2&gt;</w:t>
      </w:r>
      <w:r w:rsidRPr="0007707F">
        <w:t>Člen 25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r>
            <w:r w:rsidRPr="0007707F">
              <w:t>Centralna enota ETIAS, ustanovljena v okviru Evropske agencije za mejno in obalno stražo v skladu s členom 7 Uredbe (EU) 2018/1240, ima za namene opravljanja nalog, ki so ji dodeljene z Uredbo (EU) 2018/1240, pravico do dostopa do podatkov v SVI in do poiz</w:t>
            </w:r>
            <w:r w:rsidRPr="0007707F">
              <w:t>vedb v njem v skladu s členom 11(8) navedene uredbe.</w:t>
            </w:r>
          </w:p>
        </w:tc>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dodeljene z Uredbo (EU) 20</w:t>
            </w:r>
            <w:r w:rsidRPr="0007707F">
              <w:t xml:space="preserve">18/1240, pravico do dostopa do podatkov v SVI in do poizvedb v njem v </w:t>
            </w:r>
            <w:r w:rsidRPr="0007707F">
              <w:rPr>
                <w:b/>
                <w:i/>
              </w:rPr>
              <w:t>načinu „samo za branje“ v</w:t>
            </w:r>
            <w:r w:rsidRPr="0007707F">
              <w:t xml:space="preserve"> skladu s členom 11(8) navedene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129</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5</w:t>
      </w:r>
      <w:r w:rsidRPr="0007707F">
        <w:rPr>
          <w:rStyle w:val="HideTWBExt"/>
          <w:noProof w:val="0"/>
        </w:rPr>
        <w:t>&lt;/Article&gt;</w:t>
      </w:r>
    </w:p>
    <w:p w:rsidR="00537AB8" w:rsidRPr="0007707F" w:rsidRDefault="000F612F">
      <w:r w:rsidRPr="0007707F">
        <w:t>Uredba (EU) 2017/2226</w:t>
      </w:r>
    </w:p>
    <w:p w:rsidR="00537AB8" w:rsidRPr="0007707F" w:rsidRDefault="000F612F">
      <w:r w:rsidRPr="0007707F">
        <w:rPr>
          <w:rStyle w:val="HideTWBExt"/>
          <w:noProof w:val="0"/>
        </w:rPr>
        <w:t>&lt;Article2&gt;</w:t>
      </w:r>
      <w:r w:rsidRPr="0007707F">
        <w:t>Člen 25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dodeljene z Uredbo (EU) 2018/1240, pravico do dostopa do pod</w:t>
            </w:r>
            <w:r w:rsidRPr="0007707F">
              <w:t>atkov v SVI in do poizvedb v njem v skladu s členom 11(8) navedene uredbe.</w:t>
            </w:r>
          </w:p>
        </w:tc>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dode</w:t>
            </w:r>
            <w:r w:rsidRPr="0007707F">
              <w:t xml:space="preserve">ljene z Uredbo (EU) 2018/1240, pravico do dostopa do podatkov v SVI in do poizvedb v njem v </w:t>
            </w:r>
            <w:r w:rsidRPr="0007707F">
              <w:rPr>
                <w:b/>
                <w:i/>
              </w:rPr>
              <w:t>načinu „samo za branje“ v</w:t>
            </w:r>
            <w:r w:rsidRPr="0007707F">
              <w:t xml:space="preserve"> skladu s členom 11(8) navedene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130</w:t>
      </w:r>
      <w:r w:rsidRPr="0007707F">
        <w:rPr>
          <w:rStyle w:val="HideTWBExt"/>
          <w:noProof w:val="0"/>
        </w:rPr>
        <w:t>&lt;/NumAmB&gt;</w:t>
      </w:r>
    </w:p>
    <w:p w:rsidR="00537AB8" w:rsidRPr="0007707F" w:rsidRDefault="000F612F">
      <w:pPr>
        <w:pStyle w:val="NormalBold"/>
      </w:pPr>
      <w:r w:rsidRPr="0007707F">
        <w:rPr>
          <w:rStyle w:val="HideTWBExt"/>
          <w:noProof w:val="0"/>
        </w:rPr>
        <w:t>&lt;</w:t>
      </w:r>
      <w:r w:rsidRPr="0007707F">
        <w:rPr>
          <w:rStyle w:val="HideTWBExt"/>
          <w:noProof w:val="0"/>
        </w:rPr>
        <w: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5</w:t>
      </w:r>
      <w:r w:rsidRPr="0007707F">
        <w:rPr>
          <w:rStyle w:val="HideTWBExt"/>
          <w:noProof w:val="0"/>
        </w:rPr>
        <w:t>&lt;/Article&gt;</w:t>
      </w:r>
    </w:p>
    <w:p w:rsidR="00537AB8" w:rsidRPr="0007707F" w:rsidRDefault="000F612F">
      <w:r w:rsidRPr="0007707F">
        <w:t>Uredba (EU) 2017/2226</w:t>
      </w:r>
    </w:p>
    <w:p w:rsidR="00537AB8" w:rsidRPr="0007707F" w:rsidRDefault="000F612F">
      <w:r w:rsidRPr="0007707F">
        <w:rPr>
          <w:rStyle w:val="HideTWBExt"/>
          <w:noProof w:val="0"/>
        </w:rPr>
        <w:t>&lt;Article2&gt;</w:t>
      </w:r>
      <w:r w:rsidRPr="0007707F">
        <w:t xml:space="preserve">Člen 25 a – </w:t>
      </w:r>
      <w:r w:rsidRPr="0007707F">
        <w:t>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w:t>
            </w:r>
            <w:r w:rsidRPr="0007707F">
              <w:t>deljene z Uredbo (EU) 2018/1240, pravico do dostopa do podatkov v SVI in do poizvedb v njem v skladu s členom 11(8) navedene uredbe.</w:t>
            </w:r>
          </w:p>
        </w:tc>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w:t>
            </w:r>
            <w:r w:rsidRPr="0007707F">
              <w:t xml:space="preserve"> 2018/1240, ima za namene opravljanja nalog, ki so ji dodeljene z Uredbo (EU) 2018/1240, pravico do dostopa do podatkov v SVI in do poizvedb v njem v </w:t>
            </w:r>
            <w:r w:rsidRPr="0007707F">
              <w:rPr>
                <w:b/>
                <w:i/>
              </w:rPr>
              <w:t>načinu „samo za branje“ v</w:t>
            </w:r>
            <w:r w:rsidRPr="0007707F">
              <w:t xml:space="preserve"> skladu s členom 11(8) navedene uredbe.</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w:t>
      </w:r>
      <w:r w:rsidRPr="0007707F">
        <w:rPr>
          <w:rStyle w:val="HideTWBExt"/>
          <w:noProof w:val="0"/>
        </w:rPr>
        <w:t>&gt;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131</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3 – odstavek 1 – točka 6</w:t>
      </w:r>
      <w:r w:rsidRPr="0007707F">
        <w:rPr>
          <w:rStyle w:val="HideTWBExt"/>
          <w:noProof w:val="0"/>
        </w:rPr>
        <w:t>&lt;/Article&gt;</w:t>
      </w:r>
    </w:p>
    <w:p w:rsidR="00537AB8" w:rsidRPr="0007707F" w:rsidRDefault="000F612F">
      <w:r w:rsidRPr="0007707F">
        <w:t>Uredba (EU) 2017/2226</w:t>
      </w:r>
    </w:p>
    <w:p w:rsidR="00537AB8" w:rsidRPr="0007707F" w:rsidRDefault="000F612F">
      <w:r w:rsidRPr="0007707F">
        <w:rPr>
          <w:rStyle w:val="HideTWBExt"/>
          <w:noProof w:val="0"/>
        </w:rPr>
        <w:t>&lt;</w:t>
      </w:r>
      <w:r w:rsidRPr="0007707F">
        <w:rPr>
          <w:rStyle w:val="HideTWBExt"/>
          <w:noProof w:val="0"/>
        </w:rPr>
        <w:t>Article2&gt;</w:t>
      </w:r>
      <w:r w:rsidRPr="0007707F">
        <w:t>Člen 28</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 xml:space="preserve">Podatki, pridobljeni iz SVI v skladu s členi 24, 25, 26 in 27, se lahko hranijo v nacionalnih dokumentacijah, podatki, pridobljeni iz SVI v skladu s členom 25a, pa se lahko </w:t>
            </w:r>
            <w:r w:rsidRPr="0007707F">
              <w:t>hranijo v dosjejih prosilcev v ETIAS samo, če je to potrebno v posameznem primeru, v skladu z namenom, za katerega so bili pridobljeni, in z ustreznimi predpisi Unije, zlasti s tistimi o varstvu podatkov, in ne dlje, kot je nujno potrebno v posameznem prim</w:t>
            </w:r>
            <w:r w:rsidRPr="0007707F">
              <w:t>eru.;</w:t>
            </w:r>
          </w:p>
        </w:tc>
        <w:tc>
          <w:tcPr>
            <w:tcW w:w="4876" w:type="dxa"/>
          </w:tcPr>
          <w:p w:rsidR="00537AB8" w:rsidRPr="0007707F" w:rsidRDefault="000F612F">
            <w:pPr>
              <w:pStyle w:val="Normal6a"/>
            </w:pPr>
            <w:r w:rsidRPr="0007707F">
              <w:t>Podatki, pridobljeni iz SVI v skladu s členi 24, 25, 26 in 27, se lahko hranijo v nacionalnih dokumentacijah, podatki, pridobljeni iz SVI v skladu s členom 25a, pa se lahko hranijo v dosjejih prosilcev v ETIAS samo, če je to potrebno v posameznem pri</w:t>
            </w:r>
            <w:r w:rsidRPr="0007707F">
              <w:t xml:space="preserve">meru, v skladu z namenom, za katerega so bili pridobljeni, in </w:t>
            </w:r>
            <w:r w:rsidRPr="0007707F">
              <w:rPr>
                <w:b/>
                <w:i/>
              </w:rPr>
              <w:t>v skladu</w:t>
            </w:r>
            <w:r w:rsidRPr="0007707F">
              <w:t xml:space="preserve"> z ustreznimi predpisi Unije, zlasti s tistimi o varstvu podatkov, in ne dlje, kot je nujno potrebno v posameznem primeru.;</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 xml:space="preserve">Predlog </w:t>
      </w:r>
      <w:r w:rsidRPr="0007707F">
        <w:t>spremembe</w:t>
      </w:r>
      <w:r w:rsidRPr="0007707F">
        <w:tab/>
      </w:r>
      <w:r w:rsidRPr="0007707F">
        <w:tab/>
      </w:r>
      <w:r w:rsidRPr="0007707F">
        <w:rPr>
          <w:rStyle w:val="HideTWBExt"/>
          <w:noProof w:val="0"/>
        </w:rPr>
        <w:t>&lt;NumAmB&gt;</w:t>
      </w:r>
      <w:r w:rsidRPr="0007707F">
        <w:t>132</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Cornelia Ernst</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4 – odstavek 1 – točka 3</w:t>
      </w:r>
      <w:r w:rsidRPr="0007707F">
        <w:rPr>
          <w:rStyle w:val="HideTWBExt"/>
          <w:noProof w:val="0"/>
        </w:rPr>
        <w:t>&lt;/Article&gt;</w:t>
      </w:r>
    </w:p>
    <w:p w:rsidR="00537AB8" w:rsidRPr="0007707F" w:rsidRDefault="000F612F">
      <w:r w:rsidRPr="0007707F">
        <w:t>Uredba (EU) 2018/1861</w:t>
      </w:r>
    </w:p>
    <w:p w:rsidR="00537AB8" w:rsidRPr="0007707F" w:rsidRDefault="000F612F">
      <w:r w:rsidRPr="0007707F">
        <w:rPr>
          <w:rStyle w:val="HideTWBExt"/>
          <w:noProof w:val="0"/>
        </w:rPr>
        <w:t>&lt;Article2&gt;</w:t>
      </w:r>
      <w:r w:rsidRPr="0007707F">
        <w:t>Člen 36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w:t>
            </w:r>
            <w:r w:rsidRPr="0007707F">
              <w:t>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rPr>
                <w:b/>
                <w:i/>
              </w:rPr>
              <w:t>1.</w:t>
            </w:r>
            <w:r w:rsidRPr="0007707F">
              <w:tab/>
            </w:r>
            <w:r w:rsidRPr="0007707F">
              <w:rPr>
                <w:b/>
                <w:i/>
              </w:rPr>
              <w:t xml:space="preserve">Centralna enota ETIAS, ustanovljena v okviru Evropske agencije za mejno in obalno stražo v skladu s členom 7 Uredbe (EU) 2018/1240, ima za namene opravljanja nalog, ki so ji dodeljene z Uredbo (EU) </w:t>
            </w:r>
            <w:r w:rsidRPr="0007707F">
              <w:rPr>
                <w:b/>
                <w:i/>
              </w:rPr>
              <w:t>2018/1240, pravico do dostopa do ustreznih podatkov, vnesenih v SIS, in iskanja po njih. Za ta dostop in iskanje se uporabljajo določbe člena 36(4)–(8).</w:t>
            </w:r>
          </w:p>
        </w:tc>
        <w:tc>
          <w:tcPr>
            <w:tcW w:w="4876" w:type="dxa"/>
          </w:tcPr>
          <w:p w:rsidR="00537AB8" w:rsidRPr="0007707F" w:rsidRDefault="000F612F">
            <w:pPr>
              <w:pStyle w:val="Normal6a"/>
            </w:pPr>
            <w:r w:rsidRPr="0007707F">
              <w:rPr>
                <w:b/>
                <w:i/>
              </w:rPr>
              <w:t>črtano</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133</w:t>
      </w:r>
      <w:r w:rsidRPr="0007707F">
        <w:rPr>
          <w:rStyle w:val="HideTWBExt"/>
          <w:noProof w:val="0"/>
        </w:rPr>
        <w:t>&lt;/NumAmB&gt;</w:t>
      </w:r>
    </w:p>
    <w:p w:rsidR="00537AB8" w:rsidRPr="0007707F" w:rsidRDefault="000F612F">
      <w:pPr>
        <w:pStyle w:val="NormalBold"/>
      </w:pPr>
      <w:r w:rsidRPr="0007707F">
        <w:rPr>
          <w:rStyle w:val="HideTWBExt"/>
          <w:noProof w:val="0"/>
        </w:rPr>
        <w:t>&lt;Repe</w:t>
      </w:r>
      <w:r w:rsidRPr="0007707F">
        <w:rPr>
          <w:rStyle w:val="HideTWBExt"/>
          <w:noProof w:val="0"/>
        </w:rPr>
        <w:t>atBlock-By&gt;&lt;Members&gt;</w:t>
      </w:r>
      <w:r w:rsidR="0007707F" w:rsidRPr="0007707F">
        <w:t>Peter Vitanov (Petar Vitanov)</w:t>
      </w:r>
      <w:r w:rsidRPr="0007707F">
        <w:t>, Isabel Santos, Maria Grapini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4 – odstavek 1 – točka 3</w:t>
      </w:r>
      <w:r w:rsidRPr="0007707F">
        <w:rPr>
          <w:rStyle w:val="HideTWBExt"/>
          <w:noProof w:val="0"/>
        </w:rPr>
        <w:t>&lt;/Article&gt;</w:t>
      </w:r>
    </w:p>
    <w:p w:rsidR="00537AB8" w:rsidRPr="0007707F" w:rsidRDefault="000F612F">
      <w:r w:rsidRPr="0007707F">
        <w:t>Uredba (EU) 2018/1861</w:t>
      </w:r>
    </w:p>
    <w:p w:rsidR="00537AB8" w:rsidRPr="0007707F" w:rsidRDefault="000F612F">
      <w:r w:rsidRPr="0007707F">
        <w:rPr>
          <w:rStyle w:val="HideTWBExt"/>
          <w:noProof w:val="0"/>
        </w:rPr>
        <w:t>&lt;Article2&gt;</w:t>
      </w:r>
      <w:r w:rsidRPr="0007707F">
        <w:t>Člen 36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 xml:space="preserve">Besedilo, </w:t>
            </w:r>
            <w:r w:rsidRPr="0007707F">
              <w:t>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dodeljene z Uredbo (EU) 2018/1240, p</w:t>
            </w:r>
            <w:r w:rsidRPr="0007707F">
              <w:t>ravico do dostopa do ustreznih podatkov, vnesenih v SIS, in iskanja po njih. Za ta dostop in iskanje se uporabljajo določbe člena 36(4)–(8).</w:t>
            </w:r>
          </w:p>
        </w:tc>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w:t>
            </w:r>
            <w:r w:rsidRPr="0007707F">
              <w:t xml:space="preserve">dbe (EU) 2018/1240, ima za namene opravljanja nalog, ki so ji dodeljene z Uredbo (EU) 2018/1240, pravico do dostopa do ustreznih podatkov, vnesenih v SIS, in iskanja po njih </w:t>
            </w:r>
            <w:r w:rsidRPr="0007707F">
              <w:rPr>
                <w:b/>
                <w:i/>
              </w:rPr>
              <w:t>v načinu „samo za branje“</w:t>
            </w:r>
            <w:r w:rsidRPr="0007707F">
              <w:t>. Za ta dostop in iskanje se uporabljajo določbe člena 36</w:t>
            </w:r>
            <w:r w:rsidRPr="0007707F">
              <w:t>(4)–(8).</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134</w:t>
      </w:r>
      <w:r w:rsidRPr="0007707F">
        <w:rPr>
          <w:rStyle w:val="HideTWBExt"/>
          <w:noProof w:val="0"/>
        </w:rPr>
        <w:t>&lt;/NumAmB&gt;</w:t>
      </w:r>
    </w:p>
    <w:p w:rsidR="00537AB8" w:rsidRPr="0007707F" w:rsidRDefault="000F612F">
      <w:pPr>
        <w:pStyle w:val="NormalBold"/>
      </w:pPr>
      <w:r w:rsidRPr="0007707F">
        <w:rPr>
          <w:rStyle w:val="HideTWBExt"/>
          <w:noProof w:val="0"/>
        </w:rPr>
        <w:t>&lt;RepeatBlock-By&gt;&lt;Members&gt;</w:t>
      </w:r>
      <w:r w:rsidRPr="0007707F">
        <w:t>Patrick Breyer</w:t>
      </w:r>
      <w:r w:rsidRPr="0007707F">
        <w:rPr>
          <w:rStyle w:val="HideTWBExt"/>
          <w:noProof w:val="0"/>
        </w:rPr>
        <w:t>&lt;/Members&gt;</w:t>
      </w:r>
    </w:p>
    <w:p w:rsidR="00537AB8" w:rsidRPr="0007707F" w:rsidRDefault="000F612F">
      <w:r w:rsidRPr="0007707F">
        <w:rPr>
          <w:rStyle w:val="HideTWBExt"/>
          <w:noProof w:val="0"/>
        </w:rPr>
        <w:t>&lt;AuNomDe&gt;</w:t>
      </w:r>
      <w:r w:rsidRPr="0007707F">
        <w:rPr>
          <w:rStyle w:val="HideTWBInt"/>
        </w:rPr>
        <w:t>{Greens/EFA}</w:t>
      </w:r>
      <w:r w:rsidRPr="0007707F">
        <w:t>v imenu skupine Verts/ALE</w:t>
      </w:r>
      <w:r w:rsidRPr="0007707F">
        <w:rPr>
          <w:rStyle w:val="HideTWBExt"/>
          <w:noProof w:val="0"/>
        </w:rPr>
        <w:t>&lt;/AuNomDe&gt;</w:t>
      </w:r>
    </w:p>
    <w:p w:rsidR="00537AB8" w:rsidRPr="0007707F" w:rsidRDefault="000F612F">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w:t>
      </w:r>
      <w:r w:rsidRPr="0007707F">
        <w:rPr>
          <w:rStyle w:val="HideTWBExt"/>
          <w:noProof w:val="0"/>
        </w:rPr>
        <w:t>DocAmend&gt;</w:t>
      </w:r>
    </w:p>
    <w:p w:rsidR="00537AB8" w:rsidRPr="0007707F" w:rsidRDefault="000F612F">
      <w:pPr>
        <w:pStyle w:val="NormalBold"/>
      </w:pPr>
      <w:r w:rsidRPr="0007707F">
        <w:rPr>
          <w:rStyle w:val="HideTWBExt"/>
          <w:noProof w:val="0"/>
        </w:rPr>
        <w:t>&lt;Article&gt;</w:t>
      </w:r>
      <w:r w:rsidRPr="0007707F">
        <w:t>Člen 4 – odstavek 1 – točka 3</w:t>
      </w:r>
      <w:r w:rsidRPr="0007707F">
        <w:rPr>
          <w:rStyle w:val="HideTWBExt"/>
          <w:noProof w:val="0"/>
        </w:rPr>
        <w:t>&lt;/Article&gt;</w:t>
      </w:r>
    </w:p>
    <w:p w:rsidR="00537AB8" w:rsidRPr="0007707F" w:rsidRDefault="000F612F">
      <w:r w:rsidRPr="0007707F">
        <w:t>Uredba (EU) 2018/1861</w:t>
      </w:r>
    </w:p>
    <w:p w:rsidR="00537AB8" w:rsidRPr="0007707F" w:rsidRDefault="000F612F">
      <w:r w:rsidRPr="0007707F">
        <w:rPr>
          <w:rStyle w:val="HideTWBExt"/>
          <w:noProof w:val="0"/>
        </w:rPr>
        <w:t>&lt;Article2&gt;</w:t>
      </w:r>
      <w:r w:rsidRPr="0007707F">
        <w:t>Člen 36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t xml:space="preserve">Centralna enota ETIAS, ustanovljena v okviru Evropske agencije za mejno </w:t>
            </w:r>
            <w:r w:rsidRPr="0007707F">
              <w:t>in obalno stražo v skladu s členom 7 Uredbe (EU) 2018/1240, ima za namene opravljanja nalog, ki so ji dodeljene z Uredbo (EU) 2018/1240, pravico do dostopa do ustreznih podatkov, vnesenih v SIS, in iskanja po njih. Za ta dostop in iskanje se uporabljajo do</w:t>
            </w:r>
            <w:r w:rsidRPr="0007707F">
              <w:t>ločbe člena 36(4)–(8).</w:t>
            </w:r>
          </w:p>
        </w:tc>
        <w:tc>
          <w:tcPr>
            <w:tcW w:w="4876" w:type="dxa"/>
          </w:tcPr>
          <w:p w:rsidR="00537AB8" w:rsidRPr="0007707F" w:rsidRDefault="000F612F">
            <w:pPr>
              <w:pStyle w:val="Normal6a"/>
            </w:pPr>
            <w:r w:rsidRPr="0007707F">
              <w:t>1.</w:t>
            </w:r>
            <w:r w:rsidRPr="0007707F">
              <w:tab/>
              <w:t>Centralna enota ETIAS, ustanovljena v okviru Evropske agencije za mejno in obalno stražo v skladu s členom 7 Uredbe (EU) 2018/1240, ima za namene opravljanja nalog, ki so ji dodeljene z Uredbo (EU) 2018/1240, pravico do dostopa do</w:t>
            </w:r>
            <w:r w:rsidRPr="0007707F">
              <w:t xml:space="preserve"> ustreznih podatkov, vnesenih v SIS, in iskanja po njih </w:t>
            </w:r>
            <w:r w:rsidRPr="0007707F">
              <w:rPr>
                <w:b/>
                <w:i/>
              </w:rPr>
              <w:t>v načinu „samo za branje“</w:t>
            </w:r>
            <w:r w:rsidRPr="0007707F">
              <w:t>. Za ta dostop in iskanje se uporabljajo določbe člena 36(4)–(8).</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&lt;/Original&gt;</w:t>
      </w:r>
    </w:p>
    <w:p w:rsidR="00537AB8" w:rsidRPr="0007707F" w:rsidRDefault="000F612F">
      <w:r w:rsidRPr="0007707F">
        <w:rPr>
          <w:rStyle w:val="HideTWBExt"/>
          <w:noProof w:val="0"/>
        </w:rPr>
        <w:t>&lt;/AmendB&gt;</w:t>
      </w:r>
    </w:p>
    <w:p w:rsidR="00537AB8" w:rsidRPr="0007707F" w:rsidRDefault="000F612F">
      <w:pPr>
        <w:pStyle w:val="AmNumberTabs"/>
      </w:pPr>
      <w:r w:rsidRPr="0007707F">
        <w:rPr>
          <w:rStyle w:val="HideTWBExt"/>
          <w:noProof w:val="0"/>
        </w:rPr>
        <w:t>&lt;AmendB&gt;</w:t>
      </w:r>
      <w:r w:rsidRPr="0007707F">
        <w:t>Predlog spremembe</w:t>
      </w:r>
      <w:r w:rsidRPr="0007707F">
        <w:tab/>
      </w:r>
      <w:r w:rsidRPr="0007707F">
        <w:tab/>
      </w:r>
      <w:r w:rsidRPr="0007707F">
        <w:rPr>
          <w:rStyle w:val="HideTWBExt"/>
          <w:noProof w:val="0"/>
        </w:rPr>
        <w:t>&lt;NumAmB&gt;</w:t>
      </w:r>
      <w:r w:rsidRPr="0007707F">
        <w:t>135</w:t>
      </w:r>
      <w:r w:rsidRPr="0007707F">
        <w:rPr>
          <w:rStyle w:val="HideTWBExt"/>
          <w:noProof w:val="0"/>
        </w:rPr>
        <w:t>&lt;/NumAmB&gt;</w:t>
      </w:r>
    </w:p>
    <w:p w:rsidR="00537AB8" w:rsidRPr="0007707F" w:rsidRDefault="000F612F">
      <w:pPr>
        <w:pStyle w:val="NormalBold"/>
      </w:pPr>
      <w:r w:rsidRPr="0007707F">
        <w:rPr>
          <w:rStyle w:val="HideTWBExt"/>
          <w:noProof w:val="0"/>
        </w:rPr>
        <w:t>&lt;RepeatBlock-By&gt;&lt;</w:t>
      </w:r>
      <w:r w:rsidRPr="0007707F">
        <w:rPr>
          <w:rStyle w:val="HideTWBExt"/>
          <w:noProof w:val="0"/>
        </w:rPr>
        <w:t>Members&gt;</w:t>
      </w:r>
      <w:r w:rsidRPr="0007707F">
        <w:t>Dragoş Tudorache, Michal Šimečka, Ramona Strugariu, Malik Azmani, Olivier Chastel, Fabienne Keller, Ondřej Kovařík, Abir Al-Sahlani</w:t>
      </w:r>
      <w:r w:rsidRPr="0007707F">
        <w:rPr>
          <w:rStyle w:val="HideTWBExt"/>
          <w:noProof w:val="0"/>
        </w:rPr>
        <w:t>&lt;/Members&gt;</w:t>
      </w:r>
    </w:p>
    <w:p w:rsidR="00537AB8" w:rsidRPr="0007707F" w:rsidRDefault="000F612F">
      <w:pPr>
        <w:pStyle w:val="NormalBold"/>
      </w:pPr>
      <w:r w:rsidRPr="0007707F">
        <w:rPr>
          <w:rStyle w:val="HideTWBExt"/>
          <w:noProof w:val="0"/>
        </w:rPr>
        <w:t>&lt;/RepeatBlock-By&gt;</w:t>
      </w:r>
    </w:p>
    <w:p w:rsidR="00537AB8" w:rsidRPr="0007707F" w:rsidRDefault="000F612F">
      <w:pPr>
        <w:pStyle w:val="NormalBold"/>
      </w:pPr>
      <w:r w:rsidRPr="0007707F">
        <w:rPr>
          <w:rStyle w:val="HideTWBExt"/>
          <w:noProof w:val="0"/>
        </w:rPr>
        <w:t>&lt;DocAmend&gt;</w:t>
      </w:r>
      <w:r w:rsidRPr="0007707F">
        <w:t>Predlog uredbe</w:t>
      </w:r>
      <w:r w:rsidRPr="0007707F">
        <w:rPr>
          <w:rStyle w:val="HideTWBExt"/>
          <w:noProof w:val="0"/>
        </w:rPr>
        <w:t>&lt;/DocAmend&gt;</w:t>
      </w:r>
    </w:p>
    <w:p w:rsidR="00537AB8" w:rsidRPr="0007707F" w:rsidRDefault="000F612F">
      <w:pPr>
        <w:pStyle w:val="NormalBold"/>
      </w:pPr>
      <w:r w:rsidRPr="0007707F">
        <w:rPr>
          <w:rStyle w:val="HideTWBExt"/>
          <w:noProof w:val="0"/>
        </w:rPr>
        <w:t>&lt;Article&gt;</w:t>
      </w:r>
      <w:r w:rsidRPr="0007707F">
        <w:t>Člen 4 – odstavek 1 – točka 3</w:t>
      </w:r>
      <w:r w:rsidRPr="0007707F">
        <w:rPr>
          <w:rStyle w:val="HideTWBExt"/>
          <w:noProof w:val="0"/>
        </w:rPr>
        <w:t>&lt;/Article&gt;</w:t>
      </w:r>
    </w:p>
    <w:p w:rsidR="00537AB8" w:rsidRPr="0007707F" w:rsidRDefault="000F612F">
      <w:r w:rsidRPr="0007707F">
        <w:t>Ure</w:t>
      </w:r>
      <w:r w:rsidRPr="0007707F">
        <w:t>dba (EU) 2018/1861</w:t>
      </w:r>
    </w:p>
    <w:p w:rsidR="00537AB8" w:rsidRPr="0007707F" w:rsidRDefault="000F612F">
      <w:r w:rsidRPr="0007707F">
        <w:rPr>
          <w:rStyle w:val="HideTWBExt"/>
          <w:noProof w:val="0"/>
        </w:rPr>
        <w:t>&lt;Article2&gt;</w:t>
      </w:r>
      <w:r w:rsidRPr="0007707F">
        <w:t>Člen 36 a – odstavek 1</w:t>
      </w:r>
      <w:r w:rsidRPr="0007707F">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AB8" w:rsidRPr="0007707F">
        <w:trPr>
          <w:trHeight w:hRule="exact" w:val="240"/>
          <w:jc w:val="center"/>
        </w:trPr>
        <w:tc>
          <w:tcPr>
            <w:tcW w:w="9752" w:type="dxa"/>
            <w:gridSpan w:val="2"/>
          </w:tcPr>
          <w:p w:rsidR="00537AB8" w:rsidRPr="0007707F" w:rsidRDefault="00537AB8"/>
        </w:tc>
      </w:tr>
      <w:tr w:rsidR="00537AB8" w:rsidRPr="0007707F">
        <w:trPr>
          <w:trHeight w:val="240"/>
          <w:jc w:val="center"/>
        </w:trPr>
        <w:tc>
          <w:tcPr>
            <w:tcW w:w="4876" w:type="dxa"/>
          </w:tcPr>
          <w:p w:rsidR="00537AB8" w:rsidRPr="0007707F" w:rsidRDefault="000F612F">
            <w:pPr>
              <w:pStyle w:val="AmColumnHeading"/>
            </w:pPr>
            <w:r w:rsidRPr="0007707F">
              <w:t>Besedilo, ki ga predlaga Komisija</w:t>
            </w:r>
          </w:p>
        </w:tc>
        <w:tc>
          <w:tcPr>
            <w:tcW w:w="4876" w:type="dxa"/>
          </w:tcPr>
          <w:p w:rsidR="00537AB8" w:rsidRPr="0007707F" w:rsidRDefault="000F612F">
            <w:pPr>
              <w:pStyle w:val="AmColumnHeading"/>
            </w:pPr>
            <w:r w:rsidRPr="0007707F">
              <w:t>Predlog spremembe</w:t>
            </w:r>
          </w:p>
        </w:tc>
      </w:tr>
      <w:tr w:rsidR="00537AB8" w:rsidRPr="0007707F">
        <w:trPr>
          <w:jc w:val="center"/>
        </w:trPr>
        <w:tc>
          <w:tcPr>
            <w:tcW w:w="4876" w:type="dxa"/>
          </w:tcPr>
          <w:p w:rsidR="00537AB8" w:rsidRPr="0007707F" w:rsidRDefault="000F612F">
            <w:pPr>
              <w:pStyle w:val="Normal6a"/>
            </w:pPr>
            <w:r w:rsidRPr="0007707F">
              <w:t>1.</w:t>
            </w:r>
            <w:r w:rsidRPr="0007707F">
              <w:tab/>
            </w:r>
            <w:r w:rsidRPr="0007707F">
              <w:t>Centralna enota ETIAS, ustanovljena v okviru Evropske agencije za mejno in obalno stražo v skladu s členom 7 Uredbe (EU) 2018/1240, ima za namene opravljanja nalog, ki so ji dodeljene z Uredbo (EU) 2018/1240, pravico do dostopa do ustreznih podatkov, vnese</w:t>
            </w:r>
            <w:r w:rsidRPr="0007707F">
              <w:t xml:space="preserve">nih v SIS, in iskanja po njih. Za ta dostop in iskanje se uporabljajo določbe </w:t>
            </w:r>
            <w:r w:rsidRPr="0007707F">
              <w:rPr>
                <w:b/>
                <w:i/>
              </w:rPr>
              <w:t>člena 36(4)–(8)</w:t>
            </w:r>
            <w:r w:rsidRPr="0007707F">
              <w:t>.</w:t>
            </w:r>
          </w:p>
        </w:tc>
        <w:tc>
          <w:tcPr>
            <w:tcW w:w="4876" w:type="dxa"/>
          </w:tcPr>
          <w:p w:rsidR="00537AB8" w:rsidRPr="0007707F" w:rsidRDefault="000F612F">
            <w:pPr>
              <w:pStyle w:val="Normal6a"/>
            </w:pPr>
            <w:r w:rsidRPr="0007707F">
              <w:t>1.</w:t>
            </w:r>
            <w:r w:rsidRPr="0007707F">
              <w:tab/>
              <w:t xml:space="preserve">Centralna enota ETIAS, ustanovljena v okviru Evropske agencije za mejno in obalno stražo v skladu s členom 7 Uredbe (EU) 2018/1240, ima za namene opravljanja </w:t>
            </w:r>
            <w:r w:rsidRPr="0007707F">
              <w:t xml:space="preserve">nalog, ki so ji dodeljene z Uredbo (EU) 2018/1240, pravico do dostopa do ustreznih podatkov, vnesenih v SIS, in iskanja po njih </w:t>
            </w:r>
            <w:r w:rsidRPr="0007707F">
              <w:rPr>
                <w:b/>
                <w:i/>
              </w:rPr>
              <w:t>v načinu „samo za branje“</w:t>
            </w:r>
            <w:r w:rsidRPr="0007707F">
              <w:t xml:space="preserve">. Za ta dostop in iskanje se uporabljajo določbe </w:t>
            </w:r>
            <w:r w:rsidRPr="0007707F">
              <w:rPr>
                <w:b/>
                <w:i/>
              </w:rPr>
              <w:t>točk (4) do (8) člena 36</w:t>
            </w:r>
            <w:r w:rsidRPr="0007707F">
              <w:t>.</w:t>
            </w:r>
          </w:p>
        </w:tc>
      </w:tr>
    </w:tbl>
    <w:p w:rsidR="00537AB8" w:rsidRPr="0007707F" w:rsidRDefault="000F612F">
      <w:pPr>
        <w:pStyle w:val="AmOrLang"/>
      </w:pPr>
      <w:r w:rsidRPr="0007707F">
        <w:t xml:space="preserve">Or. </w:t>
      </w:r>
      <w:r w:rsidRPr="0007707F">
        <w:rPr>
          <w:rStyle w:val="HideTWBExt"/>
          <w:noProof w:val="0"/>
        </w:rPr>
        <w:t>&lt;Original&gt;</w:t>
      </w:r>
      <w:r w:rsidRPr="0007707F">
        <w:rPr>
          <w:rStyle w:val="HideTWBInt"/>
        </w:rPr>
        <w:t>{EN}</w:t>
      </w:r>
      <w:r w:rsidRPr="0007707F">
        <w:t>en</w:t>
      </w:r>
      <w:r w:rsidRPr="0007707F">
        <w:rPr>
          <w:rStyle w:val="HideTWBExt"/>
          <w:noProof w:val="0"/>
        </w:rPr>
        <w:t>&lt;/</w:t>
      </w:r>
      <w:r w:rsidRPr="0007707F">
        <w:rPr>
          <w:rStyle w:val="HideTWBExt"/>
          <w:noProof w:val="0"/>
        </w:rPr>
        <w:t>Original&gt;</w:t>
      </w:r>
    </w:p>
    <w:p w:rsidR="00537AB8" w:rsidRPr="0007707F" w:rsidRDefault="000F612F">
      <w:r w:rsidRPr="0007707F">
        <w:rPr>
          <w:rStyle w:val="HideTWBExt"/>
          <w:noProof w:val="0"/>
        </w:rPr>
        <w:t>&lt;/AmendB&gt;&lt;/RepeatBlock-AmendB&gt;</w:t>
      </w:r>
    </w:p>
    <w:sectPr w:rsidR="00537AB8" w:rsidRPr="0007707F" w:rsidSect="001721AC">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305E73" w:rsidRDefault="000F612F">
      <w:r w:rsidRPr="00305E73">
        <w:separator/>
      </w:r>
    </w:p>
  </w:endnote>
  <w:endnote w:type="continuationSeparator" w:id="0">
    <w:p w:rsidR="00000000" w:rsidRPr="00305E73" w:rsidRDefault="000F612F">
      <w:r w:rsidRPr="00305E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AC" w:rsidRPr="00305E73" w:rsidRDefault="001721AC" w:rsidP="001721AC">
    <w:pPr>
      <w:pStyle w:val="EPFooter"/>
    </w:pPr>
    <w:r w:rsidRPr="00305E73">
      <w:t>PE</w:t>
    </w:r>
    <w:r w:rsidRPr="00305E73">
      <w:rPr>
        <w:rStyle w:val="HideTWBExt"/>
        <w:noProof w:val="0"/>
      </w:rPr>
      <w:t>&lt;NoPE&gt;</w:t>
    </w:r>
    <w:r w:rsidRPr="00305E73">
      <w:t>658.805</w:t>
    </w:r>
    <w:r w:rsidRPr="00305E73">
      <w:rPr>
        <w:rStyle w:val="HideTWBExt"/>
        <w:noProof w:val="0"/>
      </w:rPr>
      <w:t>&lt;/NoPE&gt;&lt;Version&gt;</w:t>
    </w:r>
    <w:r w:rsidRPr="00305E73">
      <w:t>v01-00</w:t>
    </w:r>
    <w:r w:rsidRPr="00305E73">
      <w:rPr>
        <w:rStyle w:val="HideTWBExt"/>
        <w:noProof w:val="0"/>
      </w:rPr>
      <w:t>&lt;/Version&gt;</w:t>
    </w:r>
    <w:r w:rsidRPr="00305E73">
      <w:tab/>
    </w:r>
    <w:r w:rsidRPr="00305E73">
      <w:fldChar w:fldCharType="begin"/>
    </w:r>
    <w:r w:rsidRPr="00305E73">
      <w:instrText xml:space="preserve"> PAGE  \* MERGEFORMAT </w:instrText>
    </w:r>
    <w:r w:rsidRPr="00305E73">
      <w:fldChar w:fldCharType="separate"/>
    </w:r>
    <w:r w:rsidR="000F612F">
      <w:rPr>
        <w:noProof/>
      </w:rPr>
      <w:t>2</w:t>
    </w:r>
    <w:r w:rsidRPr="00305E73">
      <w:fldChar w:fldCharType="end"/>
    </w:r>
    <w:r w:rsidRPr="00305E73">
      <w:t>/</w:t>
    </w:r>
    <w:fldSimple w:instr=" NUMPAGES  \* MERGEFORMAT ">
      <w:r w:rsidR="000F612F">
        <w:rPr>
          <w:noProof/>
        </w:rPr>
        <w:t>51</w:t>
      </w:r>
    </w:fldSimple>
    <w:r w:rsidRPr="00305E73">
      <w:tab/>
    </w:r>
    <w:r w:rsidRPr="00305E73">
      <w:rPr>
        <w:rStyle w:val="HideTWBExt"/>
        <w:noProof w:val="0"/>
      </w:rPr>
      <w:t>&lt;PathFdR&gt;</w:t>
    </w:r>
    <w:r w:rsidR="00305E73" w:rsidRPr="00305E73">
      <w:t>AM\1214744SL.docx</w:t>
    </w:r>
    <w:r w:rsidRPr="00305E73">
      <w:rPr>
        <w:rStyle w:val="HideTWBExt"/>
        <w:noProof w:val="0"/>
      </w:rPr>
      <w:t>&lt;/PathFdR&gt;</w:t>
    </w:r>
  </w:p>
  <w:p w:rsidR="00537AB8" w:rsidRPr="00305E73" w:rsidRDefault="001721AC" w:rsidP="001721AC">
    <w:pPr>
      <w:pStyle w:val="EPFooter2"/>
    </w:pPr>
    <w:r w:rsidRPr="00305E73">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AC" w:rsidRPr="00305E73" w:rsidRDefault="001721AC" w:rsidP="001721AC">
    <w:pPr>
      <w:pStyle w:val="EPFooter"/>
    </w:pPr>
    <w:r w:rsidRPr="00305E73">
      <w:rPr>
        <w:rStyle w:val="HideTWBExt"/>
        <w:noProof w:val="0"/>
      </w:rPr>
      <w:t>&lt;PathFdR&gt;</w:t>
    </w:r>
    <w:r w:rsidR="00305E73" w:rsidRPr="00305E73">
      <w:t>AM\1214744SL.docx</w:t>
    </w:r>
    <w:r w:rsidRPr="00305E73">
      <w:rPr>
        <w:rStyle w:val="HideTWBExt"/>
        <w:noProof w:val="0"/>
      </w:rPr>
      <w:t>&lt;/PathFdR&gt;</w:t>
    </w:r>
    <w:r w:rsidRPr="00305E73">
      <w:tab/>
    </w:r>
    <w:r w:rsidRPr="00305E73">
      <w:fldChar w:fldCharType="begin"/>
    </w:r>
    <w:r w:rsidRPr="00305E73">
      <w:instrText xml:space="preserve"> PAGE  \* MERGEFORMAT </w:instrText>
    </w:r>
    <w:r w:rsidRPr="00305E73">
      <w:fldChar w:fldCharType="separate"/>
    </w:r>
    <w:r w:rsidR="000F612F">
      <w:rPr>
        <w:noProof/>
      </w:rPr>
      <w:t>3</w:t>
    </w:r>
    <w:r w:rsidRPr="00305E73">
      <w:fldChar w:fldCharType="end"/>
    </w:r>
    <w:r w:rsidRPr="00305E73">
      <w:t>/</w:t>
    </w:r>
    <w:fldSimple w:instr=" NUMPAGES  \* MERGEFORMAT ">
      <w:r w:rsidR="000F612F">
        <w:rPr>
          <w:noProof/>
        </w:rPr>
        <w:t>51</w:t>
      </w:r>
    </w:fldSimple>
    <w:r w:rsidRPr="00305E73">
      <w:tab/>
      <w:t>PE</w:t>
    </w:r>
    <w:r w:rsidRPr="00305E73">
      <w:rPr>
        <w:rStyle w:val="HideTWBExt"/>
        <w:noProof w:val="0"/>
      </w:rPr>
      <w:t>&lt;NoPE&gt;</w:t>
    </w:r>
    <w:r w:rsidRPr="00305E73">
      <w:t>658.805</w:t>
    </w:r>
    <w:r w:rsidRPr="00305E73">
      <w:rPr>
        <w:rStyle w:val="HideTWBExt"/>
        <w:noProof w:val="0"/>
      </w:rPr>
      <w:t>&lt;/NoPE&gt;&lt;Version&gt;</w:t>
    </w:r>
    <w:r w:rsidRPr="00305E73">
      <w:t>v01-00</w:t>
    </w:r>
    <w:r w:rsidRPr="00305E73">
      <w:rPr>
        <w:rStyle w:val="HideTWBExt"/>
        <w:noProof w:val="0"/>
      </w:rPr>
      <w:t>&lt;/Version&gt;</w:t>
    </w:r>
  </w:p>
  <w:p w:rsidR="00537AB8" w:rsidRPr="00305E73" w:rsidRDefault="001721AC" w:rsidP="001721AC">
    <w:pPr>
      <w:pStyle w:val="EPFooter2"/>
    </w:pPr>
    <w:r w:rsidRPr="00305E73">
      <w:tab/>
    </w:r>
    <w:r w:rsidRPr="00305E73">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AC" w:rsidRPr="00305E73" w:rsidRDefault="001721AC" w:rsidP="001721AC">
    <w:pPr>
      <w:pStyle w:val="EPFooter"/>
    </w:pPr>
    <w:r w:rsidRPr="00305E73">
      <w:rPr>
        <w:rStyle w:val="HideTWBExt"/>
        <w:noProof w:val="0"/>
      </w:rPr>
      <w:t>&lt;PathFdR&gt;</w:t>
    </w:r>
    <w:r w:rsidR="00305E73" w:rsidRPr="00305E73">
      <w:t>AM\1214744SL.docx</w:t>
    </w:r>
    <w:r w:rsidRPr="00305E73">
      <w:rPr>
        <w:rStyle w:val="HideTWBExt"/>
        <w:noProof w:val="0"/>
      </w:rPr>
      <w:t>&lt;/PathFdR&gt;</w:t>
    </w:r>
    <w:r w:rsidRPr="00305E73">
      <w:tab/>
    </w:r>
    <w:r w:rsidRPr="00305E73">
      <w:tab/>
      <w:t>PE</w:t>
    </w:r>
    <w:r w:rsidRPr="00305E73">
      <w:rPr>
        <w:rStyle w:val="HideTWBExt"/>
        <w:noProof w:val="0"/>
      </w:rPr>
      <w:t>&lt;NoPE&gt;</w:t>
    </w:r>
    <w:r w:rsidRPr="00305E73">
      <w:t>658.805</w:t>
    </w:r>
    <w:r w:rsidRPr="00305E73">
      <w:rPr>
        <w:rStyle w:val="HideTWBExt"/>
        <w:noProof w:val="0"/>
      </w:rPr>
      <w:t>&lt;/NoPE&gt;&lt;Version&gt;</w:t>
    </w:r>
    <w:r w:rsidRPr="00305E73">
      <w:t>v01-00</w:t>
    </w:r>
    <w:r w:rsidRPr="00305E73">
      <w:rPr>
        <w:rStyle w:val="HideTWBExt"/>
        <w:noProof w:val="0"/>
      </w:rPr>
      <w:t>&lt;/Version&gt;</w:t>
    </w:r>
  </w:p>
  <w:p w:rsidR="00537AB8" w:rsidRPr="00305E73" w:rsidRDefault="001721AC" w:rsidP="001721AC">
    <w:pPr>
      <w:pStyle w:val="EPFooter2"/>
    </w:pPr>
    <w:r w:rsidRPr="00305E73">
      <w:t>SL</w:t>
    </w:r>
    <w:r w:rsidRPr="00305E73">
      <w:tab/>
    </w:r>
    <w:r w:rsidRPr="00305E73">
      <w:rPr>
        <w:b w:val="0"/>
        <w:i/>
        <w:color w:val="C0C0C0"/>
        <w:sz w:val="22"/>
      </w:rPr>
      <w:t>Združena v raznolikosti</w:t>
    </w:r>
    <w:r w:rsidRPr="00305E73">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305E73" w:rsidRDefault="000F612F">
      <w:r w:rsidRPr="00305E73">
        <w:separator/>
      </w:r>
    </w:p>
  </w:footnote>
  <w:footnote w:type="continuationSeparator" w:id="0">
    <w:p w:rsidR="00000000" w:rsidRPr="00305E73" w:rsidRDefault="000F612F">
      <w:r w:rsidRPr="00305E7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7F" w:rsidRDefault="00077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7F" w:rsidRDefault="00077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7F" w:rsidRDefault="00077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14"/>
    <w:docVar w:name="TXTLANGUE" w:val="SL"/>
    <w:docVar w:name="TXTLANGUEMIN" w:val="sl"/>
    <w:docVar w:name="TXTNRPE" w:val="658.805"/>
    <w:docVar w:name="TXTPEorAP" w:val="PE"/>
    <w:docVar w:name="TXTROUTE" w:val="AM\1214744SL.docx"/>
    <w:docVar w:name="TXTVERSION" w:val="01-00"/>
  </w:docVars>
  <w:rsids>
    <w:rsidRoot w:val="00A77B3E"/>
    <w:rsid w:val="0007707F"/>
    <w:rsid w:val="000F612F"/>
    <w:rsid w:val="001721AC"/>
    <w:rsid w:val="00305E73"/>
    <w:rsid w:val="00537AB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5E4017-3AC9-4D35-8BD0-66B25576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A1B91701.dotm</Template>
  <TotalTime>0</TotalTime>
  <Pages>51</Pages>
  <Words>11669</Words>
  <Characters>80313</Characters>
  <Application>Microsoft Office Word</Application>
  <DocSecurity>0</DocSecurity>
  <Lines>3346</Lines>
  <Paragraphs>1372</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90610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GROSELJ Tadej</cp:lastModifiedBy>
  <cp:revision>2</cp:revision>
  <dcterms:created xsi:type="dcterms:W3CDTF">2020-10-14T13:26:00Z</dcterms:created>
  <dcterms:modified xsi:type="dcterms:W3CDTF">2020-10-14T13:26:00Z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1214744</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20201014-144000-269046-271589</vt:lpwstr>
  </property>
  <property fmtid="{D5CDD505-2E9C-101B-9397-08002B2CF9AE}" pid="7" name="FooterPath">
    <vt:lpwstr>AM\1214744SL.docx</vt:lpwstr>
  </property>
  <property fmtid="{D5CDD505-2E9C-101B-9397-08002B2CF9AE}" pid="8" name="PE Number">
    <vt:lpwstr>658.805</vt:lpwstr>
  </property>
  <property fmtid="{D5CDD505-2E9C-101B-9397-08002B2CF9AE}" pid="9" name="UID">
    <vt:lpwstr>eu.europa.europarl-DIN1-2020-0000072830_02.00-sl-01.00_text-xml</vt:lpwstr>
  </property>
  <property fmtid="{D5CDD505-2E9C-101B-9397-08002B2CF9AE}" pid="10" name="LastEdited with">
    <vt:lpwstr>9.9.1 Build [20200705]</vt:lpwstr>
  </property>
  <property fmtid="{D5CDD505-2E9C-101B-9397-08002B2CF9AE}" pid="11" name="Bookout">
    <vt:lpwstr>OK - 2020/10/14 15:21</vt:lpwstr>
  </property>
</Properties>
</file>