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890F5C" w14:paraId="1B3BDA1D" w14:textId="77777777" w:rsidTr="00543F58">
        <w:trPr>
          <w:trHeight w:hRule="exact" w:val="1418"/>
        </w:trPr>
        <w:tc>
          <w:tcPr>
            <w:tcW w:w="6804" w:type="dxa"/>
            <w:shd w:val="clear" w:color="auto" w:fill="auto"/>
            <w:vAlign w:val="center"/>
          </w:tcPr>
          <w:p w14:paraId="7325FF26" w14:textId="77777777" w:rsidR="00C93A60" w:rsidRPr="00890F5C" w:rsidRDefault="00F94DA4" w:rsidP="00543F58">
            <w:pPr>
              <w:pStyle w:val="EPName"/>
            </w:pPr>
            <w:r w:rsidRPr="00890F5C">
              <w:t>European Parliament</w:t>
            </w:r>
          </w:p>
          <w:p w14:paraId="13BA5B3B" w14:textId="77777777" w:rsidR="00C93A60" w:rsidRPr="00890F5C" w:rsidRDefault="001F51E2" w:rsidP="001F51E2">
            <w:pPr>
              <w:pStyle w:val="EPTerm"/>
            </w:pPr>
            <w:r w:rsidRPr="00890F5C">
              <w:t>2019-2024</w:t>
            </w:r>
          </w:p>
        </w:tc>
        <w:tc>
          <w:tcPr>
            <w:tcW w:w="2268" w:type="dxa"/>
            <w:shd w:val="clear" w:color="auto" w:fill="auto"/>
          </w:tcPr>
          <w:p w14:paraId="6F4A94D0" w14:textId="77777777" w:rsidR="00C93A60" w:rsidRPr="00890F5C" w:rsidRDefault="00C93A60" w:rsidP="00543F58">
            <w:pPr>
              <w:pStyle w:val="EPLogo"/>
            </w:pPr>
            <w:r w:rsidRPr="00890F5C">
              <w:rPr>
                <w:noProof/>
              </w:rPr>
              <w:drawing>
                <wp:inline distT="0" distB="0" distL="0" distR="0" wp14:anchorId="2836FEFE" wp14:editId="60E12F8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22B4966" w14:textId="77777777" w:rsidR="00E3537C" w:rsidRPr="00890F5C" w:rsidRDefault="00E3537C" w:rsidP="00E3537C">
      <w:pPr>
        <w:pStyle w:val="LineTop"/>
      </w:pPr>
    </w:p>
    <w:p w14:paraId="31ABB71B" w14:textId="77777777" w:rsidR="00E3537C" w:rsidRPr="00890F5C" w:rsidRDefault="00E3537C" w:rsidP="00E3537C">
      <w:pPr>
        <w:pStyle w:val="EPBody"/>
      </w:pPr>
      <w:r w:rsidRPr="00890F5C">
        <w:rPr>
          <w:rStyle w:val="HideTWBExt"/>
          <w:noProof w:val="0"/>
        </w:rPr>
        <w:t>&lt;</w:t>
      </w:r>
      <w:r w:rsidRPr="00890F5C">
        <w:rPr>
          <w:rStyle w:val="HideTWBExt"/>
          <w:i w:val="0"/>
          <w:noProof w:val="0"/>
        </w:rPr>
        <w:t>Commission</w:t>
      </w:r>
      <w:r w:rsidRPr="00890F5C">
        <w:rPr>
          <w:rStyle w:val="HideTWBExt"/>
          <w:noProof w:val="0"/>
        </w:rPr>
        <w:t>&gt;</w:t>
      </w:r>
      <w:r w:rsidR="001F51E2" w:rsidRPr="00890F5C">
        <w:rPr>
          <w:rStyle w:val="HideTWBInt"/>
        </w:rPr>
        <w:t>{LIBE}</w:t>
      </w:r>
      <w:r w:rsidR="001F51E2" w:rsidRPr="00890F5C">
        <w:t>Committee on Civil Liberties, Justice and Home Affairs</w:t>
      </w:r>
      <w:r w:rsidRPr="00890F5C">
        <w:rPr>
          <w:rStyle w:val="HideTWBExt"/>
          <w:noProof w:val="0"/>
        </w:rPr>
        <w:t>&lt;/</w:t>
      </w:r>
      <w:r w:rsidRPr="00890F5C">
        <w:rPr>
          <w:rStyle w:val="HideTWBExt"/>
          <w:i w:val="0"/>
          <w:noProof w:val="0"/>
        </w:rPr>
        <w:t>Commission</w:t>
      </w:r>
      <w:r w:rsidRPr="00890F5C">
        <w:rPr>
          <w:rStyle w:val="HideTWBExt"/>
          <w:noProof w:val="0"/>
        </w:rPr>
        <w:t>&gt;</w:t>
      </w:r>
    </w:p>
    <w:p w14:paraId="239C539D" w14:textId="77777777" w:rsidR="00E3537C" w:rsidRPr="00890F5C" w:rsidRDefault="00E3537C" w:rsidP="00E3537C">
      <w:pPr>
        <w:pStyle w:val="LineBottom"/>
      </w:pPr>
    </w:p>
    <w:p w14:paraId="3F40687B" w14:textId="77777777" w:rsidR="00100069" w:rsidRPr="00890F5C" w:rsidRDefault="00100069">
      <w:pPr>
        <w:pStyle w:val="CoverReference"/>
      </w:pPr>
      <w:r w:rsidRPr="00890F5C">
        <w:rPr>
          <w:rStyle w:val="HideTWBExt"/>
          <w:b w:val="0"/>
          <w:noProof w:val="0"/>
        </w:rPr>
        <w:t>&lt;RefProc&gt;</w:t>
      </w:r>
      <w:r w:rsidR="001F51E2" w:rsidRPr="00890F5C">
        <w:t>2020/2010</w:t>
      </w:r>
      <w:r w:rsidRPr="00890F5C">
        <w:rPr>
          <w:rStyle w:val="HideTWBExt"/>
          <w:b w:val="0"/>
          <w:noProof w:val="0"/>
        </w:rPr>
        <w:t>&lt;/RefProc&gt;&lt;RefTypeProc&gt;</w:t>
      </w:r>
      <w:r w:rsidRPr="00890F5C">
        <w:t>(INI)</w:t>
      </w:r>
      <w:r w:rsidRPr="00890F5C">
        <w:rPr>
          <w:rStyle w:val="HideTWBExt"/>
          <w:b w:val="0"/>
          <w:noProof w:val="0"/>
        </w:rPr>
        <w:t>&lt;/RefTypeProc&gt;</w:t>
      </w:r>
    </w:p>
    <w:p w14:paraId="24F5043D" w14:textId="77777777" w:rsidR="00100069" w:rsidRPr="00193142" w:rsidRDefault="00100069">
      <w:pPr>
        <w:pStyle w:val="CoverDate"/>
      </w:pPr>
      <w:r w:rsidRPr="00193142">
        <w:rPr>
          <w:rStyle w:val="HideTWBExt"/>
          <w:noProof w:val="0"/>
        </w:rPr>
        <w:t>&lt;Date&gt;</w:t>
      </w:r>
      <w:r w:rsidR="00575781" w:rsidRPr="00193142">
        <w:rPr>
          <w:rStyle w:val="HideTWBInt"/>
        </w:rPr>
        <w:t>{07/10</w:t>
      </w:r>
      <w:r w:rsidR="001F51E2" w:rsidRPr="00193142">
        <w:rPr>
          <w:rStyle w:val="HideTWBInt"/>
        </w:rPr>
        <w:t>/2020}</w:t>
      </w:r>
      <w:r w:rsidR="006573BE" w:rsidRPr="00193142">
        <w:t>9</w:t>
      </w:r>
      <w:r w:rsidR="00575781" w:rsidRPr="00193142">
        <w:t>.10</w:t>
      </w:r>
      <w:r w:rsidR="001F51E2" w:rsidRPr="00193142">
        <w:t>.2020</w:t>
      </w:r>
      <w:r w:rsidRPr="00193142">
        <w:rPr>
          <w:rStyle w:val="HideTWBExt"/>
          <w:noProof w:val="0"/>
        </w:rPr>
        <w:t>&lt;/Date&gt;</w:t>
      </w:r>
    </w:p>
    <w:p w14:paraId="66B04B8F" w14:textId="77777777" w:rsidR="00100069" w:rsidRPr="00193142" w:rsidRDefault="00100069">
      <w:pPr>
        <w:pStyle w:val="CoverDocType24a"/>
      </w:pPr>
      <w:r w:rsidRPr="00193142">
        <w:rPr>
          <w:rStyle w:val="HideTWBExt"/>
          <w:b w:val="0"/>
          <w:noProof w:val="0"/>
        </w:rPr>
        <w:t>&lt;TitreType&gt;</w:t>
      </w:r>
      <w:r w:rsidR="00F94DA4" w:rsidRPr="00193142">
        <w:t>DRAFT REPORT</w:t>
      </w:r>
      <w:r w:rsidRPr="00193142">
        <w:rPr>
          <w:rStyle w:val="HideTWBExt"/>
          <w:b w:val="0"/>
          <w:noProof w:val="0"/>
        </w:rPr>
        <w:t>&lt;/TitreType&gt;</w:t>
      </w:r>
    </w:p>
    <w:p w14:paraId="144F9E05" w14:textId="12F20CBC" w:rsidR="00100069" w:rsidRPr="00193142" w:rsidRDefault="00100069">
      <w:pPr>
        <w:pStyle w:val="CoverNormal"/>
      </w:pPr>
      <w:r w:rsidRPr="00193142">
        <w:rPr>
          <w:rStyle w:val="HideTWBExt"/>
          <w:noProof w:val="0"/>
        </w:rPr>
        <w:t>&lt;Titre&gt;</w:t>
      </w:r>
      <w:proofErr w:type="gramStart"/>
      <w:r w:rsidR="00F94DA4" w:rsidRPr="00193142">
        <w:t>on</w:t>
      </w:r>
      <w:proofErr w:type="gramEnd"/>
      <w:r w:rsidR="00F94DA4" w:rsidRPr="00193142">
        <w:t xml:space="preserve"> </w:t>
      </w:r>
      <w:r w:rsidR="00193142">
        <w:t>n</w:t>
      </w:r>
      <w:r w:rsidR="001F51E2" w:rsidRPr="00193142">
        <w:t xml:space="preserve">ew </w:t>
      </w:r>
      <w:r w:rsidR="00193142">
        <w:t>a</w:t>
      </w:r>
      <w:r w:rsidR="001F51E2" w:rsidRPr="00193142">
        <w:t xml:space="preserve">venues for </w:t>
      </w:r>
      <w:r w:rsidR="00193142">
        <w:t>l</w:t>
      </w:r>
      <w:r w:rsidR="001F51E2" w:rsidRPr="00193142">
        <w:t xml:space="preserve">egal </w:t>
      </w:r>
      <w:r w:rsidR="00193142">
        <w:t>l</w:t>
      </w:r>
      <w:r w:rsidR="001F51E2" w:rsidRPr="00193142">
        <w:t xml:space="preserve">abour </w:t>
      </w:r>
      <w:r w:rsidR="00193142">
        <w:t>m</w:t>
      </w:r>
      <w:r w:rsidR="001F51E2" w:rsidRPr="00193142">
        <w:t>igration</w:t>
      </w:r>
      <w:r w:rsidRPr="00193142">
        <w:rPr>
          <w:rStyle w:val="HideTWBExt"/>
          <w:noProof w:val="0"/>
        </w:rPr>
        <w:t>&lt;/Titre&gt;</w:t>
      </w:r>
    </w:p>
    <w:p w14:paraId="4D6DDCF7" w14:textId="77777777" w:rsidR="00100069" w:rsidRPr="00890F5C" w:rsidRDefault="00100069">
      <w:pPr>
        <w:pStyle w:val="CoverNormal24a"/>
      </w:pPr>
      <w:r w:rsidRPr="00890F5C">
        <w:rPr>
          <w:rStyle w:val="HideTWBExt"/>
          <w:noProof w:val="0"/>
        </w:rPr>
        <w:t>&lt;DocRef&gt;</w:t>
      </w:r>
      <w:r w:rsidR="00F94DA4" w:rsidRPr="00890F5C">
        <w:t>(</w:t>
      </w:r>
      <w:r w:rsidR="001F51E2" w:rsidRPr="00890F5C">
        <w:t>2020/2010</w:t>
      </w:r>
      <w:r w:rsidR="00F94DA4" w:rsidRPr="00890F5C">
        <w:t>(INI))</w:t>
      </w:r>
      <w:r w:rsidRPr="00890F5C">
        <w:rPr>
          <w:rStyle w:val="HideTWBExt"/>
          <w:noProof w:val="0"/>
        </w:rPr>
        <w:t>&lt;/DocRef&gt;</w:t>
      </w:r>
    </w:p>
    <w:p w14:paraId="0AC2BD96" w14:textId="77777777" w:rsidR="00100069" w:rsidRPr="00890F5C" w:rsidRDefault="00100069">
      <w:pPr>
        <w:pStyle w:val="CoverNormal24a"/>
      </w:pPr>
      <w:r w:rsidRPr="00890F5C">
        <w:rPr>
          <w:rStyle w:val="HideTWBExt"/>
          <w:noProof w:val="0"/>
        </w:rPr>
        <w:t>&lt;Commission&gt;</w:t>
      </w:r>
      <w:r w:rsidR="001F51E2" w:rsidRPr="00890F5C">
        <w:rPr>
          <w:rStyle w:val="HideTWBInt"/>
        </w:rPr>
        <w:t>{LIBE}</w:t>
      </w:r>
      <w:r w:rsidR="001F51E2" w:rsidRPr="00890F5C">
        <w:t>Committee on Civil Liberties, Justice and Home Affairs</w:t>
      </w:r>
      <w:r w:rsidRPr="00890F5C">
        <w:rPr>
          <w:rStyle w:val="HideTWBExt"/>
          <w:noProof w:val="0"/>
        </w:rPr>
        <w:t>&lt;/Commission&gt;</w:t>
      </w:r>
    </w:p>
    <w:p w14:paraId="6BEFCC67" w14:textId="77777777" w:rsidR="00100069" w:rsidRPr="00193142" w:rsidRDefault="00F94DA4">
      <w:pPr>
        <w:pStyle w:val="CoverNormal24a"/>
      </w:pPr>
      <w:r w:rsidRPr="00193142">
        <w:t>Rapporteur:</w:t>
      </w:r>
      <w:r w:rsidR="00100069" w:rsidRPr="00193142">
        <w:t xml:space="preserve"> </w:t>
      </w:r>
      <w:r w:rsidR="00100069" w:rsidRPr="00193142">
        <w:rPr>
          <w:rStyle w:val="HideTWBExt"/>
          <w:noProof w:val="0"/>
        </w:rPr>
        <w:t>&lt;Depute&gt;</w:t>
      </w:r>
      <w:r w:rsidR="001F51E2" w:rsidRPr="00193142">
        <w:t xml:space="preserve">Miriam </w:t>
      </w:r>
      <w:proofErr w:type="spellStart"/>
      <w:r w:rsidR="001F51E2" w:rsidRPr="00193142">
        <w:t>Dalli</w:t>
      </w:r>
      <w:proofErr w:type="spellEnd"/>
      <w:r w:rsidR="00100069" w:rsidRPr="00193142">
        <w:rPr>
          <w:rStyle w:val="HideTWBExt"/>
          <w:noProof w:val="0"/>
        </w:rPr>
        <w:t>&lt;/Depute&gt;</w:t>
      </w:r>
    </w:p>
    <w:p w14:paraId="69816C00" w14:textId="77777777" w:rsidR="00F74B28" w:rsidRPr="004E1902" w:rsidRDefault="00F74B28" w:rsidP="00F74B28">
      <w:pPr>
        <w:ind w:left="1418"/>
        <w:rPr>
          <w:szCs w:val="24"/>
        </w:rPr>
      </w:pPr>
      <w:r w:rsidRPr="004E1902">
        <w:rPr>
          <w:szCs w:val="24"/>
        </w:rPr>
        <w:t>Rapporteur for the opinion (*):</w:t>
      </w:r>
    </w:p>
    <w:p w14:paraId="25191B16" w14:textId="77777777" w:rsidR="00E155CA" w:rsidRDefault="00F74B28" w:rsidP="00F74B28">
      <w:pPr>
        <w:pStyle w:val="CoverNormal"/>
        <w:rPr>
          <w:szCs w:val="24"/>
        </w:rPr>
      </w:pPr>
      <w:proofErr w:type="spellStart"/>
      <w:r w:rsidRPr="00F74B28">
        <w:t>Elżbieta</w:t>
      </w:r>
      <w:proofErr w:type="spellEnd"/>
      <w:r w:rsidRPr="00F74B28">
        <w:t xml:space="preserve"> </w:t>
      </w:r>
      <w:proofErr w:type="spellStart"/>
      <w:r w:rsidRPr="00F74B28">
        <w:t>Rafalska</w:t>
      </w:r>
      <w:proofErr w:type="spellEnd"/>
      <w:r w:rsidRPr="00F74B28">
        <w:rPr>
          <w:szCs w:val="24"/>
        </w:rPr>
        <w:t>, Committee on E</w:t>
      </w:r>
      <w:r w:rsidRPr="00666B77">
        <w:rPr>
          <w:szCs w:val="24"/>
        </w:rPr>
        <w:t>mployment</w:t>
      </w:r>
      <w:r>
        <w:rPr>
          <w:szCs w:val="24"/>
        </w:rPr>
        <w:t xml:space="preserve"> and Social Affairs</w:t>
      </w:r>
    </w:p>
    <w:p w14:paraId="4F30E1B9" w14:textId="77777777" w:rsidR="00F74B28" w:rsidRDefault="00F74B28" w:rsidP="00F74B28">
      <w:pPr>
        <w:pStyle w:val="CoverNormal"/>
        <w:rPr>
          <w:szCs w:val="24"/>
        </w:rPr>
      </w:pPr>
    </w:p>
    <w:p w14:paraId="21506208" w14:textId="77777777" w:rsidR="00F74B28" w:rsidRDefault="00F74B28" w:rsidP="00F74B28">
      <w:pPr>
        <w:pStyle w:val="CoverNormal"/>
        <w:rPr>
          <w:szCs w:val="24"/>
        </w:rPr>
      </w:pPr>
    </w:p>
    <w:p w14:paraId="23CD8EFF" w14:textId="77777777" w:rsidR="00F74B28" w:rsidRPr="00666B77" w:rsidRDefault="00F74B28" w:rsidP="00F74B28">
      <w:pPr>
        <w:pStyle w:val="CoverNormal"/>
      </w:pPr>
      <w:r w:rsidRPr="004E1902">
        <w:rPr>
          <w:szCs w:val="24"/>
        </w:rPr>
        <w:t>(*)</w:t>
      </w:r>
      <w:r w:rsidRPr="004E1902">
        <w:rPr>
          <w:szCs w:val="24"/>
        </w:rPr>
        <w:tab/>
        <w:t xml:space="preserve">Associated committee – </w:t>
      </w:r>
      <w:r>
        <w:rPr>
          <w:szCs w:val="24"/>
        </w:rPr>
        <w:t>Rule 57</w:t>
      </w:r>
      <w:r w:rsidRPr="004E1902">
        <w:rPr>
          <w:szCs w:val="24"/>
        </w:rPr>
        <w:t xml:space="preserve"> of the Rules of Procedure</w:t>
      </w:r>
    </w:p>
    <w:p w14:paraId="1FF3880F" w14:textId="77777777" w:rsidR="00100069" w:rsidRPr="00EC413B" w:rsidRDefault="00100069" w:rsidP="002544DF">
      <w:pPr>
        <w:widowControl/>
        <w:tabs>
          <w:tab w:val="center" w:pos="4677"/>
        </w:tabs>
        <w:rPr>
          <w:lang w:val="fr-FR"/>
        </w:rPr>
      </w:pPr>
      <w:r w:rsidRPr="00E02DD1">
        <w:rPr>
          <w:lang w:val="fr-FR"/>
        </w:rPr>
        <w:br w:type="page"/>
      </w:r>
      <w:r w:rsidR="00F94DA4" w:rsidRPr="00EC413B">
        <w:rPr>
          <w:lang w:val="fr-FR"/>
        </w:rPr>
        <w:lastRenderedPageBreak/>
        <w:t>PR_INI</w:t>
      </w:r>
    </w:p>
    <w:p w14:paraId="5CB75C7F" w14:textId="77777777" w:rsidR="00100069" w:rsidRPr="00EC413B" w:rsidRDefault="00F94DA4">
      <w:pPr>
        <w:pStyle w:val="TOCHeading"/>
        <w:rPr>
          <w:lang w:val="fr-FR"/>
        </w:rPr>
      </w:pPr>
      <w:r w:rsidRPr="00EC413B">
        <w:rPr>
          <w:lang w:val="fr-FR"/>
        </w:rPr>
        <w:t>CONTENTS</w:t>
      </w:r>
    </w:p>
    <w:p w14:paraId="0164650F" w14:textId="77777777" w:rsidR="00100069" w:rsidRPr="00EC413B" w:rsidRDefault="00F94DA4">
      <w:pPr>
        <w:pStyle w:val="TOCPage"/>
        <w:rPr>
          <w:lang w:val="fr-FR"/>
        </w:rPr>
      </w:pPr>
      <w:r w:rsidRPr="00EC413B">
        <w:rPr>
          <w:lang w:val="fr-FR"/>
        </w:rPr>
        <w:t>Page</w:t>
      </w:r>
    </w:p>
    <w:p w14:paraId="038599AA" w14:textId="77777777" w:rsidR="00193142" w:rsidRPr="008E0572" w:rsidRDefault="002544DF">
      <w:pPr>
        <w:pStyle w:val="TOC1"/>
        <w:tabs>
          <w:tab w:val="right" w:leader="dot" w:pos="9060"/>
        </w:tabs>
        <w:rPr>
          <w:rFonts w:asciiTheme="minorHAnsi" w:eastAsiaTheme="minorEastAsia" w:hAnsiTheme="minorHAnsi" w:cstheme="minorBidi"/>
          <w:noProof/>
          <w:sz w:val="22"/>
          <w:szCs w:val="22"/>
          <w:lang w:val="fr-FR"/>
        </w:rPr>
      </w:pPr>
      <w:r w:rsidRPr="00890F5C">
        <w:rPr>
          <w:b/>
        </w:rPr>
        <w:fldChar w:fldCharType="begin"/>
      </w:r>
      <w:r w:rsidRPr="008E0572">
        <w:rPr>
          <w:b/>
          <w:lang w:val="fr-FR"/>
        </w:rPr>
        <w:instrText xml:space="preserve"> TOC \t "PageHeading</w:instrText>
      </w:r>
      <w:r w:rsidR="006573BE" w:rsidRPr="008E0572">
        <w:rPr>
          <w:b/>
          <w:lang w:val="fr-FR"/>
        </w:rPr>
        <w:instrText>;</w:instrText>
      </w:r>
      <w:r w:rsidRPr="008E0572">
        <w:rPr>
          <w:b/>
          <w:lang w:val="fr-FR"/>
        </w:rPr>
        <w:instrText xml:space="preserve">1" </w:instrText>
      </w:r>
      <w:r w:rsidRPr="00890F5C">
        <w:rPr>
          <w:b/>
        </w:rPr>
        <w:fldChar w:fldCharType="separate"/>
      </w:r>
      <w:r w:rsidR="00193142" w:rsidRPr="008E0572">
        <w:rPr>
          <w:noProof/>
          <w:lang w:val="fr-FR"/>
        </w:rPr>
        <w:t>MOTION FOR A EUROPEAN PARLIAMENT RESOLUTION</w:t>
      </w:r>
      <w:r w:rsidR="00193142" w:rsidRPr="008E0572">
        <w:rPr>
          <w:noProof/>
          <w:lang w:val="fr-FR"/>
        </w:rPr>
        <w:tab/>
      </w:r>
      <w:r w:rsidR="00193142">
        <w:rPr>
          <w:noProof/>
        </w:rPr>
        <w:fldChar w:fldCharType="begin"/>
      </w:r>
      <w:r w:rsidR="00193142" w:rsidRPr="008E0572">
        <w:rPr>
          <w:noProof/>
          <w:lang w:val="fr-FR"/>
        </w:rPr>
        <w:instrText xml:space="preserve"> PAGEREF _Toc53409304 \h </w:instrText>
      </w:r>
      <w:r w:rsidR="00193142">
        <w:rPr>
          <w:noProof/>
        </w:rPr>
      </w:r>
      <w:r w:rsidR="00193142">
        <w:rPr>
          <w:noProof/>
        </w:rPr>
        <w:fldChar w:fldCharType="separate"/>
      </w:r>
      <w:r w:rsidR="00193142" w:rsidRPr="008E0572">
        <w:rPr>
          <w:noProof/>
          <w:lang w:val="fr-FR"/>
        </w:rPr>
        <w:t>3</w:t>
      </w:r>
      <w:r w:rsidR="00193142">
        <w:rPr>
          <w:noProof/>
        </w:rPr>
        <w:fldChar w:fldCharType="end"/>
      </w:r>
    </w:p>
    <w:p w14:paraId="3764BE7D" w14:textId="77777777" w:rsidR="00193142" w:rsidRDefault="00193142">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_Toc53409305 \h </w:instrText>
      </w:r>
      <w:r>
        <w:rPr>
          <w:noProof/>
        </w:rPr>
      </w:r>
      <w:r>
        <w:rPr>
          <w:noProof/>
        </w:rPr>
        <w:fldChar w:fldCharType="separate"/>
      </w:r>
      <w:r>
        <w:rPr>
          <w:noProof/>
        </w:rPr>
        <w:t>9</w:t>
      </w:r>
      <w:r>
        <w:rPr>
          <w:noProof/>
        </w:rPr>
        <w:fldChar w:fldCharType="end"/>
      </w:r>
    </w:p>
    <w:p w14:paraId="2EEC9B6F" w14:textId="77777777" w:rsidR="00E155CA" w:rsidRPr="00890F5C" w:rsidRDefault="002544DF" w:rsidP="0023245A">
      <w:r w:rsidRPr="00890F5C">
        <w:rPr>
          <w:b/>
        </w:rPr>
        <w:fldChar w:fldCharType="end"/>
      </w:r>
    </w:p>
    <w:p w14:paraId="4613B9A1" w14:textId="77777777" w:rsidR="00100069" w:rsidRPr="00890F5C" w:rsidRDefault="00100069">
      <w:pPr>
        <w:pStyle w:val="PageHeading"/>
      </w:pPr>
      <w:r w:rsidRPr="00890F5C">
        <w:br w:type="page"/>
      </w:r>
      <w:bookmarkStart w:id="0" w:name="_Toc53409304"/>
      <w:r w:rsidR="00F94DA4" w:rsidRPr="00890F5C">
        <w:lastRenderedPageBreak/>
        <w:t>MOTION FOR A EUROPEAN PARLIAMENT RESOLUTION</w:t>
      </w:r>
      <w:bookmarkEnd w:id="0"/>
    </w:p>
    <w:p w14:paraId="7DC53A30" w14:textId="0B5A58DC" w:rsidR="00100069" w:rsidRPr="00890F5C" w:rsidRDefault="00F94DA4">
      <w:pPr>
        <w:pStyle w:val="NormalBold"/>
      </w:pPr>
      <w:proofErr w:type="gramStart"/>
      <w:r w:rsidRPr="00890F5C">
        <w:t>on</w:t>
      </w:r>
      <w:proofErr w:type="gramEnd"/>
      <w:r w:rsidRPr="00890F5C">
        <w:t xml:space="preserve"> </w:t>
      </w:r>
      <w:r w:rsidR="00193142">
        <w:t>n</w:t>
      </w:r>
      <w:r w:rsidR="001F51E2" w:rsidRPr="00890F5C">
        <w:t xml:space="preserve">ew </w:t>
      </w:r>
      <w:r w:rsidR="00193142">
        <w:t>a</w:t>
      </w:r>
      <w:r w:rsidR="001F51E2" w:rsidRPr="00890F5C">
        <w:t xml:space="preserve">venues for </w:t>
      </w:r>
      <w:r w:rsidR="00193142">
        <w:t>l</w:t>
      </w:r>
      <w:r w:rsidR="001F51E2" w:rsidRPr="00890F5C">
        <w:t xml:space="preserve">egal </w:t>
      </w:r>
      <w:r w:rsidR="00193142">
        <w:t>l</w:t>
      </w:r>
      <w:r w:rsidR="001F51E2" w:rsidRPr="00890F5C">
        <w:t xml:space="preserve">abour </w:t>
      </w:r>
      <w:r w:rsidR="00193142">
        <w:t>m</w:t>
      </w:r>
      <w:r w:rsidR="001F51E2" w:rsidRPr="00890F5C">
        <w:t>igration</w:t>
      </w:r>
    </w:p>
    <w:p w14:paraId="12564870" w14:textId="77777777" w:rsidR="00100069" w:rsidRPr="00890F5C" w:rsidRDefault="00F94DA4" w:rsidP="00335F69">
      <w:pPr>
        <w:pStyle w:val="NormalBold"/>
      </w:pPr>
      <w:r w:rsidRPr="00890F5C">
        <w:t>(</w:t>
      </w:r>
      <w:r w:rsidR="001F51E2" w:rsidRPr="00890F5C">
        <w:t>2020/2010</w:t>
      </w:r>
      <w:r w:rsidRPr="00890F5C">
        <w:t>(INI))</w:t>
      </w:r>
    </w:p>
    <w:p w14:paraId="1325B40D" w14:textId="77777777" w:rsidR="00100069" w:rsidRPr="00890F5C" w:rsidRDefault="00F94DA4" w:rsidP="00335F69">
      <w:pPr>
        <w:pStyle w:val="EPComma"/>
      </w:pPr>
      <w:r w:rsidRPr="00890F5C">
        <w:rPr>
          <w:i/>
        </w:rPr>
        <w:t>The European Parliament</w:t>
      </w:r>
      <w:r w:rsidRPr="00890F5C">
        <w:t>,</w:t>
      </w:r>
    </w:p>
    <w:p w14:paraId="2ED7ACD7" w14:textId="3F671C0D" w:rsidR="00330F6A" w:rsidRPr="00330F6A" w:rsidRDefault="00100069" w:rsidP="00330F6A">
      <w:pPr>
        <w:pStyle w:val="NormalHanging12a"/>
      </w:pPr>
      <w:r w:rsidRPr="00330F6A">
        <w:t>–</w:t>
      </w:r>
      <w:r w:rsidR="00330F6A" w:rsidRPr="00330F6A">
        <w:tab/>
      </w:r>
      <w:r w:rsidR="003C383A" w:rsidRPr="00330F6A">
        <w:t>having regard to the Treaty on European Union, in particular Article 3(2)</w:t>
      </w:r>
      <w:r w:rsidR="00193142" w:rsidRPr="00330F6A">
        <w:t xml:space="preserve"> thereof</w:t>
      </w:r>
      <w:r w:rsidR="003C383A" w:rsidRPr="00330F6A">
        <w:t xml:space="preserve">, and </w:t>
      </w:r>
      <w:r w:rsidR="00666B77" w:rsidRPr="00330F6A">
        <w:t xml:space="preserve">to </w:t>
      </w:r>
      <w:r w:rsidR="003C383A" w:rsidRPr="00330F6A">
        <w:t>the Treaty on the Functioning of the European Union (TFEU), in particular Article 79</w:t>
      </w:r>
      <w:r w:rsidR="00193142" w:rsidRPr="00330F6A">
        <w:t xml:space="preserve"> thereof</w:t>
      </w:r>
      <w:r w:rsidR="003C383A" w:rsidRPr="00330F6A">
        <w:t>,</w:t>
      </w:r>
    </w:p>
    <w:p w14:paraId="7F31DC8D" w14:textId="6C6E895D" w:rsidR="00330F6A" w:rsidRPr="00330F6A" w:rsidRDefault="003C383A" w:rsidP="00330F6A">
      <w:pPr>
        <w:pStyle w:val="NormalHanging12a"/>
      </w:pPr>
      <w:r w:rsidRPr="00330F6A">
        <w:t>–</w:t>
      </w:r>
      <w:r w:rsidR="00330F6A" w:rsidRPr="00330F6A">
        <w:tab/>
      </w:r>
      <w:r w:rsidRPr="00330F6A">
        <w:t>having regard to the European Convention for the Protection of Human Rights and Fundamental Freedoms, in particular Article 2 of Protocol 4,</w:t>
      </w:r>
    </w:p>
    <w:p w14:paraId="569F3B80" w14:textId="6533C462" w:rsidR="00330F6A" w:rsidRPr="00330F6A" w:rsidRDefault="003C383A" w:rsidP="00330F6A">
      <w:pPr>
        <w:pStyle w:val="NormalHanging12a"/>
      </w:pPr>
      <w:r w:rsidRPr="00330F6A">
        <w:t>–</w:t>
      </w:r>
      <w:r w:rsidR="00330F6A" w:rsidRPr="00330F6A">
        <w:tab/>
      </w:r>
      <w:r w:rsidRPr="00330F6A">
        <w:t>having regard to the Charter of Fundamental Rights of the European Union, in particular Article 45</w:t>
      </w:r>
      <w:r w:rsidR="00193142" w:rsidRPr="00330F6A">
        <w:t xml:space="preserve"> thereof</w:t>
      </w:r>
      <w:r w:rsidRPr="00330F6A">
        <w:t>,</w:t>
      </w:r>
    </w:p>
    <w:p w14:paraId="51B1460A" w14:textId="77B2DCD8" w:rsidR="00330F6A" w:rsidRPr="00330F6A" w:rsidRDefault="003C383A" w:rsidP="00330F6A">
      <w:pPr>
        <w:pStyle w:val="NormalHanging12a"/>
      </w:pPr>
      <w:r w:rsidRPr="00330F6A">
        <w:t>–</w:t>
      </w:r>
      <w:r w:rsidR="00330F6A" w:rsidRPr="00330F6A">
        <w:tab/>
      </w:r>
      <w:r w:rsidRPr="00330F6A">
        <w:t>having regard to the Universal Declaration of Human Rights of 1948, in particular Article 13</w:t>
      </w:r>
      <w:r w:rsidR="00193142" w:rsidRPr="00330F6A">
        <w:t xml:space="preserve"> thereof</w:t>
      </w:r>
      <w:r w:rsidRPr="00330F6A">
        <w:t>,</w:t>
      </w:r>
    </w:p>
    <w:p w14:paraId="4EF363EE" w14:textId="60C9ED2A" w:rsidR="00330F6A" w:rsidRPr="00330F6A" w:rsidRDefault="003C383A" w:rsidP="00330F6A">
      <w:pPr>
        <w:pStyle w:val="NormalHanging12a"/>
      </w:pPr>
      <w:r w:rsidRPr="00330F6A">
        <w:t>–</w:t>
      </w:r>
      <w:r w:rsidR="00330F6A" w:rsidRPr="00330F6A">
        <w:tab/>
      </w:r>
      <w:r w:rsidRPr="00330F6A">
        <w:t>having regard to the international labour standards on labour migration adopted by the International Labour Conference of the I</w:t>
      </w:r>
      <w:r w:rsidR="00934128" w:rsidRPr="00330F6A">
        <w:t xml:space="preserve">nternational </w:t>
      </w:r>
      <w:r w:rsidRPr="00330F6A">
        <w:t>L</w:t>
      </w:r>
      <w:r w:rsidR="00934128" w:rsidRPr="00330F6A">
        <w:t xml:space="preserve">abour </w:t>
      </w:r>
      <w:r w:rsidRPr="00330F6A">
        <w:t>O</w:t>
      </w:r>
      <w:r w:rsidR="00934128" w:rsidRPr="00330F6A">
        <w:t>rganization</w:t>
      </w:r>
      <w:r w:rsidRPr="00330F6A">
        <w:t xml:space="preserve">, </w:t>
      </w:r>
      <w:r w:rsidR="0029422E" w:rsidRPr="00330F6A">
        <w:t xml:space="preserve">and to </w:t>
      </w:r>
      <w:r w:rsidRPr="00330F6A">
        <w:t xml:space="preserve">the International Convention on the Protection of the Rights of </w:t>
      </w:r>
      <w:r w:rsidR="00934128" w:rsidRPr="00330F6A">
        <w:t>A</w:t>
      </w:r>
      <w:r w:rsidRPr="00330F6A">
        <w:t xml:space="preserve">ll </w:t>
      </w:r>
      <w:r w:rsidR="00934128" w:rsidRPr="00330F6A">
        <w:t>M</w:t>
      </w:r>
      <w:r w:rsidRPr="00330F6A">
        <w:t xml:space="preserve">igrant </w:t>
      </w:r>
      <w:r w:rsidR="00934128" w:rsidRPr="00330F6A">
        <w:t>W</w:t>
      </w:r>
      <w:r w:rsidRPr="00330F6A">
        <w:t xml:space="preserve">orkers and </w:t>
      </w:r>
      <w:r w:rsidR="00934128" w:rsidRPr="00330F6A">
        <w:t>M</w:t>
      </w:r>
      <w:r w:rsidRPr="00330F6A">
        <w:t xml:space="preserve">embers of </w:t>
      </w:r>
      <w:r w:rsidR="00934128" w:rsidRPr="00330F6A">
        <w:t>T</w:t>
      </w:r>
      <w:r w:rsidRPr="00330F6A">
        <w:t xml:space="preserve">heir </w:t>
      </w:r>
      <w:r w:rsidR="00934128" w:rsidRPr="00330F6A">
        <w:t>F</w:t>
      </w:r>
      <w:r w:rsidRPr="00330F6A">
        <w:t xml:space="preserve">amilies </w:t>
      </w:r>
      <w:r w:rsidR="0029422E" w:rsidRPr="00330F6A">
        <w:t xml:space="preserve">adopted by the UN General Assembly on 18 December </w:t>
      </w:r>
      <w:r w:rsidRPr="00330F6A">
        <w:t>1990,</w:t>
      </w:r>
    </w:p>
    <w:p w14:paraId="3BC1D0A7" w14:textId="2E94F6DE" w:rsidR="00330F6A" w:rsidRPr="00330F6A" w:rsidRDefault="003C383A" w:rsidP="00330F6A">
      <w:pPr>
        <w:pStyle w:val="NormalHanging12a"/>
      </w:pPr>
      <w:r w:rsidRPr="00330F6A">
        <w:t>–</w:t>
      </w:r>
      <w:r w:rsidR="00330F6A" w:rsidRPr="00330F6A">
        <w:tab/>
      </w:r>
      <w:r w:rsidRPr="00330F6A">
        <w:t xml:space="preserve">having regard to the Commission </w:t>
      </w:r>
      <w:r w:rsidR="00934128" w:rsidRPr="00330F6A">
        <w:t>c</w:t>
      </w:r>
      <w:r w:rsidRPr="00330F6A">
        <w:t xml:space="preserve">ommunication </w:t>
      </w:r>
      <w:r w:rsidR="00934128" w:rsidRPr="00330F6A">
        <w:t xml:space="preserve">of 13 May 2015 </w:t>
      </w:r>
      <w:r w:rsidRPr="00330F6A">
        <w:t xml:space="preserve">entitled </w:t>
      </w:r>
      <w:r w:rsidR="00330F6A" w:rsidRPr="00330F6A">
        <w:t>‘</w:t>
      </w:r>
      <w:r w:rsidRPr="00330F6A">
        <w:t>A European Agenda on Migration</w:t>
      </w:r>
      <w:r w:rsidR="00330F6A" w:rsidRPr="00330F6A">
        <w:t>’</w:t>
      </w:r>
      <w:r w:rsidRPr="00330F6A">
        <w:t xml:space="preserve"> (</w:t>
      </w:r>
      <w:proofErr w:type="gramStart"/>
      <w:r w:rsidRPr="00330F6A">
        <w:t>COM(</w:t>
      </w:r>
      <w:proofErr w:type="gramEnd"/>
      <w:r w:rsidRPr="00330F6A">
        <w:t>2015)0240),</w:t>
      </w:r>
    </w:p>
    <w:p w14:paraId="4566C4DC" w14:textId="09315EDD" w:rsidR="00330F6A" w:rsidRPr="00330F6A" w:rsidRDefault="003C383A" w:rsidP="00330F6A">
      <w:pPr>
        <w:pStyle w:val="NormalHanging12a"/>
      </w:pPr>
      <w:r w:rsidRPr="00330F6A">
        <w:t>–</w:t>
      </w:r>
      <w:r w:rsidR="00330F6A" w:rsidRPr="00330F6A">
        <w:tab/>
      </w:r>
      <w:r w:rsidRPr="00330F6A">
        <w:t xml:space="preserve">having regard to the Commission </w:t>
      </w:r>
      <w:r w:rsidR="00934128" w:rsidRPr="00330F6A">
        <w:t>c</w:t>
      </w:r>
      <w:r w:rsidRPr="00330F6A">
        <w:t xml:space="preserve">ommunications </w:t>
      </w:r>
      <w:r w:rsidR="00934128" w:rsidRPr="00330F6A">
        <w:t xml:space="preserve">of 6 April 2016 </w:t>
      </w:r>
      <w:r w:rsidRPr="00330F6A">
        <w:t xml:space="preserve">entitled </w:t>
      </w:r>
      <w:r w:rsidR="00330F6A" w:rsidRPr="00330F6A">
        <w:t>‘</w:t>
      </w:r>
      <w:r w:rsidRPr="00330F6A">
        <w:t>Towards a reform of the Common European Asylum System and enhancing legal avenues to Europe</w:t>
      </w:r>
      <w:r w:rsidR="00330F6A" w:rsidRPr="00330F6A">
        <w:t>’</w:t>
      </w:r>
      <w:r w:rsidRPr="00330F6A">
        <w:t xml:space="preserve"> (</w:t>
      </w:r>
      <w:proofErr w:type="gramStart"/>
      <w:r w:rsidRPr="00330F6A">
        <w:t>COM(</w:t>
      </w:r>
      <w:proofErr w:type="gramEnd"/>
      <w:r w:rsidRPr="00330F6A">
        <w:t>2016)</w:t>
      </w:r>
      <w:r w:rsidR="00EC413B" w:rsidRPr="00330F6A">
        <w:t>0</w:t>
      </w:r>
      <w:r w:rsidRPr="00330F6A">
        <w:t xml:space="preserve">197) and </w:t>
      </w:r>
      <w:r w:rsidR="00934128" w:rsidRPr="00330F6A">
        <w:t xml:space="preserve">of 12 September 2018 entitled </w:t>
      </w:r>
      <w:r w:rsidR="00330F6A" w:rsidRPr="00330F6A">
        <w:t>‘</w:t>
      </w:r>
      <w:r w:rsidRPr="00330F6A">
        <w:t>Enhancing legal pathways to Europe: an indispensable part of a balanced and comprehensive migration policy</w:t>
      </w:r>
      <w:r w:rsidR="00330F6A" w:rsidRPr="00330F6A">
        <w:t>’</w:t>
      </w:r>
      <w:r w:rsidRPr="00330F6A">
        <w:t xml:space="preserve"> (COM(2018)</w:t>
      </w:r>
      <w:r w:rsidR="00EC413B" w:rsidRPr="00330F6A">
        <w:t>0</w:t>
      </w:r>
      <w:r w:rsidRPr="00330F6A">
        <w:t>635),</w:t>
      </w:r>
    </w:p>
    <w:p w14:paraId="61442F7C" w14:textId="09FC15D3" w:rsidR="00330F6A" w:rsidRPr="00330F6A" w:rsidRDefault="003C383A" w:rsidP="00330F6A">
      <w:pPr>
        <w:pStyle w:val="NormalHanging12a"/>
      </w:pPr>
      <w:r w:rsidRPr="00330F6A">
        <w:t>–</w:t>
      </w:r>
      <w:r w:rsidR="00330F6A" w:rsidRPr="00330F6A">
        <w:tab/>
      </w:r>
      <w:r w:rsidRPr="00330F6A">
        <w:t xml:space="preserve">having regard to the Commission </w:t>
      </w:r>
      <w:r w:rsidR="00934128" w:rsidRPr="00330F6A">
        <w:t>c</w:t>
      </w:r>
      <w:r w:rsidRPr="00330F6A">
        <w:t xml:space="preserve">ommunication </w:t>
      </w:r>
      <w:r w:rsidR="00934128" w:rsidRPr="00330F6A">
        <w:t xml:space="preserve">of 23 September 2020 </w:t>
      </w:r>
      <w:r w:rsidRPr="00330F6A">
        <w:t>on a New Pact on Migration and Asylum (</w:t>
      </w:r>
      <w:proofErr w:type="gramStart"/>
      <w:r w:rsidRPr="00330F6A">
        <w:t>COM(</w:t>
      </w:r>
      <w:proofErr w:type="gramEnd"/>
      <w:r w:rsidRPr="00330F6A">
        <w:t>2020)</w:t>
      </w:r>
      <w:r w:rsidR="00EC413B" w:rsidRPr="00330F6A">
        <w:t>0</w:t>
      </w:r>
      <w:r w:rsidRPr="00330F6A">
        <w:t>609),</w:t>
      </w:r>
    </w:p>
    <w:p w14:paraId="6626D344" w14:textId="29D980C7" w:rsidR="00330F6A" w:rsidRPr="00330F6A" w:rsidRDefault="003C383A" w:rsidP="00330F6A">
      <w:pPr>
        <w:pStyle w:val="NormalHanging12a"/>
      </w:pPr>
      <w:r w:rsidRPr="00330F6A">
        <w:t>–</w:t>
      </w:r>
      <w:r w:rsidR="00330F6A" w:rsidRPr="00330F6A">
        <w:tab/>
      </w:r>
      <w:r w:rsidRPr="00330F6A">
        <w:t xml:space="preserve">having regard to the </w:t>
      </w:r>
      <w:r w:rsidR="00543F58" w:rsidRPr="00330F6A">
        <w:t>a</w:t>
      </w:r>
      <w:r w:rsidRPr="00330F6A">
        <w:t xml:space="preserve">ction </w:t>
      </w:r>
      <w:r w:rsidR="00543F58" w:rsidRPr="00330F6A">
        <w:t>p</w:t>
      </w:r>
      <w:r w:rsidRPr="00330F6A">
        <w:t xml:space="preserve">lan and </w:t>
      </w:r>
      <w:r w:rsidR="00543F58" w:rsidRPr="00330F6A">
        <w:t>p</w:t>
      </w:r>
      <w:r w:rsidRPr="00330F6A">
        <w:t xml:space="preserve">olitical </w:t>
      </w:r>
      <w:r w:rsidR="00543F58" w:rsidRPr="00330F6A">
        <w:t>d</w:t>
      </w:r>
      <w:r w:rsidRPr="00330F6A">
        <w:t xml:space="preserve">eclaration adopted at the </w:t>
      </w:r>
      <w:r w:rsidR="00543F58" w:rsidRPr="00330F6A">
        <w:t>EU</w:t>
      </w:r>
      <w:r w:rsidRPr="00330F6A">
        <w:t xml:space="preserve">-Africa Summit on Migration, held in Valletta on 11 and 12 November 2015, in particular their </w:t>
      </w:r>
      <w:r w:rsidR="00543F58" w:rsidRPr="00330F6A">
        <w:t xml:space="preserve">respective </w:t>
      </w:r>
      <w:r w:rsidRPr="00330F6A">
        <w:t>part</w:t>
      </w:r>
      <w:r w:rsidR="00543F58" w:rsidRPr="00330F6A">
        <w:t>s</w:t>
      </w:r>
      <w:r w:rsidRPr="00330F6A">
        <w:t xml:space="preserve"> on legal migration and mobility,</w:t>
      </w:r>
    </w:p>
    <w:p w14:paraId="29CBCCD5" w14:textId="3AAE3092" w:rsidR="00330F6A" w:rsidRPr="00330F6A" w:rsidRDefault="003C383A" w:rsidP="00330F6A">
      <w:pPr>
        <w:pStyle w:val="NormalHanging12a"/>
      </w:pPr>
      <w:r w:rsidRPr="00330F6A">
        <w:t>–</w:t>
      </w:r>
      <w:r w:rsidR="00330F6A" w:rsidRPr="00330F6A">
        <w:tab/>
      </w:r>
      <w:r w:rsidRPr="00330F6A">
        <w:t xml:space="preserve">having regard to the Global Compact </w:t>
      </w:r>
      <w:r w:rsidR="00543F58" w:rsidRPr="00330F6A">
        <w:t>for</w:t>
      </w:r>
      <w:r w:rsidRPr="00330F6A">
        <w:t xml:space="preserve"> Safe, Orderly and Regular Migration of 1</w:t>
      </w:r>
      <w:r w:rsidR="0029422E" w:rsidRPr="00330F6A">
        <w:t>0</w:t>
      </w:r>
      <w:r w:rsidRPr="00330F6A">
        <w:t xml:space="preserve"> December 2018,</w:t>
      </w:r>
    </w:p>
    <w:p w14:paraId="18A38520" w14:textId="1C81958E" w:rsidR="00330F6A" w:rsidRPr="00330F6A" w:rsidRDefault="003C383A" w:rsidP="00330F6A">
      <w:pPr>
        <w:pStyle w:val="NormalHanging12a"/>
      </w:pPr>
      <w:r w:rsidRPr="00330F6A">
        <w:t>–</w:t>
      </w:r>
      <w:r w:rsidR="00330F6A" w:rsidRPr="00330F6A">
        <w:tab/>
      </w:r>
      <w:r w:rsidRPr="00330F6A">
        <w:t>having regard to the EU Emergency Trust Fund for Africa,</w:t>
      </w:r>
    </w:p>
    <w:p w14:paraId="5602854E" w14:textId="3E33CC43" w:rsidR="00330F6A" w:rsidRPr="00330F6A" w:rsidRDefault="003C383A" w:rsidP="00330F6A">
      <w:pPr>
        <w:pStyle w:val="NormalHanging12a"/>
      </w:pPr>
      <w:r w:rsidRPr="00330F6A">
        <w:t>–</w:t>
      </w:r>
      <w:r w:rsidR="00330F6A" w:rsidRPr="00330F6A">
        <w:tab/>
      </w:r>
      <w:r w:rsidRPr="00330F6A">
        <w:t xml:space="preserve">having regard to its resolution of 12 April 2016 on the situation in the Mediterranean </w:t>
      </w:r>
      <w:r w:rsidRPr="00330F6A">
        <w:lastRenderedPageBreak/>
        <w:t>and the need for a holistic EU approach to migration</w:t>
      </w:r>
      <w:r w:rsidRPr="00330F6A">
        <w:rPr>
          <w:rStyle w:val="FootnoteReference"/>
          <w:color w:val="000000"/>
          <w:szCs w:val="24"/>
        </w:rPr>
        <w:footnoteReference w:id="1"/>
      </w:r>
      <w:r w:rsidRPr="00330F6A">
        <w:t>,</w:t>
      </w:r>
    </w:p>
    <w:p w14:paraId="396DFEF3" w14:textId="21330E7F" w:rsidR="00330F6A" w:rsidRPr="00330F6A" w:rsidRDefault="003C383A" w:rsidP="00330F6A">
      <w:pPr>
        <w:pStyle w:val="NormalHanging12a"/>
      </w:pPr>
      <w:r w:rsidRPr="00330F6A">
        <w:t>–</w:t>
      </w:r>
      <w:r w:rsidR="00330F6A" w:rsidRPr="00330F6A">
        <w:tab/>
      </w:r>
      <w:r w:rsidRPr="00330F6A">
        <w:t xml:space="preserve">having regard to </w:t>
      </w:r>
      <w:r w:rsidR="0029422E" w:rsidRPr="00330F6A">
        <w:t xml:space="preserve">its </w:t>
      </w:r>
      <w:r w:rsidRPr="00330F6A">
        <w:t xml:space="preserve">working document </w:t>
      </w:r>
      <w:r w:rsidR="0029422E" w:rsidRPr="00330F6A">
        <w:t xml:space="preserve">of 15 January 2016 </w:t>
      </w:r>
      <w:r w:rsidRPr="00330F6A">
        <w:t>on developing adequate legal economic migration channels</w:t>
      </w:r>
      <w:r w:rsidRPr="00330F6A">
        <w:rPr>
          <w:rStyle w:val="FootnoteReference"/>
          <w:color w:val="000000"/>
          <w:szCs w:val="24"/>
        </w:rPr>
        <w:footnoteReference w:id="2"/>
      </w:r>
      <w:r w:rsidRPr="00330F6A">
        <w:t>,</w:t>
      </w:r>
    </w:p>
    <w:p w14:paraId="16315DC5" w14:textId="50C3065F" w:rsidR="00330F6A" w:rsidRPr="00330F6A" w:rsidRDefault="003C383A" w:rsidP="00330F6A">
      <w:pPr>
        <w:pStyle w:val="NormalHanging12a"/>
      </w:pPr>
      <w:r w:rsidRPr="00330F6A">
        <w:t>–</w:t>
      </w:r>
      <w:r w:rsidR="00330F6A" w:rsidRPr="00330F6A">
        <w:tab/>
      </w:r>
      <w:r w:rsidRPr="00330F6A">
        <w:t xml:space="preserve">having regard to the studies </w:t>
      </w:r>
      <w:r w:rsidR="00F911BE" w:rsidRPr="00330F6A">
        <w:t>by the Policy Department for Citizens</w:t>
      </w:r>
      <w:r w:rsidR="00330F6A" w:rsidRPr="00330F6A">
        <w:t>’</w:t>
      </w:r>
      <w:r w:rsidR="00F911BE" w:rsidRPr="00330F6A">
        <w:t xml:space="preserve"> Rights and Constitutional Affairs of its Directorate-General for Internal Policies </w:t>
      </w:r>
      <w:r w:rsidR="00130FF2" w:rsidRPr="00330F6A">
        <w:t>of September 2015 entitled</w:t>
      </w:r>
      <w:r w:rsidRPr="00330F6A">
        <w:t xml:space="preserve"> </w:t>
      </w:r>
      <w:r w:rsidR="00330F6A" w:rsidRPr="00330F6A">
        <w:t>‘</w:t>
      </w:r>
      <w:r w:rsidR="00130FF2" w:rsidRPr="00330F6A">
        <w:t>E</w:t>
      </w:r>
      <w:r w:rsidRPr="00330F6A">
        <w:t>xploring new avenues for legislation for labour migration to the E</w:t>
      </w:r>
      <w:r w:rsidR="00130FF2" w:rsidRPr="00330F6A">
        <w:t xml:space="preserve">uropean </w:t>
      </w:r>
      <w:r w:rsidRPr="00330F6A">
        <w:t>U</w:t>
      </w:r>
      <w:r w:rsidR="00130FF2" w:rsidRPr="00330F6A">
        <w:t>nion</w:t>
      </w:r>
      <w:r w:rsidR="00330F6A" w:rsidRPr="00330F6A">
        <w:t>’</w:t>
      </w:r>
      <w:r w:rsidRPr="00330F6A">
        <w:t xml:space="preserve"> and </w:t>
      </w:r>
      <w:r w:rsidR="00130FF2" w:rsidRPr="00330F6A">
        <w:t xml:space="preserve">of October 2015 entitled </w:t>
      </w:r>
      <w:r w:rsidR="00330F6A" w:rsidRPr="00330F6A">
        <w:t>‘</w:t>
      </w:r>
      <w:r w:rsidRPr="00330F6A">
        <w:t>EU cooperation with third countries in the field of migration</w:t>
      </w:r>
      <w:r w:rsidR="00330F6A" w:rsidRPr="00330F6A">
        <w:t>’</w:t>
      </w:r>
      <w:r w:rsidRPr="00330F6A">
        <w:t>, and to the EPRS study</w:t>
      </w:r>
      <w:r w:rsidR="00932EDB" w:rsidRPr="00330F6A">
        <w:t xml:space="preserve"> </w:t>
      </w:r>
      <w:r w:rsidR="00666B77" w:rsidRPr="00330F6A">
        <w:t>of March 2019</w:t>
      </w:r>
      <w:r w:rsidRPr="00330F6A">
        <w:t xml:space="preserve"> </w:t>
      </w:r>
      <w:r w:rsidR="00130FF2" w:rsidRPr="00330F6A">
        <w:t>entitled</w:t>
      </w:r>
      <w:r w:rsidRPr="00330F6A">
        <w:t xml:space="preserve"> </w:t>
      </w:r>
      <w:r w:rsidR="00330F6A" w:rsidRPr="00330F6A">
        <w:t>‘</w:t>
      </w:r>
      <w:r w:rsidRPr="00330F6A">
        <w:t>The cost of non-Europe in the area of legal migration</w:t>
      </w:r>
      <w:r w:rsidR="00330F6A" w:rsidRPr="00330F6A">
        <w:t>’</w:t>
      </w:r>
      <w:r w:rsidRPr="00330F6A">
        <w:t>,</w:t>
      </w:r>
    </w:p>
    <w:p w14:paraId="7E82BA75" w14:textId="4E79FC88" w:rsidR="00330F6A" w:rsidRPr="00330F6A" w:rsidRDefault="003C383A" w:rsidP="00330F6A">
      <w:pPr>
        <w:pStyle w:val="NormalHanging12a"/>
      </w:pPr>
      <w:r w:rsidRPr="00330F6A">
        <w:t>–</w:t>
      </w:r>
      <w:r w:rsidR="00330F6A" w:rsidRPr="00330F6A">
        <w:tab/>
      </w:r>
      <w:r w:rsidRPr="00330F6A">
        <w:t>having regard to the Commission</w:t>
      </w:r>
      <w:r w:rsidR="00330F6A" w:rsidRPr="00330F6A">
        <w:t>’</w:t>
      </w:r>
      <w:r w:rsidRPr="00330F6A">
        <w:t xml:space="preserve">s </w:t>
      </w:r>
      <w:r w:rsidR="00330F6A" w:rsidRPr="00330F6A">
        <w:t>‘</w:t>
      </w:r>
      <w:r w:rsidRPr="00330F6A">
        <w:t>Fitness Check on the EU Legislation on Legal Migration</w:t>
      </w:r>
      <w:r w:rsidR="00330F6A" w:rsidRPr="00330F6A">
        <w:t>’</w:t>
      </w:r>
      <w:r w:rsidR="00130FF2" w:rsidRPr="00330F6A">
        <w:t xml:space="preserve"> of 29 March 2019</w:t>
      </w:r>
      <w:r w:rsidR="00F51EC2" w:rsidRPr="00330F6A">
        <w:t xml:space="preserve"> </w:t>
      </w:r>
      <w:r w:rsidR="00F911BE" w:rsidRPr="00330F6A">
        <w:t>(</w:t>
      </w:r>
      <w:r w:rsidR="004A1225" w:rsidRPr="00330F6A">
        <w:t xml:space="preserve">the </w:t>
      </w:r>
      <w:r w:rsidR="00330F6A" w:rsidRPr="00330F6A">
        <w:t>‘</w:t>
      </w:r>
      <w:r w:rsidR="00F51EC2" w:rsidRPr="00330F6A">
        <w:t>Fitness Check</w:t>
      </w:r>
      <w:r w:rsidR="00330F6A" w:rsidRPr="00330F6A">
        <w:t>’</w:t>
      </w:r>
      <w:r w:rsidR="00F51EC2" w:rsidRPr="00330F6A">
        <w:t>)</w:t>
      </w:r>
      <w:r w:rsidRPr="00330F6A">
        <w:t>,</w:t>
      </w:r>
    </w:p>
    <w:p w14:paraId="1D1A4FD8" w14:textId="39AA97A4" w:rsidR="00330F6A" w:rsidRPr="00330F6A" w:rsidRDefault="003C383A" w:rsidP="00330F6A">
      <w:pPr>
        <w:pStyle w:val="NormalHanging12a"/>
      </w:pPr>
      <w:r w:rsidRPr="00330F6A">
        <w:t>–</w:t>
      </w:r>
      <w:r w:rsidR="00330F6A" w:rsidRPr="00330F6A">
        <w:tab/>
      </w:r>
      <w:r w:rsidRPr="00330F6A">
        <w:t>having regard to the studies by the European Migration Network,</w:t>
      </w:r>
    </w:p>
    <w:p w14:paraId="66EB11B7" w14:textId="5370406D" w:rsidR="00330F6A" w:rsidRPr="00330F6A" w:rsidRDefault="003C383A" w:rsidP="00330F6A">
      <w:pPr>
        <w:pStyle w:val="NormalHanging12a"/>
      </w:pPr>
      <w:r w:rsidRPr="00330F6A">
        <w:t>–</w:t>
      </w:r>
      <w:r w:rsidR="00330F6A" w:rsidRPr="00330F6A">
        <w:tab/>
        <w:t>having regard to</w:t>
      </w:r>
      <w:r w:rsidRPr="00330F6A">
        <w:t xml:space="preserve"> the studies by the </w:t>
      </w:r>
      <w:r w:rsidR="00130FF2" w:rsidRPr="00330F6A">
        <w:t>Organisation for Economic Co-operation and Development</w:t>
      </w:r>
      <w:r w:rsidRPr="00330F6A">
        <w:t>,</w:t>
      </w:r>
    </w:p>
    <w:p w14:paraId="7F947BEB" w14:textId="2C74B318" w:rsidR="00330F6A" w:rsidRPr="00330F6A" w:rsidRDefault="003C383A" w:rsidP="00330F6A">
      <w:pPr>
        <w:pStyle w:val="NormalHanging12a"/>
      </w:pPr>
      <w:r w:rsidRPr="00330F6A">
        <w:t>–</w:t>
      </w:r>
      <w:r w:rsidR="00330F6A" w:rsidRPr="00330F6A">
        <w:tab/>
      </w:r>
      <w:r w:rsidRPr="00330F6A">
        <w:t xml:space="preserve">having regard to the work and reports of the UN Special Rapporteur on the </w:t>
      </w:r>
      <w:r w:rsidR="00130FF2" w:rsidRPr="00330F6A">
        <w:t>h</w:t>
      </w:r>
      <w:r w:rsidRPr="00330F6A">
        <w:t xml:space="preserve">uman </w:t>
      </w:r>
      <w:r w:rsidR="00130FF2" w:rsidRPr="00330F6A">
        <w:t>r</w:t>
      </w:r>
      <w:r w:rsidRPr="00330F6A">
        <w:t xml:space="preserve">ights of </w:t>
      </w:r>
      <w:r w:rsidR="00130FF2" w:rsidRPr="00330F6A">
        <w:t>m</w:t>
      </w:r>
      <w:r w:rsidRPr="00330F6A">
        <w:t>igrants,</w:t>
      </w:r>
    </w:p>
    <w:p w14:paraId="3311E8B4" w14:textId="78FE0C19" w:rsidR="00330F6A" w:rsidRPr="00330F6A" w:rsidRDefault="003C383A" w:rsidP="00330F6A">
      <w:pPr>
        <w:pStyle w:val="NormalHanging12a"/>
      </w:pPr>
      <w:r w:rsidRPr="00330F6A">
        <w:t>–</w:t>
      </w:r>
      <w:r w:rsidR="00330F6A" w:rsidRPr="00330F6A">
        <w:tab/>
      </w:r>
      <w:r w:rsidRPr="00330F6A">
        <w:t>having regard to the work, reports and resolutions of the Council of Europe,</w:t>
      </w:r>
    </w:p>
    <w:p w14:paraId="481D1BCD" w14:textId="6F44EC67" w:rsidR="00330F6A" w:rsidRPr="00330F6A" w:rsidRDefault="003C383A" w:rsidP="00330F6A">
      <w:pPr>
        <w:pStyle w:val="NormalHanging12a"/>
      </w:pPr>
      <w:r w:rsidRPr="00330F6A">
        <w:t>–</w:t>
      </w:r>
      <w:r w:rsidR="00330F6A" w:rsidRPr="00330F6A">
        <w:tab/>
      </w:r>
      <w:r w:rsidRPr="00330F6A">
        <w:t>having regard to the work and reports of the International Organization for Migration,</w:t>
      </w:r>
    </w:p>
    <w:p w14:paraId="304B63CA" w14:textId="006063AF" w:rsidR="00330F6A" w:rsidRPr="00330F6A" w:rsidRDefault="003C383A" w:rsidP="00330F6A">
      <w:pPr>
        <w:pStyle w:val="NormalHanging12a"/>
        <w:rPr>
          <w:bdr w:val="none" w:sz="0" w:space="0" w:color="auto" w:frame="1"/>
        </w:rPr>
      </w:pPr>
      <w:r w:rsidRPr="00330F6A">
        <w:t>–</w:t>
      </w:r>
      <w:r w:rsidR="00330F6A" w:rsidRPr="00330F6A">
        <w:tab/>
      </w:r>
      <w:r w:rsidRPr="00330F6A">
        <w:rPr>
          <w:bdr w:val="none" w:sz="0" w:space="0" w:color="auto" w:frame="1"/>
        </w:rPr>
        <w:t xml:space="preserve">having regard to the EU legal labour migration </w:t>
      </w:r>
      <w:r w:rsidRPr="00330F6A">
        <w:rPr>
          <w:i/>
          <w:bdr w:val="none" w:sz="0" w:space="0" w:color="auto" w:frame="1"/>
        </w:rPr>
        <w:t>acquis</w:t>
      </w:r>
      <w:r w:rsidRPr="00330F6A">
        <w:rPr>
          <w:bdr w:val="none" w:sz="0" w:space="0" w:color="auto" w:frame="1"/>
        </w:rPr>
        <w:t xml:space="preserve"> developed between 2004 and 2016, which regulates the conditions of entry and residence and the rights of third</w:t>
      </w:r>
      <w:r w:rsidR="002C1EA5" w:rsidRPr="00330F6A">
        <w:rPr>
          <w:bdr w:val="none" w:sz="0" w:space="0" w:color="auto" w:frame="1"/>
        </w:rPr>
        <w:t>-</w:t>
      </w:r>
      <w:r w:rsidRPr="00330F6A">
        <w:rPr>
          <w:bdr w:val="none" w:sz="0" w:space="0" w:color="auto" w:frame="1"/>
        </w:rPr>
        <w:t>country national workers, which includes:</w:t>
      </w:r>
    </w:p>
    <w:p w14:paraId="2C5C8E97" w14:textId="3B39F893" w:rsidR="00F911BE" w:rsidRPr="004A1225" w:rsidRDefault="00575781" w:rsidP="00575781">
      <w:pPr>
        <w:widowControl/>
        <w:ind w:left="780" w:hanging="360"/>
        <w:jc w:val="both"/>
      </w:pPr>
      <w:r w:rsidRPr="004A1225">
        <w:t>-</w:t>
      </w:r>
      <w:r w:rsidRPr="004A1225">
        <w:tab/>
      </w:r>
      <w:r w:rsidR="003C383A" w:rsidRPr="004A1225">
        <w:t>Council Directive 2009/50/EC of 25 May 2009 on the conditions of entry and residence of third-country nationals for the purposes of highly qualified employment (the Blue Card Directive)</w:t>
      </w:r>
      <w:r w:rsidR="002C1EA5" w:rsidRPr="004A1225">
        <w:rPr>
          <w:rStyle w:val="FootnoteReference"/>
        </w:rPr>
        <w:footnoteReference w:id="3"/>
      </w:r>
      <w:r w:rsidR="003C383A" w:rsidRPr="004A1225">
        <w:t>,</w:t>
      </w:r>
    </w:p>
    <w:p w14:paraId="55BC98F1" w14:textId="77777777" w:rsidR="00934128" w:rsidRPr="004A1225" w:rsidRDefault="00934128" w:rsidP="00575781">
      <w:pPr>
        <w:widowControl/>
        <w:ind w:left="780" w:hanging="360"/>
        <w:jc w:val="both"/>
      </w:pPr>
    </w:p>
    <w:p w14:paraId="3F442799" w14:textId="3A01E443" w:rsidR="00F911BE" w:rsidRPr="004A1225" w:rsidRDefault="00575781" w:rsidP="00575781">
      <w:pPr>
        <w:widowControl/>
        <w:ind w:left="780" w:hanging="360"/>
        <w:jc w:val="both"/>
      </w:pPr>
      <w:r w:rsidRPr="004A1225">
        <w:t>-</w:t>
      </w:r>
      <w:r w:rsidRPr="004A1225">
        <w:tab/>
      </w:r>
      <w:r w:rsidR="003C383A" w:rsidRPr="004A1225">
        <w:t>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w:t>
      </w:r>
      <w:r w:rsidR="002C1EA5" w:rsidRPr="004A1225">
        <w:rPr>
          <w:rStyle w:val="FootnoteReference"/>
        </w:rPr>
        <w:footnoteReference w:id="4"/>
      </w:r>
      <w:r w:rsidR="003C383A" w:rsidRPr="004A1225">
        <w:t>,</w:t>
      </w:r>
    </w:p>
    <w:p w14:paraId="3FF3B377" w14:textId="3D91D11D" w:rsidR="00934128" w:rsidRPr="004A1225" w:rsidRDefault="00934128" w:rsidP="00575781">
      <w:pPr>
        <w:widowControl/>
        <w:ind w:left="780" w:hanging="360"/>
        <w:jc w:val="both"/>
      </w:pPr>
    </w:p>
    <w:p w14:paraId="0338BCF8" w14:textId="68CA777D" w:rsidR="00F911BE" w:rsidRPr="004A1225" w:rsidRDefault="00575781" w:rsidP="00575781">
      <w:pPr>
        <w:widowControl/>
        <w:ind w:left="780" w:hanging="360"/>
        <w:jc w:val="both"/>
      </w:pPr>
      <w:r w:rsidRPr="004A1225">
        <w:t>-</w:t>
      </w:r>
      <w:r w:rsidRPr="004A1225">
        <w:tab/>
      </w:r>
      <w:r w:rsidR="003C383A" w:rsidRPr="004A1225">
        <w:t>Directive 2014/36/EU of the European Parliament and of the Council of 26 February 2014 on the conditions of entry and stay of third-country nationals for the purpose of employment as seasonal workers</w:t>
      </w:r>
      <w:r w:rsidR="002C1EA5" w:rsidRPr="004A1225">
        <w:rPr>
          <w:rStyle w:val="FootnoteReference"/>
        </w:rPr>
        <w:footnoteReference w:id="5"/>
      </w:r>
      <w:r w:rsidR="003C383A" w:rsidRPr="004A1225">
        <w:t>,</w:t>
      </w:r>
    </w:p>
    <w:p w14:paraId="4CC9C39C" w14:textId="77777777" w:rsidR="00934128" w:rsidRPr="004A1225" w:rsidRDefault="00934128" w:rsidP="00575781">
      <w:pPr>
        <w:widowControl/>
        <w:ind w:left="780" w:hanging="360"/>
        <w:jc w:val="both"/>
      </w:pPr>
    </w:p>
    <w:p w14:paraId="13FEC37F" w14:textId="7765C7BC" w:rsidR="00F911BE" w:rsidRPr="004A1225" w:rsidRDefault="00575781" w:rsidP="00575781">
      <w:pPr>
        <w:widowControl/>
        <w:ind w:left="780" w:hanging="360"/>
        <w:jc w:val="both"/>
      </w:pPr>
      <w:r w:rsidRPr="004A1225">
        <w:lastRenderedPageBreak/>
        <w:t>-</w:t>
      </w:r>
      <w:r w:rsidRPr="004A1225">
        <w:tab/>
      </w:r>
      <w:r w:rsidR="003C383A" w:rsidRPr="004A1225">
        <w:t>Directive 2014/66/EU of the European Parliament and of the Council of 15 May 2014 on the conditions of entry and residence of third-country nationals in the framework of an intra-corporate transfer</w:t>
      </w:r>
      <w:r w:rsidR="002945A0" w:rsidRPr="004A1225">
        <w:rPr>
          <w:rStyle w:val="FootnoteReference"/>
        </w:rPr>
        <w:footnoteReference w:id="6"/>
      </w:r>
      <w:r w:rsidR="003C383A" w:rsidRPr="004A1225">
        <w:t>,</w:t>
      </w:r>
    </w:p>
    <w:p w14:paraId="754DF5F5" w14:textId="77777777" w:rsidR="00934128" w:rsidRPr="004A1225" w:rsidRDefault="00934128" w:rsidP="00575781">
      <w:pPr>
        <w:widowControl/>
        <w:ind w:left="780" w:hanging="360"/>
        <w:jc w:val="both"/>
      </w:pPr>
    </w:p>
    <w:p w14:paraId="4F5C26E6" w14:textId="7F2926BA" w:rsidR="00934128" w:rsidRPr="004A1225" w:rsidRDefault="00575781" w:rsidP="00575781">
      <w:pPr>
        <w:widowControl/>
        <w:ind w:left="780" w:hanging="360"/>
        <w:jc w:val="both"/>
      </w:pPr>
      <w:r w:rsidRPr="004A1225">
        <w:t>-</w:t>
      </w:r>
      <w:r w:rsidRPr="004A1225">
        <w:tab/>
      </w:r>
      <w:r w:rsidR="003C383A" w:rsidRPr="004A1225">
        <w:t>Directive </w:t>
      </w:r>
      <w:r w:rsidR="002945A0" w:rsidRPr="004A1225">
        <w:t xml:space="preserve">(EU) </w:t>
      </w:r>
      <w:r w:rsidR="003C383A" w:rsidRPr="004A1225">
        <w:t>2016/801 of the European Parliament and of the Council of 11 May 2016 on the conditions of entry and residence of third-country nationals for the purposes of research, studies, training, voluntary service, pupil exchange schemes or educational projects and au pairing</w:t>
      </w:r>
      <w:r w:rsidR="002945A0" w:rsidRPr="004A1225">
        <w:rPr>
          <w:rStyle w:val="FootnoteReference"/>
        </w:rPr>
        <w:footnoteReference w:id="7"/>
      </w:r>
      <w:r w:rsidR="003C383A" w:rsidRPr="004A1225">
        <w:t>,</w:t>
      </w:r>
    </w:p>
    <w:p w14:paraId="1D4D216B" w14:textId="77777777" w:rsidR="003C383A" w:rsidRPr="004A1225" w:rsidRDefault="003C383A" w:rsidP="003C383A"/>
    <w:p w14:paraId="71EC122F" w14:textId="128DAEA8" w:rsidR="00330F6A" w:rsidRPr="00330F6A" w:rsidRDefault="003C383A" w:rsidP="00212878">
      <w:pPr>
        <w:pStyle w:val="NormalHanging12a"/>
      </w:pPr>
      <w:r w:rsidRPr="00330F6A">
        <w:t>–</w:t>
      </w:r>
      <w:r w:rsidR="00330F6A" w:rsidRPr="00330F6A">
        <w:tab/>
      </w:r>
      <w:r w:rsidRPr="00330F6A">
        <w:t xml:space="preserve">having regard to the </w:t>
      </w:r>
      <w:r w:rsidR="00666B77" w:rsidRPr="00330F6A">
        <w:t xml:space="preserve">Commission </w:t>
      </w:r>
      <w:r w:rsidR="00130FF2" w:rsidRPr="00330F6A">
        <w:t>p</w:t>
      </w:r>
      <w:r w:rsidRPr="00330F6A">
        <w:t xml:space="preserve">roposal </w:t>
      </w:r>
      <w:r w:rsidR="00666B77" w:rsidRPr="00330F6A">
        <w:t xml:space="preserve">of 7 June 2016 </w:t>
      </w:r>
      <w:r w:rsidRPr="00330F6A">
        <w:t>for a Directive of the European Parliament and of the Council on the conditions of entry and residence of third-country nationals for the purposes of highly skilled employment (COM</w:t>
      </w:r>
      <w:r w:rsidR="00EC413B" w:rsidRPr="00330F6A">
        <w:t>(</w:t>
      </w:r>
      <w:r w:rsidRPr="00330F6A">
        <w:t>2016</w:t>
      </w:r>
      <w:r w:rsidR="00EC413B" w:rsidRPr="00330F6A">
        <w:t>)</w:t>
      </w:r>
      <w:r w:rsidRPr="00330F6A">
        <w:t>0378), and the respective positions adopted by the European Parliament and the Council in 2017,</w:t>
      </w:r>
    </w:p>
    <w:p w14:paraId="138343AE" w14:textId="135D9055" w:rsidR="00330F6A" w:rsidRPr="00330F6A" w:rsidRDefault="003C383A" w:rsidP="00212878">
      <w:pPr>
        <w:pStyle w:val="NormalHanging12a"/>
      </w:pPr>
      <w:r w:rsidRPr="00330F6A">
        <w:t>–</w:t>
      </w:r>
      <w:r w:rsidR="00330F6A" w:rsidRPr="00330F6A">
        <w:tab/>
      </w:r>
      <w:r w:rsidRPr="00330F6A">
        <w:t>having regard to the directives which regulate the conditions of entry and residence and the rights of other more general categories of third</w:t>
      </w:r>
      <w:r w:rsidR="002C1EA5" w:rsidRPr="00330F6A">
        <w:t>-</w:t>
      </w:r>
      <w:r w:rsidRPr="00330F6A">
        <w:t xml:space="preserve">country nationals, such as the directives on the right to family reunification and on the status of third-country nationals </w:t>
      </w:r>
      <w:r w:rsidR="00666B77" w:rsidRPr="00330F6A">
        <w:t>(</w:t>
      </w:r>
      <w:r w:rsidR="002C1EA5" w:rsidRPr="00330F6A">
        <w:t>TCNs</w:t>
      </w:r>
      <w:r w:rsidR="00666B77" w:rsidRPr="00330F6A">
        <w:t>)</w:t>
      </w:r>
      <w:r w:rsidR="002C1EA5" w:rsidRPr="00330F6A">
        <w:t xml:space="preserve"> </w:t>
      </w:r>
      <w:r w:rsidRPr="00330F6A">
        <w:t>who are long-term residents,</w:t>
      </w:r>
    </w:p>
    <w:p w14:paraId="724FCD49" w14:textId="749E139F" w:rsidR="00330F6A" w:rsidRPr="00330F6A" w:rsidRDefault="003C383A" w:rsidP="00212878">
      <w:pPr>
        <w:pStyle w:val="NormalHanging12a"/>
        <w:rPr>
          <w:lang w:eastAsia="en-US"/>
        </w:rPr>
      </w:pPr>
      <w:r w:rsidRPr="00330F6A">
        <w:t>–</w:t>
      </w:r>
      <w:r w:rsidR="00330F6A" w:rsidRPr="00330F6A">
        <w:tab/>
      </w:r>
      <w:r w:rsidRPr="00330F6A">
        <w:t xml:space="preserve">having regard to the directives which regulate the conditions of entry and stay for categories of TCNs who </w:t>
      </w:r>
      <w:r w:rsidR="002C1EA5" w:rsidRPr="00330F6A">
        <w:t>are</w:t>
      </w:r>
      <w:r w:rsidRPr="00330F6A">
        <w:t xml:space="preserve"> not enter</w:t>
      </w:r>
      <w:r w:rsidR="002C1EA5" w:rsidRPr="00330F6A">
        <w:t>ing</w:t>
      </w:r>
      <w:r w:rsidRPr="00330F6A">
        <w:t xml:space="preserve"> the EU in order to work</w:t>
      </w:r>
      <w:r w:rsidR="002C1EA5" w:rsidRPr="00330F6A">
        <w:t>,</w:t>
      </w:r>
      <w:r w:rsidRPr="00330F6A">
        <w:t xml:space="preserve"> but are allowed to do so, such as the directives granting beneficiaries of international protection the right of access to employment and self-employment upon recognition of their status, or granting applicants for international protection access to the labour market no later than </w:t>
      </w:r>
      <w:r w:rsidR="002C1EA5" w:rsidRPr="00330F6A">
        <w:t>nine</w:t>
      </w:r>
      <w:r w:rsidRPr="00330F6A">
        <w:t xml:space="preserve"> months after their application has been lodged,</w:t>
      </w:r>
    </w:p>
    <w:p w14:paraId="1E0B94ED" w14:textId="5D17495C" w:rsidR="00330F6A" w:rsidRPr="00330F6A" w:rsidRDefault="003C383A" w:rsidP="00212878">
      <w:pPr>
        <w:pStyle w:val="NormalHanging12a"/>
        <w:rPr>
          <w:rFonts w:eastAsiaTheme="minorHAnsi"/>
          <w:lang w:eastAsia="en-US"/>
        </w:rPr>
      </w:pPr>
      <w:r w:rsidRPr="00330F6A">
        <w:t>–</w:t>
      </w:r>
      <w:r w:rsidR="00330F6A" w:rsidRPr="00330F6A">
        <w:tab/>
      </w:r>
      <w:r w:rsidRPr="00330F6A">
        <w:t>having regard to Rule 54 of its Rules of Procedure,</w:t>
      </w:r>
    </w:p>
    <w:p w14:paraId="34347C2D" w14:textId="28F50F10" w:rsidR="00330F6A" w:rsidRPr="00330F6A" w:rsidRDefault="00EC413B" w:rsidP="00212878">
      <w:pPr>
        <w:pStyle w:val="NormalHanging12a"/>
        <w:rPr>
          <w:szCs w:val="24"/>
        </w:rPr>
      </w:pPr>
      <w:r w:rsidRPr="00330F6A">
        <w:rPr>
          <w:szCs w:val="24"/>
        </w:rPr>
        <w:t>–</w:t>
      </w:r>
      <w:r w:rsidR="00330F6A" w:rsidRPr="00330F6A">
        <w:rPr>
          <w:szCs w:val="24"/>
        </w:rPr>
        <w:tab/>
      </w:r>
      <w:r w:rsidRPr="00330F6A">
        <w:rPr>
          <w:szCs w:val="24"/>
        </w:rPr>
        <w:t>having regard to the opinion of the Committee on Employment and Social Affairs,</w:t>
      </w:r>
    </w:p>
    <w:p w14:paraId="1B1ED021" w14:textId="5FC80F1D" w:rsidR="00330F6A" w:rsidRPr="00330F6A" w:rsidRDefault="00EC413B" w:rsidP="00212878">
      <w:pPr>
        <w:pStyle w:val="NormalHanging12a"/>
        <w:rPr>
          <w:szCs w:val="24"/>
        </w:rPr>
      </w:pPr>
      <w:r w:rsidRPr="00330F6A">
        <w:rPr>
          <w:szCs w:val="24"/>
        </w:rPr>
        <w:t>–</w:t>
      </w:r>
      <w:r w:rsidR="00330F6A" w:rsidRPr="00330F6A">
        <w:rPr>
          <w:szCs w:val="24"/>
        </w:rPr>
        <w:tab/>
      </w:r>
      <w:r w:rsidRPr="00330F6A">
        <w:rPr>
          <w:szCs w:val="24"/>
        </w:rPr>
        <w:t xml:space="preserve">having regard to the report of the </w:t>
      </w:r>
      <w:r w:rsidRPr="00330F6A">
        <w:t xml:space="preserve">Committee on Civil Liberties, Justice and Home Affairs </w:t>
      </w:r>
      <w:r w:rsidRPr="00330F6A">
        <w:rPr>
          <w:szCs w:val="24"/>
        </w:rPr>
        <w:t>(A9-0000/2020)</w:t>
      </w:r>
      <w:r w:rsidR="00330F6A">
        <w:rPr>
          <w:szCs w:val="24"/>
        </w:rPr>
        <w:t>,</w:t>
      </w:r>
    </w:p>
    <w:p w14:paraId="4ADADB7D" w14:textId="3FC0C5F3" w:rsidR="00330F6A" w:rsidRPr="00330F6A" w:rsidRDefault="00330F6A" w:rsidP="00212878">
      <w:pPr>
        <w:pStyle w:val="NormalHanging12a"/>
      </w:pPr>
      <w:r w:rsidRPr="00330F6A">
        <w:rPr>
          <w:rFonts w:eastAsiaTheme="minorHAnsi"/>
          <w:szCs w:val="24"/>
          <w:lang w:eastAsia="en-US"/>
        </w:rPr>
        <w:t>1.</w:t>
      </w:r>
      <w:r w:rsidRPr="00330F6A">
        <w:rPr>
          <w:rFonts w:eastAsiaTheme="minorHAnsi"/>
          <w:szCs w:val="24"/>
          <w:lang w:eastAsia="en-US"/>
        </w:rPr>
        <w:tab/>
      </w:r>
      <w:r w:rsidR="008335A4" w:rsidRPr="00330F6A">
        <w:t>S</w:t>
      </w:r>
      <w:r w:rsidR="003C383A" w:rsidRPr="00330F6A">
        <w:t>tarts from the principle that people are constantly on the move and that migration needs to be managed properly; believes that to address the issue of legal migration, it</w:t>
      </w:r>
      <w:r w:rsidR="00CF7FB5" w:rsidRPr="00330F6A">
        <w:t xml:space="preserve"> i</w:t>
      </w:r>
      <w:r w:rsidR="003C383A" w:rsidRPr="00330F6A">
        <w:t>s best to start with the most obvious policy improvements and move towards more ambitious reforms;</w:t>
      </w:r>
    </w:p>
    <w:p w14:paraId="52B24419" w14:textId="77777777" w:rsidR="003C383A" w:rsidRPr="004A1225" w:rsidRDefault="003C383A" w:rsidP="00212878">
      <w:pPr>
        <w:pStyle w:val="Body"/>
        <w:rPr>
          <w:rFonts w:ascii="Times New Roman" w:hAnsi="Times New Roman" w:cs="Times New Roman"/>
          <w:b/>
          <w:bCs/>
          <w:i/>
          <w:iCs/>
          <w:lang w:val="en-GB"/>
        </w:rPr>
      </w:pPr>
      <w:r w:rsidRPr="004A1225">
        <w:rPr>
          <w:rFonts w:ascii="Times New Roman" w:hAnsi="Times New Roman" w:cs="Times New Roman"/>
          <w:b/>
          <w:bCs/>
          <w:i/>
          <w:iCs/>
          <w:lang w:val="en-GB"/>
        </w:rPr>
        <w:t>The current EU legislative framework</w:t>
      </w:r>
    </w:p>
    <w:p w14:paraId="1BEB5A09" w14:textId="77777777" w:rsidR="003C383A" w:rsidRPr="004A1225" w:rsidRDefault="003C383A" w:rsidP="00212878">
      <w:pPr>
        <w:pStyle w:val="Body"/>
        <w:rPr>
          <w:rFonts w:ascii="Times New Roman" w:hAnsi="Times New Roman" w:cs="Times New Roman"/>
          <w:lang w:val="en-GB"/>
        </w:rPr>
      </w:pPr>
    </w:p>
    <w:p w14:paraId="6171A190" w14:textId="147950AE" w:rsidR="00330F6A" w:rsidRPr="00330F6A" w:rsidRDefault="002D545F" w:rsidP="00212878">
      <w:pPr>
        <w:pStyle w:val="NormalHanging12a"/>
      </w:pPr>
      <w:r w:rsidRPr="00330F6A">
        <w:t>2</w:t>
      </w:r>
      <w:r w:rsidR="00575781" w:rsidRPr="00330F6A">
        <w:t>.</w:t>
      </w:r>
      <w:r w:rsidR="00330F6A" w:rsidRPr="00330F6A">
        <w:tab/>
      </w:r>
      <w:r w:rsidR="003C383A" w:rsidRPr="00330F6A">
        <w:t xml:space="preserve">Notes that Article 79 </w:t>
      </w:r>
      <w:r w:rsidR="00F51EC2" w:rsidRPr="00330F6A">
        <w:t xml:space="preserve">of the </w:t>
      </w:r>
      <w:r w:rsidR="003C383A" w:rsidRPr="00330F6A">
        <w:t xml:space="preserve">TFEU provides for the management of legal migration at Union level and commits the Member States to developing a common immigration policy, including common rules on conditions of entry and residence </w:t>
      </w:r>
      <w:r w:rsidR="003C383A" w:rsidRPr="00330F6A">
        <w:rPr>
          <w:iCs/>
        </w:rPr>
        <w:t>for TCNs and the rights they enjoy once legally residing</w:t>
      </w:r>
      <w:r w:rsidR="00F51EC2" w:rsidRPr="00330F6A">
        <w:rPr>
          <w:iCs/>
        </w:rPr>
        <w:t xml:space="preserve"> in </w:t>
      </w:r>
      <w:r w:rsidR="00CF7FB5" w:rsidRPr="00330F6A">
        <w:rPr>
          <w:iCs/>
        </w:rPr>
        <w:t>the Union</w:t>
      </w:r>
      <w:r w:rsidR="003C383A" w:rsidRPr="00330F6A">
        <w:t xml:space="preserve">; </w:t>
      </w:r>
      <w:r w:rsidR="003C383A" w:rsidRPr="00330F6A">
        <w:lastRenderedPageBreak/>
        <w:t xml:space="preserve">acknowledges that Article 79(5) </w:t>
      </w:r>
      <w:r w:rsidR="00F51EC2" w:rsidRPr="00330F6A">
        <w:t xml:space="preserve">of the </w:t>
      </w:r>
      <w:r w:rsidR="003C383A" w:rsidRPr="00330F6A">
        <w:t>TFEU reserves the right for Member States to determine volumes of admission of TCNs coming to their territory to seek work;</w:t>
      </w:r>
    </w:p>
    <w:p w14:paraId="1D32CCD6" w14:textId="1001AC4E" w:rsidR="00330F6A" w:rsidRPr="00330F6A" w:rsidRDefault="002D545F" w:rsidP="00212878">
      <w:pPr>
        <w:pStyle w:val="NormalHanging12a"/>
      </w:pPr>
      <w:r w:rsidRPr="00330F6A">
        <w:t>3</w:t>
      </w:r>
      <w:r w:rsidR="00575781" w:rsidRPr="00330F6A">
        <w:t>.</w:t>
      </w:r>
      <w:r w:rsidR="00330F6A" w:rsidRPr="00330F6A">
        <w:tab/>
      </w:r>
      <w:r w:rsidR="003C383A" w:rsidRPr="00330F6A">
        <w:t>Underlines the positive effects of the EU framework on legal migration identified by the</w:t>
      </w:r>
      <w:r w:rsidR="00934128" w:rsidRPr="00330F6A">
        <w:t xml:space="preserve"> </w:t>
      </w:r>
      <w:r w:rsidR="003C383A" w:rsidRPr="00330F6A">
        <w:t>Commission in its Fitness Check, including a degree of harmonisation of conditions, procedures and rights, and increased legal certainty for TCNs, employers and administrations;</w:t>
      </w:r>
    </w:p>
    <w:p w14:paraId="41E9A972" w14:textId="36D47465" w:rsidR="00330F6A" w:rsidRPr="00330F6A" w:rsidRDefault="002D545F" w:rsidP="00212878">
      <w:pPr>
        <w:pStyle w:val="NormalHanging12a"/>
      </w:pPr>
      <w:r w:rsidRPr="00330F6A">
        <w:t>4</w:t>
      </w:r>
      <w:r w:rsidR="00575781" w:rsidRPr="00330F6A">
        <w:t>.</w:t>
      </w:r>
      <w:r w:rsidR="00330F6A" w:rsidRPr="00330F6A">
        <w:tab/>
      </w:r>
      <w:r w:rsidR="003C383A" w:rsidRPr="00330F6A">
        <w:t>Recalls that the existing framework regulating legal migration to the Union is fragmented, focuses on specific categories of workers only, does not treat these categories in the same way and permits the existence of parallel national</w:t>
      </w:r>
      <w:r w:rsidR="00F911BE" w:rsidRPr="00330F6A">
        <w:t xml:space="preserve"> legislative</w:t>
      </w:r>
      <w:r w:rsidR="003C383A" w:rsidRPr="00330F6A">
        <w:t xml:space="preserve"> frameworks, </w:t>
      </w:r>
      <w:r w:rsidR="00F911BE" w:rsidRPr="00330F6A">
        <w:t xml:space="preserve">which </w:t>
      </w:r>
      <w:r w:rsidR="00CF7FB5" w:rsidRPr="00330F6A">
        <w:t>puts th</w:t>
      </w:r>
      <w:r w:rsidRPr="00330F6A">
        <w:t>ose national legislative frameworks</w:t>
      </w:r>
      <w:r w:rsidR="00F911BE" w:rsidRPr="00330F6A">
        <w:t xml:space="preserve"> </w:t>
      </w:r>
      <w:r w:rsidR="003C383A" w:rsidRPr="00330F6A">
        <w:t>in competition with one another and the Union framework;</w:t>
      </w:r>
    </w:p>
    <w:p w14:paraId="3FE490B3" w14:textId="23813E99" w:rsidR="00330F6A" w:rsidRPr="00330F6A" w:rsidRDefault="002D545F" w:rsidP="00212878">
      <w:pPr>
        <w:pStyle w:val="NormalHanging12a"/>
      </w:pPr>
      <w:r w:rsidRPr="00330F6A">
        <w:t>5</w:t>
      </w:r>
      <w:r w:rsidR="00575781" w:rsidRPr="00330F6A">
        <w:t>.</w:t>
      </w:r>
      <w:r w:rsidR="00330F6A" w:rsidRPr="00330F6A">
        <w:tab/>
      </w:r>
      <w:r w:rsidR="003C383A" w:rsidRPr="00330F6A">
        <w:t>Believes that such an approach only serves to meet short</w:t>
      </w:r>
      <w:r w:rsidR="004A1225" w:rsidRPr="00330F6A">
        <w:t>-</w:t>
      </w:r>
      <w:r w:rsidR="003C383A" w:rsidRPr="00330F6A">
        <w:t>term needs and is not in keeping with the Union</w:t>
      </w:r>
      <w:r w:rsidR="00330F6A" w:rsidRPr="00330F6A">
        <w:t>’</w:t>
      </w:r>
      <w:r w:rsidR="003C383A" w:rsidRPr="00330F6A">
        <w:t>s goal of having a comprehensive approach to migration policy</w:t>
      </w:r>
      <w:proofErr w:type="gramStart"/>
      <w:r w:rsidR="003C383A" w:rsidRPr="00330F6A">
        <w:t>;</w:t>
      </w:r>
      <w:proofErr w:type="gramEnd"/>
    </w:p>
    <w:p w14:paraId="33F8ECED" w14:textId="2AF181DA" w:rsidR="00330F6A" w:rsidRPr="00330F6A" w:rsidRDefault="002D545F" w:rsidP="00212878">
      <w:pPr>
        <w:pStyle w:val="NormalHanging12a"/>
      </w:pPr>
      <w:r w:rsidRPr="00330F6A">
        <w:t>6</w:t>
      </w:r>
      <w:r w:rsidR="00575781" w:rsidRPr="00330F6A">
        <w:t>.</w:t>
      </w:r>
      <w:r w:rsidR="00330F6A" w:rsidRPr="00330F6A">
        <w:tab/>
      </w:r>
      <w:r w:rsidR="003C383A" w:rsidRPr="00330F6A">
        <w:t xml:space="preserve">Highlights that in its Fitness Check, the Commission reached a similar conclusion and identified the need to address inconsistencies, gaps and shortcomings through a wide range of measures, including legislative </w:t>
      </w:r>
      <w:r w:rsidR="004A1225" w:rsidRPr="00330F6A">
        <w:t>measures</w:t>
      </w:r>
      <w:proofErr w:type="gramStart"/>
      <w:r w:rsidR="003C383A" w:rsidRPr="00330F6A">
        <w:t>;</w:t>
      </w:r>
      <w:proofErr w:type="gramEnd"/>
    </w:p>
    <w:p w14:paraId="401B8C4B" w14:textId="77777777" w:rsidR="003C383A" w:rsidRPr="004A1225" w:rsidRDefault="003C383A" w:rsidP="00212878">
      <w:pPr>
        <w:rPr>
          <w:rFonts w:eastAsia="Arial Unicode MS"/>
          <w:b/>
          <w:bCs/>
          <w:iCs/>
          <w:color w:val="000000"/>
          <w:bdr w:val="none" w:sz="0" w:space="0" w:color="auto" w:frame="1"/>
          <w14:textOutline w14:w="0" w14:cap="flat" w14:cmpd="sng" w14:algn="ctr">
            <w14:noFill/>
            <w14:prstDash w14:val="solid"/>
            <w14:bevel/>
          </w14:textOutline>
        </w:rPr>
      </w:pPr>
      <w:r w:rsidRPr="004A1225">
        <w:rPr>
          <w:b/>
          <w:bCs/>
          <w:i/>
          <w:iCs/>
        </w:rPr>
        <w:t>Adopting a simplified approach</w:t>
      </w:r>
    </w:p>
    <w:p w14:paraId="7BE1DF13" w14:textId="77777777" w:rsidR="003C383A" w:rsidRPr="004A1225" w:rsidRDefault="003C383A" w:rsidP="00212878">
      <w:pPr>
        <w:pStyle w:val="Body"/>
        <w:rPr>
          <w:rFonts w:ascii="Times New Roman" w:hAnsi="Times New Roman" w:cs="Times New Roman"/>
          <w:b/>
          <w:bCs/>
          <w:iCs/>
          <w:lang w:val="en-GB"/>
        </w:rPr>
      </w:pPr>
    </w:p>
    <w:p w14:paraId="33C15F03" w14:textId="3606F455" w:rsidR="00330F6A" w:rsidRPr="00330F6A" w:rsidRDefault="002D545F" w:rsidP="00212878">
      <w:pPr>
        <w:pStyle w:val="NormalHanging12a"/>
        <w:rPr>
          <w:szCs w:val="24"/>
        </w:rPr>
      </w:pPr>
      <w:r w:rsidRPr="00330F6A">
        <w:t>7</w:t>
      </w:r>
      <w:r w:rsidR="00575781" w:rsidRPr="00330F6A">
        <w:t>.</w:t>
      </w:r>
      <w:r w:rsidR="00330F6A" w:rsidRPr="00330F6A">
        <w:tab/>
      </w:r>
      <w:r w:rsidR="003C383A" w:rsidRPr="00330F6A">
        <w:rPr>
          <w:iCs/>
        </w:rPr>
        <w:t xml:space="preserve">Points out that the current legal framework and the divergent implementation of the existing directives by </w:t>
      </w:r>
      <w:r w:rsidR="00E02DD1" w:rsidRPr="00330F6A">
        <w:rPr>
          <w:iCs/>
        </w:rPr>
        <w:t xml:space="preserve">the </w:t>
      </w:r>
      <w:r w:rsidR="003C383A" w:rsidRPr="00330F6A">
        <w:rPr>
          <w:iCs/>
        </w:rPr>
        <w:t>Member States</w:t>
      </w:r>
      <w:r w:rsidR="003C383A" w:rsidRPr="00330F6A">
        <w:t xml:space="preserve"> </w:t>
      </w:r>
      <w:r w:rsidR="004A1225" w:rsidRPr="00330F6A">
        <w:t xml:space="preserve">have </w:t>
      </w:r>
      <w:r w:rsidR="003C383A" w:rsidRPr="00330F6A">
        <w:t>result</w:t>
      </w:r>
      <w:r w:rsidR="004A1225" w:rsidRPr="00330F6A">
        <w:t>ed</w:t>
      </w:r>
      <w:r w:rsidR="003C383A" w:rsidRPr="00330F6A">
        <w:t xml:space="preserve"> in many inconsistencies for TCNs </w:t>
      </w:r>
      <w:r w:rsidR="00CF7FB5" w:rsidRPr="00330F6A">
        <w:t>as regards</w:t>
      </w:r>
      <w:r w:rsidR="003C383A" w:rsidRPr="00330F6A">
        <w:t xml:space="preserve"> equal treatment, entry and re-entry conditions, work authorisation, residence status, intra-EU mobility, social security coordination, recognition of qualifications and family reunification; stresses that th</w:t>
      </w:r>
      <w:r w:rsidR="004A1225" w:rsidRPr="00330F6A">
        <w:t>e</w:t>
      </w:r>
      <w:r w:rsidR="003C383A" w:rsidRPr="00330F6A">
        <w:t>se inconsistencies also create difficulties for businesses that employ TCNs</w:t>
      </w:r>
      <w:r w:rsidR="006573BE" w:rsidRPr="00330F6A">
        <w:rPr>
          <w:rStyle w:val="FootnoteReference"/>
          <w:color w:val="000000"/>
        </w:rPr>
        <w:footnoteReference w:id="8"/>
      </w:r>
      <w:r w:rsidR="008A10C4" w:rsidRPr="00330F6A">
        <w:t>;</w:t>
      </w:r>
    </w:p>
    <w:p w14:paraId="2C864EB1" w14:textId="56633845" w:rsidR="00330F6A" w:rsidRPr="00330F6A" w:rsidRDefault="002D545F" w:rsidP="00212878">
      <w:pPr>
        <w:pStyle w:val="NormalHanging12a"/>
      </w:pPr>
      <w:r w:rsidRPr="00330F6A">
        <w:t>8</w:t>
      </w:r>
      <w:r w:rsidR="00575781" w:rsidRPr="00330F6A">
        <w:t>.</w:t>
      </w:r>
      <w:r w:rsidR="00330F6A" w:rsidRPr="00330F6A">
        <w:tab/>
      </w:r>
      <w:r w:rsidR="003C383A" w:rsidRPr="00330F6A">
        <w:t xml:space="preserve">Emphasises the added value </w:t>
      </w:r>
      <w:r w:rsidR="004A1225" w:rsidRPr="00330F6A">
        <w:t>of</w:t>
      </w:r>
      <w:r w:rsidR="003C383A" w:rsidRPr="00330F6A">
        <w:t xml:space="preserve"> having a Union framework for legal migration as part of a holistic approach to migration, </w:t>
      </w:r>
      <w:r w:rsidR="00E02DD1" w:rsidRPr="00330F6A">
        <w:t>as it</w:t>
      </w:r>
      <w:r w:rsidR="003C383A" w:rsidRPr="00330F6A">
        <w:t xml:space="preserve"> provide</w:t>
      </w:r>
      <w:r w:rsidR="00E02DD1" w:rsidRPr="00330F6A">
        <w:t>s</w:t>
      </w:r>
      <w:r w:rsidR="003C383A" w:rsidRPr="00330F6A">
        <w:t xml:space="preserve"> opportunit</w:t>
      </w:r>
      <w:r w:rsidR="004A1225" w:rsidRPr="00330F6A">
        <w:t>ies</w:t>
      </w:r>
      <w:r w:rsidR="003C383A" w:rsidRPr="00330F6A">
        <w:t xml:space="preserve"> through legal pathways for those seeking work, encourage</w:t>
      </w:r>
      <w:r w:rsidR="00E02DD1" w:rsidRPr="00330F6A">
        <w:t>s</w:t>
      </w:r>
      <w:r w:rsidR="003C383A" w:rsidRPr="00330F6A">
        <w:t xml:space="preserve"> more orderly migration, attract</w:t>
      </w:r>
      <w:r w:rsidR="00E02DD1" w:rsidRPr="00330F6A">
        <w:t>s</w:t>
      </w:r>
      <w:r w:rsidR="003C383A" w:rsidRPr="00330F6A">
        <w:t xml:space="preserve"> workers that the EU labour markets need, and ensure</w:t>
      </w:r>
      <w:r w:rsidR="00E02DD1" w:rsidRPr="00330F6A">
        <w:t>s</w:t>
      </w:r>
      <w:r w:rsidR="003C383A" w:rsidRPr="00330F6A">
        <w:t xml:space="preserve"> that TCN workers are treated in accordance with fundamental rights in the EU;</w:t>
      </w:r>
    </w:p>
    <w:p w14:paraId="1B0EC9C7" w14:textId="40205C46" w:rsidR="00330F6A" w:rsidRPr="00330F6A" w:rsidRDefault="002D545F" w:rsidP="00212878">
      <w:pPr>
        <w:pStyle w:val="NormalHanging12a"/>
      </w:pPr>
      <w:r w:rsidRPr="00330F6A">
        <w:t>9</w:t>
      </w:r>
      <w:r w:rsidR="00575781" w:rsidRPr="00330F6A">
        <w:t>.</w:t>
      </w:r>
      <w:r w:rsidR="00330F6A" w:rsidRPr="00330F6A">
        <w:tab/>
      </w:r>
      <w:r w:rsidR="003C383A" w:rsidRPr="00330F6A">
        <w:t xml:space="preserve">Reiterates that better and more consistent implementation of the current legislative framework, and better enforcement of the rights laid down in the existing directives, are the first </w:t>
      </w:r>
      <w:r w:rsidR="004A1225" w:rsidRPr="00330F6A">
        <w:t xml:space="preserve">practical </w:t>
      </w:r>
      <w:r w:rsidR="003C383A" w:rsidRPr="00330F6A">
        <w:t xml:space="preserve">steps </w:t>
      </w:r>
      <w:r w:rsidR="004A1225" w:rsidRPr="00330F6A">
        <w:t xml:space="preserve">that need </w:t>
      </w:r>
      <w:r w:rsidR="003C383A" w:rsidRPr="00330F6A">
        <w:t>to be taken;</w:t>
      </w:r>
    </w:p>
    <w:p w14:paraId="6989772B" w14:textId="48773AC4" w:rsidR="00330F6A" w:rsidRPr="00330F6A" w:rsidRDefault="002D545F" w:rsidP="00212878">
      <w:pPr>
        <w:pStyle w:val="NormalHanging12a"/>
        <w:rPr>
          <w:bCs/>
          <w:iCs/>
        </w:rPr>
      </w:pPr>
      <w:r w:rsidRPr="00330F6A">
        <w:rPr>
          <w:bCs/>
          <w:iCs/>
        </w:rPr>
        <w:t>10</w:t>
      </w:r>
      <w:r w:rsidR="00575781" w:rsidRPr="00330F6A">
        <w:rPr>
          <w:bCs/>
          <w:iCs/>
        </w:rPr>
        <w:t>.</w:t>
      </w:r>
      <w:r w:rsidR="00330F6A" w:rsidRPr="00330F6A">
        <w:rPr>
          <w:bCs/>
          <w:iCs/>
        </w:rPr>
        <w:tab/>
      </w:r>
      <w:r w:rsidR="003C383A" w:rsidRPr="00330F6A">
        <w:t xml:space="preserve">Recommends that the legislative framework be simplified and harmonised by aligning provisions on application procedures, grounds for admission and refusal, </w:t>
      </w:r>
      <w:r w:rsidR="003C383A" w:rsidRPr="00330F6A">
        <w:lastRenderedPageBreak/>
        <w:t>procedural safeguards, equal treatment, access to the labour market, family unity and intra-EU mobility across the existing legal migration directives;</w:t>
      </w:r>
    </w:p>
    <w:p w14:paraId="6AECF204" w14:textId="71D07991" w:rsidR="003C383A" w:rsidRPr="004A1225" w:rsidRDefault="002D545F" w:rsidP="00212878">
      <w:pPr>
        <w:pStyle w:val="NormalHanging12a"/>
        <w:rPr>
          <w:b/>
          <w:bCs/>
          <w:iCs/>
        </w:rPr>
      </w:pPr>
      <w:r w:rsidRPr="00330F6A">
        <w:rPr>
          <w:bCs/>
          <w:iCs/>
        </w:rPr>
        <w:t>11</w:t>
      </w:r>
      <w:r w:rsidR="00575781" w:rsidRPr="00330F6A">
        <w:rPr>
          <w:bCs/>
          <w:iCs/>
        </w:rPr>
        <w:t>.</w:t>
      </w:r>
      <w:r w:rsidR="00330F6A" w:rsidRPr="00330F6A">
        <w:rPr>
          <w:bCs/>
          <w:iCs/>
        </w:rPr>
        <w:tab/>
      </w:r>
      <w:r w:rsidR="003C383A" w:rsidRPr="00330F6A">
        <w:t xml:space="preserve">Calls on the Commission to propose appropriate legislative action to improve the existing directives by aligning them </w:t>
      </w:r>
      <w:r w:rsidR="004A1225" w:rsidRPr="00330F6A">
        <w:t>with</w:t>
      </w:r>
      <w:r w:rsidR="003C383A" w:rsidRPr="00330F6A">
        <w:t xml:space="preserve"> the most favourable provisions</w:t>
      </w:r>
      <w:proofErr w:type="gramStart"/>
      <w:r w:rsidR="003C383A" w:rsidRPr="00330F6A">
        <w:t>;</w:t>
      </w:r>
      <w:proofErr w:type="gramEnd"/>
    </w:p>
    <w:p w14:paraId="6233505D" w14:textId="77777777" w:rsidR="003C383A" w:rsidRPr="004A1225" w:rsidRDefault="003C383A" w:rsidP="00212878">
      <w:pPr>
        <w:pStyle w:val="Body"/>
        <w:rPr>
          <w:rFonts w:ascii="Times New Roman" w:hAnsi="Times New Roman" w:cs="Times New Roman"/>
          <w:b/>
          <w:bCs/>
          <w:i/>
          <w:iCs/>
          <w:lang w:val="en-GB"/>
        </w:rPr>
      </w:pPr>
      <w:r w:rsidRPr="004A1225">
        <w:rPr>
          <w:rFonts w:ascii="Times New Roman" w:hAnsi="Times New Roman" w:cs="Times New Roman"/>
          <w:b/>
          <w:bCs/>
          <w:i/>
          <w:iCs/>
          <w:lang w:val="en-GB"/>
        </w:rPr>
        <w:t xml:space="preserve">Improving intra-EU mobility </w:t>
      </w:r>
    </w:p>
    <w:p w14:paraId="659EE7EF" w14:textId="77777777" w:rsidR="003C383A" w:rsidRPr="004A1225" w:rsidRDefault="003C383A" w:rsidP="00212878">
      <w:pPr>
        <w:pStyle w:val="Body"/>
        <w:rPr>
          <w:rFonts w:ascii="Times New Roman" w:hAnsi="Times New Roman" w:cs="Times New Roman"/>
          <w:lang w:val="en-GB"/>
        </w:rPr>
      </w:pPr>
    </w:p>
    <w:p w14:paraId="69A0194B" w14:textId="70E3E3FF" w:rsidR="00330F6A" w:rsidRPr="00330F6A" w:rsidRDefault="002D545F" w:rsidP="00212878">
      <w:pPr>
        <w:pStyle w:val="NormalHanging12a"/>
      </w:pPr>
      <w:r w:rsidRPr="00330F6A">
        <w:t>12</w:t>
      </w:r>
      <w:r w:rsidR="00575781" w:rsidRPr="00330F6A">
        <w:t>.</w:t>
      </w:r>
      <w:r w:rsidR="00330F6A" w:rsidRPr="00330F6A">
        <w:tab/>
      </w:r>
      <w:r w:rsidR="003C383A" w:rsidRPr="00330F6A">
        <w:t xml:space="preserve">Highlights </w:t>
      </w:r>
      <w:r w:rsidR="000175FD" w:rsidRPr="00330F6A">
        <w:t xml:space="preserve">the fact </w:t>
      </w:r>
      <w:r w:rsidR="003C383A" w:rsidRPr="00330F6A">
        <w:t xml:space="preserve">that </w:t>
      </w:r>
      <w:r w:rsidR="004A1225" w:rsidRPr="00330F6A">
        <w:t xml:space="preserve">the </w:t>
      </w:r>
      <w:r w:rsidR="003C383A" w:rsidRPr="00330F6A">
        <w:t xml:space="preserve">intra-EU mobility of TCNs is a key component of </w:t>
      </w:r>
      <w:r w:rsidR="004A1225" w:rsidRPr="00330F6A">
        <w:t xml:space="preserve">the </w:t>
      </w:r>
      <w:r w:rsidR="003C383A" w:rsidRPr="00330F6A">
        <w:t>EU</w:t>
      </w:r>
      <w:r w:rsidR="00330F6A" w:rsidRPr="00330F6A">
        <w:t>’</w:t>
      </w:r>
      <w:r w:rsidR="004A1225" w:rsidRPr="00330F6A">
        <w:t>s</w:t>
      </w:r>
      <w:r w:rsidR="003C383A" w:rsidRPr="00330F6A">
        <w:t xml:space="preserve"> legal migration policy, </w:t>
      </w:r>
      <w:r w:rsidR="004A1225" w:rsidRPr="00330F6A">
        <w:t xml:space="preserve">as it </w:t>
      </w:r>
      <w:r w:rsidR="003C383A" w:rsidRPr="00330F6A">
        <w:t>provid</w:t>
      </w:r>
      <w:r w:rsidR="004A1225" w:rsidRPr="00330F6A">
        <w:t>es</w:t>
      </w:r>
      <w:r w:rsidR="003C383A" w:rsidRPr="00330F6A">
        <w:t xml:space="preserve"> clear added value </w:t>
      </w:r>
      <w:r w:rsidR="004A1225" w:rsidRPr="00330F6A">
        <w:t xml:space="preserve">that </w:t>
      </w:r>
      <w:r w:rsidR="003C383A" w:rsidRPr="00330F6A">
        <w:t>cannot be achieved at Member</w:t>
      </w:r>
      <w:r w:rsidR="004A1225" w:rsidRPr="00330F6A">
        <w:t>-</w:t>
      </w:r>
      <w:r w:rsidR="003C383A" w:rsidRPr="00330F6A">
        <w:t xml:space="preserve">State level; recalls that the free movement of workers </w:t>
      </w:r>
      <w:r w:rsidR="004A1225" w:rsidRPr="00330F6A">
        <w:t xml:space="preserve">helps to match </w:t>
      </w:r>
      <w:r w:rsidR="003C383A" w:rsidRPr="00330F6A">
        <w:t xml:space="preserve">demand </w:t>
      </w:r>
      <w:r w:rsidR="004A1225" w:rsidRPr="00330F6A">
        <w:t>with</w:t>
      </w:r>
      <w:r w:rsidR="003C383A" w:rsidRPr="00330F6A">
        <w:t xml:space="preserve"> supply in </w:t>
      </w:r>
      <w:r w:rsidR="004A1225" w:rsidRPr="00330F6A">
        <w:t xml:space="preserve">the </w:t>
      </w:r>
      <w:r w:rsidR="003C383A" w:rsidRPr="00330F6A">
        <w:t>EU</w:t>
      </w:r>
      <w:r w:rsidR="00330F6A" w:rsidRPr="00330F6A">
        <w:t>’</w:t>
      </w:r>
      <w:r w:rsidR="004A1225" w:rsidRPr="00330F6A">
        <w:t>s</w:t>
      </w:r>
      <w:r w:rsidR="003C383A" w:rsidRPr="00330F6A">
        <w:t xml:space="preserve"> labour markets;</w:t>
      </w:r>
    </w:p>
    <w:p w14:paraId="541D17B5" w14:textId="4022C4EC" w:rsidR="00330F6A" w:rsidRPr="00330F6A" w:rsidRDefault="002D545F" w:rsidP="00212878">
      <w:pPr>
        <w:pStyle w:val="NormalHanging12a"/>
      </w:pPr>
      <w:r w:rsidRPr="00330F6A">
        <w:t>13</w:t>
      </w:r>
      <w:r w:rsidR="00575781" w:rsidRPr="00330F6A">
        <w:t>.</w:t>
      </w:r>
      <w:r w:rsidR="00330F6A" w:rsidRPr="00330F6A">
        <w:tab/>
      </w:r>
      <w:r w:rsidR="003C383A" w:rsidRPr="00330F6A">
        <w:t xml:space="preserve">Emphasises that more harmonised rules facilitating intra-EU mobility would act as an incentive for TCNs, represent a positive measure for employers, and help </w:t>
      </w:r>
      <w:r w:rsidR="00CF7FB5" w:rsidRPr="00330F6A">
        <w:t xml:space="preserve">the </w:t>
      </w:r>
      <w:r w:rsidR="003C383A" w:rsidRPr="00330F6A">
        <w:t>Member States to fill gaps in their labour markets; stresses, moreover, that it would</w:t>
      </w:r>
      <w:r w:rsidR="00934128" w:rsidRPr="00330F6A">
        <w:t xml:space="preserve"> </w:t>
      </w:r>
      <w:r w:rsidR="003C383A" w:rsidRPr="00330F6A">
        <w:t>allow TCNs already in the EU to improve their integration prospects;</w:t>
      </w:r>
    </w:p>
    <w:p w14:paraId="169C0F72" w14:textId="64DC6311" w:rsidR="00330F6A" w:rsidRPr="00330F6A" w:rsidRDefault="002D545F" w:rsidP="00212878">
      <w:pPr>
        <w:pStyle w:val="NormalHanging12a"/>
      </w:pPr>
      <w:r w:rsidRPr="00330F6A">
        <w:t>14</w:t>
      </w:r>
      <w:r w:rsidR="00575781" w:rsidRPr="00330F6A">
        <w:t>.</w:t>
      </w:r>
      <w:r w:rsidR="00330F6A" w:rsidRPr="00330F6A">
        <w:tab/>
      </w:r>
      <w:r w:rsidR="003C383A" w:rsidRPr="00330F6A">
        <w:t>Notes that more recently</w:t>
      </w:r>
      <w:r w:rsidR="002945A0" w:rsidRPr="00330F6A">
        <w:t xml:space="preserve"> </w:t>
      </w:r>
      <w:r w:rsidR="003C383A" w:rsidRPr="00330F6A">
        <w:t xml:space="preserve">adopted </w:t>
      </w:r>
      <w:r w:rsidR="002945A0" w:rsidRPr="00330F6A">
        <w:t>d</w:t>
      </w:r>
      <w:r w:rsidR="003C383A" w:rsidRPr="00330F6A">
        <w:t xml:space="preserve">irectives on </w:t>
      </w:r>
      <w:r w:rsidR="002945A0" w:rsidRPr="00330F6A">
        <w:t>s</w:t>
      </w:r>
      <w:r w:rsidR="003C383A" w:rsidRPr="00330F6A">
        <w:t xml:space="preserve">tudents and </w:t>
      </w:r>
      <w:r w:rsidR="002945A0" w:rsidRPr="00330F6A">
        <w:t>r</w:t>
      </w:r>
      <w:r w:rsidR="003C383A" w:rsidRPr="00330F6A">
        <w:t xml:space="preserve">esearchers and </w:t>
      </w:r>
      <w:r w:rsidR="002945A0" w:rsidRPr="00330F6A">
        <w:t>ICTs</w:t>
      </w:r>
      <w:r w:rsidR="003C383A" w:rsidRPr="00330F6A">
        <w:t xml:space="preserve"> grant more far-reaching mobility rights to TCNs than legal migration directives adopted earlier, such as the original Blue Card Directive;</w:t>
      </w:r>
    </w:p>
    <w:p w14:paraId="0842F767" w14:textId="7C998C3C" w:rsidR="00330F6A" w:rsidRPr="00330F6A" w:rsidRDefault="002D545F" w:rsidP="00212878">
      <w:pPr>
        <w:pStyle w:val="NormalHanging12a"/>
      </w:pPr>
      <w:r w:rsidRPr="00330F6A">
        <w:t>15</w:t>
      </w:r>
      <w:r w:rsidR="00575781" w:rsidRPr="00330F6A">
        <w:t>.</w:t>
      </w:r>
      <w:r w:rsidR="00330F6A" w:rsidRPr="00330F6A">
        <w:tab/>
      </w:r>
      <w:r w:rsidR="003C383A" w:rsidRPr="00330F6A">
        <w:t xml:space="preserve">Recommends that, as a first step towards simplification, rights to intra-EU mobility </w:t>
      </w:r>
      <w:proofErr w:type="gramStart"/>
      <w:r w:rsidR="003C383A" w:rsidRPr="00330F6A">
        <w:t>be</w:t>
      </w:r>
      <w:proofErr w:type="gramEnd"/>
      <w:r w:rsidR="003C383A" w:rsidRPr="00330F6A">
        <w:t xml:space="preserve"> enhanced across the existing legal migration directives; reiterates that the Commission should propose appropriate legislative action;</w:t>
      </w:r>
    </w:p>
    <w:p w14:paraId="140F76CF" w14:textId="4AC4DBED" w:rsidR="003C383A" w:rsidRPr="004A1225" w:rsidRDefault="003C383A" w:rsidP="00212878">
      <w:pPr>
        <w:rPr>
          <w:rFonts w:eastAsia="Arial Unicode MS"/>
          <w:color w:val="000000"/>
          <w:bdr w:val="none" w:sz="0" w:space="0" w:color="auto" w:frame="1"/>
          <w14:textOutline w14:w="0" w14:cap="flat" w14:cmpd="sng" w14:algn="ctr">
            <w14:noFill/>
            <w14:prstDash w14:val="solid"/>
            <w14:bevel/>
          </w14:textOutline>
        </w:rPr>
      </w:pPr>
      <w:r w:rsidRPr="004A1225">
        <w:rPr>
          <w:b/>
          <w:bCs/>
          <w:i/>
        </w:rPr>
        <w:t>Setting up a talent</w:t>
      </w:r>
      <w:r w:rsidR="004A1225">
        <w:rPr>
          <w:b/>
          <w:bCs/>
          <w:i/>
        </w:rPr>
        <w:t xml:space="preserve"> </w:t>
      </w:r>
      <w:r w:rsidRPr="004A1225">
        <w:rPr>
          <w:b/>
          <w:bCs/>
          <w:i/>
        </w:rPr>
        <w:t>pool</w:t>
      </w:r>
    </w:p>
    <w:p w14:paraId="304DAD02" w14:textId="77777777" w:rsidR="003C383A" w:rsidRPr="004A1225" w:rsidRDefault="003C383A" w:rsidP="00212878">
      <w:pPr>
        <w:pStyle w:val="Body"/>
        <w:rPr>
          <w:rFonts w:ascii="Times New Roman" w:hAnsi="Times New Roman" w:cs="Times New Roman"/>
          <w:b/>
          <w:bCs/>
          <w:lang w:val="en-GB"/>
        </w:rPr>
      </w:pPr>
    </w:p>
    <w:p w14:paraId="51A158D6" w14:textId="6283025C" w:rsidR="00330F6A" w:rsidRPr="00330F6A" w:rsidRDefault="002D545F" w:rsidP="00212878">
      <w:pPr>
        <w:pStyle w:val="NormalHanging12a"/>
      </w:pPr>
      <w:r w:rsidRPr="00330F6A">
        <w:t>16</w:t>
      </w:r>
      <w:r w:rsidR="00575781" w:rsidRPr="00330F6A">
        <w:t>.</w:t>
      </w:r>
      <w:r w:rsidR="00330F6A" w:rsidRPr="00330F6A">
        <w:tab/>
      </w:r>
      <w:r w:rsidR="003C383A" w:rsidRPr="00330F6A">
        <w:t>Underlines that new tools are needed to help match employer</w:t>
      </w:r>
      <w:r w:rsidR="004A1225" w:rsidRPr="00330F6A">
        <w:t>s</w:t>
      </w:r>
      <w:r w:rsidR="003C383A" w:rsidRPr="00330F6A">
        <w:t xml:space="preserve"> </w:t>
      </w:r>
      <w:r w:rsidR="004A1225" w:rsidRPr="00330F6A">
        <w:t xml:space="preserve">with prospective </w:t>
      </w:r>
      <w:r w:rsidR="003C383A" w:rsidRPr="00330F6A">
        <w:t>employee</w:t>
      </w:r>
      <w:r w:rsidR="004A1225" w:rsidRPr="00330F6A">
        <w:t>s</w:t>
      </w:r>
      <w:r w:rsidR="003C383A" w:rsidRPr="00330F6A">
        <w:t xml:space="preserve">; </w:t>
      </w:r>
      <w:r w:rsidR="004A1225" w:rsidRPr="00330F6A">
        <w:t xml:space="preserve">highlights the fact </w:t>
      </w:r>
      <w:r w:rsidR="003C383A" w:rsidRPr="00330F6A">
        <w:t>that better information on legal migration to the EU is required for employers and TCNs, and that structured and meaningful dialogue with relevant third countries on legal migration needs to be scaled up;</w:t>
      </w:r>
    </w:p>
    <w:p w14:paraId="02F3FD31" w14:textId="7AA25E99" w:rsidR="00330F6A" w:rsidRPr="00330F6A" w:rsidRDefault="002D545F" w:rsidP="00212878">
      <w:pPr>
        <w:pStyle w:val="NormalHanging12a"/>
      </w:pPr>
      <w:r w:rsidRPr="00330F6A">
        <w:t>17</w:t>
      </w:r>
      <w:r w:rsidR="00575781" w:rsidRPr="00330F6A">
        <w:t>.</w:t>
      </w:r>
      <w:r w:rsidR="00330F6A" w:rsidRPr="00330F6A">
        <w:tab/>
      </w:r>
      <w:r w:rsidR="003C383A" w:rsidRPr="00330F6A">
        <w:t>Proposes, therefore, the development of an EU talent</w:t>
      </w:r>
      <w:r w:rsidR="004A1225" w:rsidRPr="00330F6A">
        <w:t xml:space="preserve"> </w:t>
      </w:r>
      <w:r w:rsidR="003C383A" w:rsidRPr="00330F6A">
        <w:t>pool platform to serve as a one-stop</w:t>
      </w:r>
      <w:r w:rsidR="004A1225" w:rsidRPr="00330F6A">
        <w:t xml:space="preserve"> </w:t>
      </w:r>
      <w:r w:rsidR="003C383A" w:rsidRPr="00330F6A">
        <w:t>shop for TCN workers, EU employers and national administrations; recommends that this should cover all sectors of employment, including those considered medium</w:t>
      </w:r>
      <w:r w:rsidR="00E02DD1" w:rsidRPr="00330F6A">
        <w:t>-</w:t>
      </w:r>
      <w:r w:rsidR="003C383A" w:rsidRPr="00330F6A">
        <w:t xml:space="preserve"> or low</w:t>
      </w:r>
      <w:r w:rsidR="003C383A" w:rsidRPr="00330F6A">
        <w:noBreakHyphen/>
        <w:t xml:space="preserve">paid; notes that the involvement of public employment services </w:t>
      </w:r>
      <w:r w:rsidR="004A1225" w:rsidRPr="00330F6A">
        <w:t xml:space="preserve">in such a platform </w:t>
      </w:r>
      <w:r w:rsidR="003C383A" w:rsidRPr="00330F6A">
        <w:t xml:space="preserve">in both the EU and countries of origin </w:t>
      </w:r>
      <w:r w:rsidR="00E02DD1" w:rsidRPr="00330F6A">
        <w:t xml:space="preserve">could </w:t>
      </w:r>
      <w:r w:rsidR="003C383A" w:rsidRPr="00330F6A">
        <w:t xml:space="preserve">help </w:t>
      </w:r>
      <w:r w:rsidR="001F1FD7" w:rsidRPr="00330F6A">
        <w:t xml:space="preserve">to </w:t>
      </w:r>
      <w:r w:rsidR="003C383A" w:rsidRPr="00330F6A">
        <w:t>improve partnerships between them;</w:t>
      </w:r>
    </w:p>
    <w:p w14:paraId="232524E8" w14:textId="17C37248" w:rsidR="00330F6A" w:rsidRPr="00330F6A" w:rsidRDefault="002D545F" w:rsidP="00212878">
      <w:pPr>
        <w:pStyle w:val="NormalHanging12a"/>
        <w:rPr>
          <w:bCs/>
        </w:rPr>
      </w:pPr>
      <w:r w:rsidRPr="00330F6A">
        <w:rPr>
          <w:bCs/>
        </w:rPr>
        <w:t>18</w:t>
      </w:r>
      <w:r w:rsidR="00575781" w:rsidRPr="00330F6A">
        <w:rPr>
          <w:bCs/>
        </w:rPr>
        <w:t>.</w:t>
      </w:r>
      <w:r w:rsidR="00330F6A" w:rsidRPr="00330F6A">
        <w:rPr>
          <w:bCs/>
        </w:rPr>
        <w:tab/>
      </w:r>
      <w:r w:rsidR="003C383A" w:rsidRPr="00330F6A">
        <w:t xml:space="preserve">Recommends that the recognition and certification of diplomas, certificates and other professional qualifications, including </w:t>
      </w:r>
      <w:r w:rsidRPr="00330F6A">
        <w:t xml:space="preserve">the </w:t>
      </w:r>
      <w:r w:rsidR="003C383A" w:rsidRPr="00330F6A">
        <w:t>formal and non-formal acquisition of skills in third countries</w:t>
      </w:r>
      <w:r w:rsidR="001F1FD7" w:rsidRPr="00330F6A">
        <w:t>,</w:t>
      </w:r>
      <w:r w:rsidR="003C383A" w:rsidRPr="00330F6A">
        <w:t xml:space="preserve"> be made easier; insists that </w:t>
      </w:r>
      <w:r w:rsidR="001F1FD7" w:rsidRPr="00330F6A">
        <w:t xml:space="preserve">the </w:t>
      </w:r>
      <w:r w:rsidR="003C383A" w:rsidRPr="00330F6A">
        <w:t xml:space="preserve">Member States </w:t>
      </w:r>
      <w:r w:rsidR="006573BE" w:rsidRPr="00330F6A">
        <w:t xml:space="preserve">immediately </w:t>
      </w:r>
      <w:r w:rsidR="003C383A" w:rsidRPr="00330F6A">
        <w:t>put in place mechanisms and arrangements for the validation of professional experience and non-formal and informal learning in line with the 2012 Council Recommendation</w:t>
      </w:r>
      <w:r w:rsidR="003C383A" w:rsidRPr="00330F6A">
        <w:rPr>
          <w:rStyle w:val="FootnoteReference"/>
          <w:color w:val="000000"/>
        </w:rPr>
        <w:footnoteReference w:id="9"/>
      </w:r>
      <w:r w:rsidR="003C383A" w:rsidRPr="00330F6A">
        <w:t>;</w:t>
      </w:r>
    </w:p>
    <w:p w14:paraId="476EA71A" w14:textId="77777777" w:rsidR="003C383A" w:rsidRPr="004A1225" w:rsidRDefault="003C383A" w:rsidP="00212878">
      <w:pPr>
        <w:rPr>
          <w:rFonts w:eastAsia="Arial Unicode MS"/>
          <w:b/>
          <w:bCs/>
          <w:i/>
          <w:iCs/>
          <w:color w:val="000000"/>
          <w:bdr w:val="none" w:sz="0" w:space="0" w:color="auto" w:frame="1"/>
          <w14:textOutline w14:w="0" w14:cap="flat" w14:cmpd="sng" w14:algn="ctr">
            <w14:noFill/>
            <w14:prstDash w14:val="solid"/>
            <w14:bevel/>
          </w14:textOutline>
        </w:rPr>
      </w:pPr>
      <w:r w:rsidRPr="004A1225">
        <w:rPr>
          <w:rFonts w:eastAsia="Arial Unicode MS"/>
          <w:b/>
          <w:i/>
          <w:color w:val="000000"/>
          <w:bdr w:val="none" w:sz="0" w:space="0" w:color="auto" w:frame="1"/>
          <w14:textOutline w14:w="0" w14:cap="flat" w14:cmpd="sng" w14:algn="ctr">
            <w14:noFill/>
            <w14:prstDash w14:val="solid"/>
            <w14:bevel/>
          </w14:textOutline>
        </w:rPr>
        <w:t xml:space="preserve">Strengthening relations with third countries and </w:t>
      </w:r>
      <w:r w:rsidRPr="004A1225">
        <w:rPr>
          <w:rFonts w:eastAsia="Arial Unicode MS"/>
          <w:b/>
          <w:bCs/>
          <w:i/>
          <w:iCs/>
          <w:color w:val="000000"/>
          <w:bdr w:val="none" w:sz="0" w:space="0" w:color="auto" w:frame="1"/>
          <w14:textOutline w14:w="0" w14:cap="flat" w14:cmpd="sng" w14:algn="ctr">
            <w14:noFill/>
            <w14:prstDash w14:val="solid"/>
            <w14:bevel/>
          </w14:textOutline>
        </w:rPr>
        <w:t>promoting legal pathways</w:t>
      </w:r>
    </w:p>
    <w:p w14:paraId="7B0D5E5E" w14:textId="77777777" w:rsidR="003C383A" w:rsidRPr="004A1225" w:rsidRDefault="003C383A" w:rsidP="00212878">
      <w:pPr>
        <w:rPr>
          <w:rFonts w:eastAsia="Arial Unicode MS"/>
          <w:color w:val="000000"/>
          <w:bdr w:val="none" w:sz="0" w:space="0" w:color="auto" w:frame="1"/>
          <w14:textOutline w14:w="0" w14:cap="flat" w14:cmpd="sng" w14:algn="ctr">
            <w14:noFill/>
            <w14:prstDash w14:val="solid"/>
            <w14:bevel/>
          </w14:textOutline>
        </w:rPr>
      </w:pPr>
    </w:p>
    <w:p w14:paraId="24B53334" w14:textId="64AD3CDE" w:rsidR="00330F6A" w:rsidRPr="00330F6A" w:rsidRDefault="00575781" w:rsidP="00212878">
      <w:pPr>
        <w:pStyle w:val="NormalHanging12a"/>
        <w:rPr>
          <w:rFonts w:eastAsia="Arial Unicode MS"/>
          <w:bdr w:val="none" w:sz="0" w:space="0" w:color="auto" w:frame="1"/>
        </w:rPr>
      </w:pPr>
      <w:r w:rsidRPr="00330F6A">
        <w:rPr>
          <w:rFonts w:eastAsia="Arial Unicode MS"/>
          <w:szCs w:val="24"/>
          <w:bdr w:val="none" w:sz="0" w:space="0" w:color="auto" w:frame="1"/>
          <w:lang w:eastAsia="en-US"/>
        </w:rPr>
        <w:t>1</w:t>
      </w:r>
      <w:r w:rsidR="00330F6A">
        <w:rPr>
          <w:rFonts w:eastAsia="Arial Unicode MS"/>
          <w:szCs w:val="24"/>
          <w:bdr w:val="none" w:sz="0" w:space="0" w:color="auto" w:frame="1"/>
          <w:lang w:eastAsia="en-US"/>
        </w:rPr>
        <w:t>9</w:t>
      </w:r>
      <w:r w:rsidRPr="00330F6A">
        <w:rPr>
          <w:rFonts w:eastAsia="Arial Unicode MS"/>
          <w:szCs w:val="24"/>
          <w:bdr w:val="none" w:sz="0" w:space="0" w:color="auto" w:frame="1"/>
          <w:lang w:eastAsia="en-US"/>
        </w:rPr>
        <w:t>.</w:t>
      </w:r>
      <w:r w:rsidR="00330F6A" w:rsidRPr="00330F6A">
        <w:rPr>
          <w:rFonts w:eastAsia="Arial Unicode MS"/>
          <w:szCs w:val="24"/>
          <w:bdr w:val="none" w:sz="0" w:space="0" w:color="auto" w:frame="1"/>
          <w:lang w:eastAsia="en-US"/>
        </w:rPr>
        <w:tab/>
      </w:r>
      <w:r w:rsidR="003C383A" w:rsidRPr="00330F6A">
        <w:rPr>
          <w:rFonts w:eastAsia="Arial Unicode MS"/>
          <w:bdr w:val="none" w:sz="0" w:space="0" w:color="auto" w:frame="1"/>
        </w:rPr>
        <w:t xml:space="preserve">Supports global and regional cooperation on migration in order to strengthen the availability and flexibility of pathways for regular migration; remains convinced that </w:t>
      </w:r>
      <w:r w:rsidR="0035155C" w:rsidRPr="00330F6A">
        <w:rPr>
          <w:rFonts w:eastAsia="Arial Unicode MS"/>
          <w:bdr w:val="none" w:sz="0" w:space="0" w:color="auto" w:frame="1"/>
        </w:rPr>
        <w:t xml:space="preserve">increasing the number of </w:t>
      </w:r>
      <w:r w:rsidR="003C383A" w:rsidRPr="00330F6A">
        <w:rPr>
          <w:rFonts w:eastAsia="Arial Unicode MS"/>
          <w:bdr w:val="none" w:sz="0" w:space="0" w:color="auto" w:frame="1"/>
        </w:rPr>
        <w:t xml:space="preserve">legal migration channels would help </w:t>
      </w:r>
      <w:r w:rsidR="0035155C" w:rsidRPr="00330F6A">
        <w:rPr>
          <w:rFonts w:eastAsia="Arial Unicode MS"/>
          <w:bdr w:val="none" w:sz="0" w:space="0" w:color="auto" w:frame="1"/>
        </w:rPr>
        <w:t xml:space="preserve">to </w:t>
      </w:r>
      <w:r w:rsidR="003C383A" w:rsidRPr="00330F6A">
        <w:rPr>
          <w:rFonts w:eastAsia="Arial Unicode MS"/>
          <w:bdr w:val="none" w:sz="0" w:space="0" w:color="auto" w:frame="1"/>
        </w:rPr>
        <w:t xml:space="preserve">reduce irregular migration, </w:t>
      </w:r>
      <w:r w:rsidR="003C383A" w:rsidRPr="00330F6A">
        <w:t xml:space="preserve">undermine the business model of criminal smugglers, reduce </w:t>
      </w:r>
      <w:r w:rsidR="003C383A" w:rsidRPr="00330F6A">
        <w:rPr>
          <w:rFonts w:eastAsia="Arial Unicode MS"/>
          <w:bdr w:val="none" w:sz="0" w:space="0" w:color="auto" w:frame="1"/>
        </w:rPr>
        <w:t>trafficking in human beings and labour exploitation, enhance equal opportunities for all workers and</w:t>
      </w:r>
      <w:r w:rsidR="003C383A" w:rsidRPr="00330F6A">
        <w:t xml:space="preserve"> offer a legal path for those tempted to migrate irregularly into the Union;</w:t>
      </w:r>
    </w:p>
    <w:p w14:paraId="2240D7EB" w14:textId="7BD4DEE5" w:rsidR="00330F6A" w:rsidRPr="00330F6A" w:rsidRDefault="00330F6A" w:rsidP="00212878">
      <w:pPr>
        <w:pStyle w:val="NormalHanging12a"/>
        <w:rPr>
          <w:rFonts w:eastAsia="Arial Unicode MS"/>
          <w:bdr w:val="none" w:sz="0" w:space="0" w:color="auto" w:frame="1"/>
        </w:rPr>
      </w:pPr>
      <w:r>
        <w:rPr>
          <w:rFonts w:eastAsia="Arial Unicode MS"/>
          <w:szCs w:val="24"/>
          <w:bdr w:val="none" w:sz="0" w:space="0" w:color="auto" w:frame="1"/>
        </w:rPr>
        <w:t>20</w:t>
      </w:r>
      <w:r w:rsidR="00575781" w:rsidRPr="00330F6A">
        <w:rPr>
          <w:rFonts w:eastAsia="Arial Unicode MS"/>
          <w:szCs w:val="24"/>
          <w:bdr w:val="none" w:sz="0" w:space="0" w:color="auto" w:frame="1"/>
        </w:rPr>
        <w:t>.</w:t>
      </w:r>
      <w:r w:rsidRPr="00330F6A">
        <w:rPr>
          <w:rFonts w:eastAsia="Arial Unicode MS"/>
          <w:szCs w:val="24"/>
          <w:bdr w:val="none" w:sz="0" w:space="0" w:color="auto" w:frame="1"/>
        </w:rPr>
        <w:tab/>
      </w:r>
      <w:r w:rsidR="003C383A" w:rsidRPr="00330F6A">
        <w:rPr>
          <w:rFonts w:eastAsia="Arial Unicode MS"/>
          <w:bdr w:val="none" w:sz="0" w:space="0" w:color="auto" w:frame="1"/>
        </w:rPr>
        <w:t xml:space="preserve">Underlines the important role of remittances and the benefits that safe, regular and orderly migration has for both sending and receiving countries; supports </w:t>
      </w:r>
      <w:r w:rsidR="0035155C" w:rsidRPr="00330F6A">
        <w:rPr>
          <w:rFonts w:eastAsia="Arial Unicode MS"/>
          <w:bdr w:val="none" w:sz="0" w:space="0" w:color="auto" w:frame="1"/>
        </w:rPr>
        <w:t xml:space="preserve">efforts to </w:t>
      </w:r>
      <w:r w:rsidR="003C383A" w:rsidRPr="00330F6A">
        <w:rPr>
          <w:rFonts w:eastAsia="Arial Unicode MS"/>
          <w:bdr w:val="none" w:sz="0" w:space="0" w:color="auto" w:frame="1"/>
        </w:rPr>
        <w:t xml:space="preserve">address the </w:t>
      </w:r>
      <w:r w:rsidRPr="00330F6A">
        <w:rPr>
          <w:rFonts w:eastAsia="Arial Unicode MS"/>
          <w:bdr w:val="none" w:sz="0" w:space="0" w:color="auto" w:frame="1"/>
        </w:rPr>
        <w:t>‘</w:t>
      </w:r>
      <w:r w:rsidR="003C383A" w:rsidRPr="00330F6A">
        <w:rPr>
          <w:rFonts w:eastAsia="Arial Unicode MS"/>
          <w:bdr w:val="none" w:sz="0" w:space="0" w:color="auto" w:frame="1"/>
        </w:rPr>
        <w:t>brain drain</w:t>
      </w:r>
      <w:r w:rsidRPr="00330F6A">
        <w:rPr>
          <w:rFonts w:eastAsia="Arial Unicode MS"/>
          <w:bdr w:val="none" w:sz="0" w:space="0" w:color="auto" w:frame="1"/>
        </w:rPr>
        <w:t>’</w:t>
      </w:r>
      <w:r w:rsidR="003C383A" w:rsidRPr="00330F6A">
        <w:rPr>
          <w:rFonts w:eastAsia="Arial Unicode MS"/>
          <w:bdr w:val="none" w:sz="0" w:space="0" w:color="auto" w:frame="1"/>
        </w:rPr>
        <w:t xml:space="preserve"> and </w:t>
      </w:r>
      <w:r w:rsidRPr="00330F6A">
        <w:rPr>
          <w:rFonts w:eastAsia="Arial Unicode MS"/>
          <w:bdr w:val="none" w:sz="0" w:space="0" w:color="auto" w:frame="1"/>
        </w:rPr>
        <w:t>‘</w:t>
      </w:r>
      <w:r w:rsidR="003C383A" w:rsidRPr="00330F6A">
        <w:rPr>
          <w:rFonts w:eastAsia="Arial Unicode MS"/>
          <w:bdr w:val="none" w:sz="0" w:space="0" w:color="auto" w:frame="1"/>
        </w:rPr>
        <w:t>brain gain</w:t>
      </w:r>
      <w:r w:rsidRPr="00330F6A">
        <w:rPr>
          <w:rFonts w:eastAsia="Arial Unicode MS"/>
          <w:bdr w:val="none" w:sz="0" w:space="0" w:color="auto" w:frame="1"/>
        </w:rPr>
        <w:t>’</w:t>
      </w:r>
      <w:r w:rsidR="003C383A" w:rsidRPr="00330F6A">
        <w:rPr>
          <w:rFonts w:eastAsia="Arial Unicode MS"/>
          <w:bdr w:val="none" w:sz="0" w:space="0" w:color="auto" w:frame="1"/>
        </w:rPr>
        <w:t xml:space="preserve"> issues by further developing instruments that allow for circular migration;</w:t>
      </w:r>
    </w:p>
    <w:p w14:paraId="0F283830" w14:textId="54AE3DCB" w:rsidR="003C383A" w:rsidRPr="004A1225" w:rsidRDefault="003C383A" w:rsidP="00212878">
      <w:pPr>
        <w:widowControl/>
        <w:rPr>
          <w:b/>
          <w:i/>
        </w:rPr>
      </w:pPr>
      <w:r w:rsidRPr="004A1225">
        <w:rPr>
          <w:b/>
          <w:i/>
        </w:rPr>
        <w:t>Developing the EU</w:t>
      </w:r>
      <w:r w:rsidR="008E0572">
        <w:rPr>
          <w:b/>
          <w:i/>
        </w:rPr>
        <w:t>’</w:t>
      </w:r>
      <w:r w:rsidRPr="004A1225">
        <w:rPr>
          <w:b/>
          <w:i/>
        </w:rPr>
        <w:t>s legislative framework</w:t>
      </w:r>
    </w:p>
    <w:p w14:paraId="1500489B" w14:textId="77777777" w:rsidR="003C383A" w:rsidRPr="0035155C" w:rsidRDefault="003C383A" w:rsidP="00212878">
      <w:pPr>
        <w:pStyle w:val="Body"/>
        <w:rPr>
          <w:rFonts w:ascii="Times New Roman" w:hAnsi="Times New Roman" w:cs="Times New Roman"/>
          <w:lang w:val="en-GB"/>
        </w:rPr>
      </w:pPr>
    </w:p>
    <w:p w14:paraId="09B3AEF3" w14:textId="7BB8F60A" w:rsidR="00330F6A" w:rsidRPr="00330F6A" w:rsidRDefault="00575781" w:rsidP="00212878">
      <w:pPr>
        <w:pStyle w:val="NormalHanging12a"/>
      </w:pPr>
      <w:r w:rsidRPr="00330F6A">
        <w:t>2</w:t>
      </w:r>
      <w:r w:rsidR="00330F6A">
        <w:t>1</w:t>
      </w:r>
      <w:r w:rsidRPr="00330F6A">
        <w:t>.</w:t>
      </w:r>
      <w:r w:rsidR="00330F6A" w:rsidRPr="00330F6A">
        <w:tab/>
      </w:r>
      <w:r w:rsidR="003C383A" w:rsidRPr="00330F6A">
        <w:t xml:space="preserve">Recalls that the EU is lagging behind in the global competition for talent; remains committed to seeking a meaningful revision of the Blue Card Directive </w:t>
      </w:r>
      <w:r w:rsidR="0035155C" w:rsidRPr="00330F6A">
        <w:t xml:space="preserve">to </w:t>
      </w:r>
      <w:r w:rsidR="003C383A" w:rsidRPr="00330F6A">
        <w:t>bring added</w:t>
      </w:r>
      <w:r w:rsidR="0035155C" w:rsidRPr="00330F6A">
        <w:t xml:space="preserve"> </w:t>
      </w:r>
      <w:r w:rsidR="003C383A" w:rsidRPr="00330F6A">
        <w:t>value in terms of harmonisation, recognition of skills, simplification of procedures and improved intra-EU mobility;</w:t>
      </w:r>
    </w:p>
    <w:p w14:paraId="5FAA8FD5" w14:textId="6E9DFF50" w:rsidR="00330F6A" w:rsidRPr="00330F6A" w:rsidRDefault="00575781" w:rsidP="00212878">
      <w:pPr>
        <w:pStyle w:val="NormalHanging12a"/>
      </w:pPr>
      <w:r w:rsidRPr="00330F6A">
        <w:t>2</w:t>
      </w:r>
      <w:r w:rsidR="00330F6A">
        <w:t>2</w:t>
      </w:r>
      <w:r w:rsidRPr="00330F6A">
        <w:t>.</w:t>
      </w:r>
      <w:r w:rsidR="00330F6A" w:rsidRPr="00330F6A">
        <w:tab/>
      </w:r>
      <w:r w:rsidR="003C383A" w:rsidRPr="00330F6A">
        <w:t>Takes the view that EU policy on legal migration should respond to labour shortages; recommends that the Union develop its legislative framework to cover, to a greater extent, TCNs seeking work in low-skilled or medium-skilled employment</w:t>
      </w:r>
      <w:r w:rsidR="003C383A" w:rsidRPr="00330F6A">
        <w:rPr>
          <w:rStyle w:val="FootnoteReference"/>
          <w:color w:val="000000"/>
        </w:rPr>
        <w:footnoteReference w:id="10"/>
      </w:r>
      <w:r w:rsidR="003C383A" w:rsidRPr="00330F6A">
        <w:t>;</w:t>
      </w:r>
    </w:p>
    <w:p w14:paraId="5C726737" w14:textId="52A68FD0" w:rsidR="00330F6A" w:rsidRPr="00330F6A" w:rsidRDefault="00575781" w:rsidP="00212878">
      <w:pPr>
        <w:pStyle w:val="NormalHanging12a"/>
      </w:pPr>
      <w:r w:rsidRPr="00330F6A">
        <w:t>2</w:t>
      </w:r>
      <w:r w:rsidR="00330F6A">
        <w:t>3</w:t>
      </w:r>
      <w:r w:rsidRPr="00330F6A">
        <w:t>.</w:t>
      </w:r>
      <w:r w:rsidR="00330F6A" w:rsidRPr="00330F6A">
        <w:tab/>
      </w:r>
      <w:r w:rsidR="003C383A" w:rsidRPr="00330F6A">
        <w:t>Notes, in that context, that TCNs are often employed in the home and domestic care sector</w:t>
      </w:r>
      <w:r w:rsidR="003C383A" w:rsidRPr="00330F6A">
        <w:rPr>
          <w:rStyle w:val="FootnoteReference"/>
          <w:color w:val="000000"/>
        </w:rPr>
        <w:footnoteReference w:id="11"/>
      </w:r>
      <w:r w:rsidR="0035155C" w:rsidRPr="00330F6A">
        <w:t>;</w:t>
      </w:r>
      <w:r w:rsidR="003C383A" w:rsidRPr="00330F6A">
        <w:t xml:space="preserve"> </w:t>
      </w:r>
      <w:r w:rsidR="0035155C" w:rsidRPr="00330F6A">
        <w:t xml:space="preserve">asks </w:t>
      </w:r>
      <w:r w:rsidR="003C383A" w:rsidRPr="00330F6A">
        <w:t xml:space="preserve">the Commission to present a draft </w:t>
      </w:r>
      <w:r w:rsidR="0035155C" w:rsidRPr="00330F6A">
        <w:t>d</w:t>
      </w:r>
      <w:r w:rsidR="003C383A" w:rsidRPr="00330F6A">
        <w:t>irective laying down conditions for entry and residence for domestic carers;</w:t>
      </w:r>
    </w:p>
    <w:p w14:paraId="7C7E9185" w14:textId="57EE4A79" w:rsidR="00330F6A" w:rsidRPr="00330F6A" w:rsidRDefault="00575781" w:rsidP="00212878">
      <w:pPr>
        <w:pStyle w:val="NormalHanging12a"/>
      </w:pPr>
      <w:r w:rsidRPr="00330F6A">
        <w:t>2</w:t>
      </w:r>
      <w:r w:rsidR="00330F6A">
        <w:t>4</w:t>
      </w:r>
      <w:r w:rsidRPr="00330F6A">
        <w:t>.</w:t>
      </w:r>
      <w:r w:rsidR="00330F6A" w:rsidRPr="00330F6A">
        <w:tab/>
      </w:r>
      <w:r w:rsidR="003C383A" w:rsidRPr="00330F6A">
        <w:t>Calls on the Commission to consider developing an EU-wide scheme to attract self-employed people and/or entrepreneurs, notably to facilitate their cross-border activities</w:t>
      </w:r>
      <w:proofErr w:type="gramStart"/>
      <w:r w:rsidR="003C383A" w:rsidRPr="00330F6A">
        <w:t>;</w:t>
      </w:r>
      <w:proofErr w:type="gramEnd"/>
    </w:p>
    <w:p w14:paraId="396208DB" w14:textId="127A1AE7" w:rsidR="00330F6A" w:rsidRPr="00330F6A" w:rsidRDefault="00575781" w:rsidP="00212878">
      <w:pPr>
        <w:pStyle w:val="NormalHanging12a"/>
      </w:pPr>
      <w:r w:rsidRPr="00330F6A">
        <w:t>2</w:t>
      </w:r>
      <w:r w:rsidR="00330F6A">
        <w:t>5</w:t>
      </w:r>
      <w:r w:rsidRPr="00330F6A">
        <w:t>.</w:t>
      </w:r>
      <w:r w:rsidR="00330F6A" w:rsidRPr="00330F6A">
        <w:tab/>
      </w:r>
      <w:r w:rsidR="003C383A" w:rsidRPr="00330F6A">
        <w:t xml:space="preserve">Recognises that sectoral directives are a panacea </w:t>
      </w:r>
      <w:r w:rsidR="00C71AEC" w:rsidRPr="00330F6A">
        <w:t xml:space="preserve">neither </w:t>
      </w:r>
      <w:r w:rsidR="003C383A" w:rsidRPr="00330F6A">
        <w:t>for the EU</w:t>
      </w:r>
      <w:r w:rsidR="00330F6A" w:rsidRPr="00330F6A">
        <w:t>’</w:t>
      </w:r>
      <w:r w:rsidR="003C383A" w:rsidRPr="00330F6A">
        <w:t>s labour market needs, nor for the issue of legal migration more generally; believes that, in the medium term, the EU must move away from a sectoral approach and adopt an immigration code setting out broad rules governing entry and residence for all TCNs seeking employment in the Union;</w:t>
      </w:r>
    </w:p>
    <w:p w14:paraId="2809A0D3" w14:textId="412F8CC0" w:rsidR="00330F6A" w:rsidRPr="00330F6A" w:rsidRDefault="00575781" w:rsidP="00212878">
      <w:pPr>
        <w:pStyle w:val="NormalHanging12a"/>
      </w:pPr>
      <w:r w:rsidRPr="00330F6A">
        <w:t>2</w:t>
      </w:r>
      <w:r w:rsidR="00330F6A">
        <w:t>6</w:t>
      </w:r>
      <w:r w:rsidRPr="00330F6A">
        <w:t>.</w:t>
      </w:r>
      <w:r w:rsidR="00330F6A" w:rsidRPr="00330F6A">
        <w:tab/>
      </w:r>
      <w:r w:rsidR="003C383A" w:rsidRPr="00330F6A">
        <w:t>Points out that such an overarching legislative instrument would remove</w:t>
      </w:r>
      <w:r w:rsidR="00934128" w:rsidRPr="00330F6A">
        <w:t xml:space="preserve"> </w:t>
      </w:r>
      <w:r w:rsidR="003C383A" w:rsidRPr="00330F6A">
        <w:t xml:space="preserve">the different requirements laid down across the Member States and would provide the </w:t>
      </w:r>
      <w:r w:rsidR="003C383A" w:rsidRPr="00330F6A">
        <w:lastRenderedPageBreak/>
        <w:t xml:space="preserve">needed simplification and harmonisation of rules without discriminating against any sector </w:t>
      </w:r>
      <w:r w:rsidR="006573BE" w:rsidRPr="00330F6A">
        <w:t xml:space="preserve">of employment </w:t>
      </w:r>
      <w:r w:rsidR="003C383A" w:rsidRPr="00330F6A">
        <w:t xml:space="preserve">or type </w:t>
      </w:r>
      <w:r w:rsidR="00890F5C" w:rsidRPr="00330F6A">
        <w:t xml:space="preserve">of </w:t>
      </w:r>
      <w:r w:rsidR="006573BE" w:rsidRPr="00330F6A">
        <w:t>employe</w:t>
      </w:r>
      <w:r w:rsidR="0035155C" w:rsidRPr="00330F6A">
        <w:t>e</w:t>
      </w:r>
      <w:r w:rsidR="006573BE" w:rsidRPr="00330F6A">
        <w:t>;</w:t>
      </w:r>
    </w:p>
    <w:p w14:paraId="3A8424CE" w14:textId="77777777" w:rsidR="00193142" w:rsidRPr="004A1225" w:rsidRDefault="00193142" w:rsidP="008335A4">
      <w:pPr>
        <w:pStyle w:val="Body"/>
        <w:ind w:left="1140" w:hanging="360"/>
        <w:jc w:val="both"/>
        <w:rPr>
          <w:rFonts w:ascii="Times New Roman" w:hAnsi="Times New Roman" w:cs="Times New Roman"/>
          <w:lang w:val="en-GB"/>
        </w:rPr>
      </w:pPr>
    </w:p>
    <w:p w14:paraId="7A84C5A1" w14:textId="77777777" w:rsidR="00193142" w:rsidRPr="004A1225" w:rsidRDefault="00193142" w:rsidP="00193142">
      <w:pPr>
        <w:pStyle w:val="Body"/>
        <w:ind w:left="1140" w:hanging="360"/>
        <w:jc w:val="center"/>
        <w:rPr>
          <w:rFonts w:ascii="Times New Roman" w:hAnsi="Times New Roman" w:cs="Times New Roman"/>
          <w:lang w:val="en-GB"/>
        </w:rPr>
      </w:pPr>
      <w:bookmarkStart w:id="1" w:name="_GoBack"/>
      <w:bookmarkEnd w:id="1"/>
      <w:r w:rsidRPr="004A1225">
        <w:rPr>
          <w:rFonts w:ascii="Times New Roman" w:hAnsi="Times New Roman" w:cs="Times New Roman"/>
          <w:lang w:val="en-GB"/>
        </w:rPr>
        <w:t>°</w:t>
      </w:r>
    </w:p>
    <w:p w14:paraId="529EA6AD" w14:textId="77777777" w:rsidR="00193142" w:rsidRPr="004A1225" w:rsidRDefault="00193142" w:rsidP="008E0572">
      <w:pPr>
        <w:pStyle w:val="Body"/>
        <w:ind w:left="1140" w:hanging="360"/>
        <w:jc w:val="center"/>
        <w:rPr>
          <w:rFonts w:ascii="Times New Roman" w:hAnsi="Times New Roman" w:cs="Times New Roman"/>
          <w:lang w:val="en-GB"/>
        </w:rPr>
      </w:pPr>
      <w:r w:rsidRPr="004A1225">
        <w:rPr>
          <w:rFonts w:ascii="Times New Roman" w:hAnsi="Times New Roman" w:cs="Times New Roman"/>
          <w:lang w:val="en-GB"/>
        </w:rPr>
        <w:t>°</w:t>
      </w:r>
      <w:r w:rsidRPr="004A1225">
        <w:rPr>
          <w:rFonts w:ascii="Times New Roman" w:hAnsi="Times New Roman" w:cs="Times New Roman"/>
          <w:lang w:val="en-GB"/>
        </w:rPr>
        <w:tab/>
        <w:t>°</w:t>
      </w:r>
    </w:p>
    <w:p w14:paraId="2B6D17FC" w14:textId="77777777" w:rsidR="008335A4" w:rsidRPr="004A1225" w:rsidRDefault="008335A4" w:rsidP="008335A4">
      <w:pPr>
        <w:pStyle w:val="Body"/>
        <w:jc w:val="both"/>
        <w:rPr>
          <w:rFonts w:ascii="Times New Roman" w:hAnsi="Times New Roman" w:cs="Times New Roman"/>
          <w:lang w:val="en-GB"/>
        </w:rPr>
      </w:pPr>
    </w:p>
    <w:p w14:paraId="2320BF44" w14:textId="3CA14BF7" w:rsidR="00330F6A" w:rsidRPr="00330F6A" w:rsidRDefault="00A62346" w:rsidP="00330F6A">
      <w:pPr>
        <w:pStyle w:val="NormalHanging12a"/>
      </w:pPr>
      <w:r w:rsidRPr="00330F6A">
        <w:t>2</w:t>
      </w:r>
      <w:r w:rsidR="00330F6A">
        <w:t>7</w:t>
      </w:r>
      <w:r w:rsidR="00F94DA4" w:rsidRPr="00330F6A">
        <w:t>.</w:t>
      </w:r>
      <w:r w:rsidR="00330F6A" w:rsidRPr="00330F6A">
        <w:tab/>
      </w:r>
      <w:r w:rsidR="00F94DA4" w:rsidRPr="00330F6A">
        <w:t>Instructs its President to forward this resolution to the Council and the Commission.</w:t>
      </w:r>
    </w:p>
    <w:p w14:paraId="4A29EE40" w14:textId="590EAD71" w:rsidR="00575781" w:rsidRPr="00890F5C" w:rsidRDefault="00575781">
      <w:pPr>
        <w:pStyle w:val="NormalHanging12a"/>
        <w:sectPr w:rsidR="00575781" w:rsidRPr="00890F5C" w:rsidSect="0057578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5A5EBF6" w14:textId="77777777" w:rsidR="00575781" w:rsidRPr="00890F5C" w:rsidRDefault="00575781" w:rsidP="00575781">
      <w:pPr>
        <w:pStyle w:val="PageHeading"/>
      </w:pPr>
      <w:bookmarkStart w:id="2" w:name="_Toc53409305"/>
      <w:r w:rsidRPr="00890F5C">
        <w:lastRenderedPageBreak/>
        <w:t>EXPLANATORY STATEMENT</w:t>
      </w:r>
      <w:bookmarkEnd w:id="2"/>
    </w:p>
    <w:p w14:paraId="095A06A0" w14:textId="77777777" w:rsidR="00575781" w:rsidRPr="000175FD" w:rsidRDefault="00575781" w:rsidP="00575781">
      <w:pPr>
        <w:jc w:val="both"/>
      </w:pPr>
      <w:r w:rsidRPr="000175FD">
        <w:t>In her 2020 State of the Union speech</w:t>
      </w:r>
      <w:r w:rsidRPr="000175FD">
        <w:rPr>
          <w:rStyle w:val="FootnoteReference"/>
        </w:rPr>
        <w:footnoteReference w:id="12"/>
      </w:r>
      <w:r w:rsidRPr="000175FD">
        <w:t xml:space="preserve">, European Commission President Ursula Von der </w:t>
      </w:r>
      <w:proofErr w:type="spellStart"/>
      <w:r w:rsidRPr="000175FD">
        <w:t>Leyen</w:t>
      </w:r>
      <w:proofErr w:type="spellEnd"/>
      <w:r w:rsidRPr="000175FD">
        <w:t xml:space="preserve"> identified the creation of legal pathways as part of the key actions to address irregular migration in Europe. </w:t>
      </w:r>
    </w:p>
    <w:p w14:paraId="5DBCDBD3" w14:textId="77777777" w:rsidR="00575781" w:rsidRPr="000175FD" w:rsidRDefault="00575781" w:rsidP="00575781">
      <w:pPr>
        <w:jc w:val="both"/>
      </w:pPr>
    </w:p>
    <w:p w14:paraId="314A143B" w14:textId="77777777" w:rsidR="00575781" w:rsidRPr="000175FD" w:rsidRDefault="00575781" w:rsidP="00575781">
      <w:pPr>
        <w:jc w:val="both"/>
      </w:pPr>
      <w:r w:rsidRPr="000175FD">
        <w:t xml:space="preserve">Indeed, it would be naive to think there is one single solution. Migration, irregular or not, has always been and will continue to be part of our history. When understanding the key challenges faced by the European Union and globally - such as climate change, famine and war and inequality - it becomes clear that the EU has to do much more. </w:t>
      </w:r>
    </w:p>
    <w:p w14:paraId="01F6E877" w14:textId="77777777" w:rsidR="00575781" w:rsidRPr="000175FD" w:rsidRDefault="00575781" w:rsidP="00575781">
      <w:pPr>
        <w:jc w:val="both"/>
      </w:pPr>
    </w:p>
    <w:p w14:paraId="7840C637" w14:textId="77777777" w:rsidR="00575781" w:rsidRPr="000175FD" w:rsidRDefault="00575781" w:rsidP="00575781">
      <w:pPr>
        <w:jc w:val="both"/>
      </w:pPr>
      <w:r w:rsidRPr="000175FD">
        <w:t>This report deals with legal labour migration, recommending a gradual approach, based on addressing immediate issues immediately, looking to expand the sectors governed by EU law thereafter, and then looking at a more overarching reform of EU legal migration policy. There is a reality in the EU that has not been properly addressed: an ageing population, the exploitation of foreign workers, the reality of migration, and the global race for talent.</w:t>
      </w:r>
    </w:p>
    <w:p w14:paraId="68011388" w14:textId="77777777" w:rsidR="00575781" w:rsidRPr="000175FD" w:rsidRDefault="00575781" w:rsidP="00575781">
      <w:pPr>
        <w:jc w:val="both"/>
      </w:pPr>
    </w:p>
    <w:p w14:paraId="0C573A60" w14:textId="77777777" w:rsidR="00575781" w:rsidRPr="000175FD" w:rsidRDefault="00575781" w:rsidP="00575781">
      <w:pPr>
        <w:jc w:val="both"/>
      </w:pPr>
      <w:r w:rsidRPr="000175FD">
        <w:t>According to the 2019 Ageing Report</w:t>
      </w:r>
      <w:r w:rsidRPr="000175FD">
        <w:rPr>
          <w:rStyle w:val="FootnoteReference"/>
        </w:rPr>
        <w:footnoteReference w:id="13"/>
      </w:r>
      <w:r w:rsidRPr="000175FD">
        <w:t>, almost one fifth of the population living in the EU-28 at the start of 2018 was aged 65 years or more. The report forecasts that, during the next three decades, the number of older people in the European Union (EU) is projected to follow an upward path, peaking at 149.2 million inhabitants in 2050; their relative share of the total population will also gradually increase and is projected to reach 28.5 % in 2050.</w:t>
      </w:r>
    </w:p>
    <w:p w14:paraId="096732EB" w14:textId="77777777" w:rsidR="00575781" w:rsidRPr="000175FD" w:rsidRDefault="00575781" w:rsidP="00575781">
      <w:pPr>
        <w:jc w:val="both"/>
      </w:pPr>
    </w:p>
    <w:p w14:paraId="57192422" w14:textId="6634B0F7" w:rsidR="00575781" w:rsidRPr="000175FD" w:rsidRDefault="00575781" w:rsidP="00575781">
      <w:pPr>
        <w:jc w:val="both"/>
      </w:pPr>
      <w:r w:rsidRPr="000175FD">
        <w:t>With this in mind, coupled with the gaps identified in the labour market, a new legal migration policy is one of the four pillars of a balanced EU migration management.</w:t>
      </w:r>
      <w:r w:rsidR="00934128" w:rsidRPr="000175FD">
        <w:t xml:space="preserve"> </w:t>
      </w:r>
    </w:p>
    <w:p w14:paraId="7A8C001E" w14:textId="77777777" w:rsidR="00575781" w:rsidRPr="000175FD" w:rsidRDefault="00575781" w:rsidP="00575781">
      <w:pPr>
        <w:jc w:val="both"/>
      </w:pPr>
    </w:p>
    <w:p w14:paraId="67ED81F2" w14:textId="77777777" w:rsidR="00575781" w:rsidRPr="000175FD" w:rsidRDefault="00575781" w:rsidP="00575781">
      <w:pPr>
        <w:jc w:val="both"/>
      </w:pPr>
      <w:r w:rsidRPr="000175FD">
        <w:t>In its Communication on the New Pact on Migration and Asylum, the European Commission acknowledges the benefit that legal migration brings to society and the economy. While Member States retain the right to determine volumes of admission of third country nationals coming from third countries to their territory for employment purposes, there is an opportunity to address the gaps in the labour market whilst offering those workers the right opportunities and working conditions that are so often denied.</w:t>
      </w:r>
    </w:p>
    <w:p w14:paraId="1D9F1548" w14:textId="77777777" w:rsidR="00575781" w:rsidRPr="000175FD" w:rsidRDefault="00575781" w:rsidP="00575781">
      <w:pPr>
        <w:jc w:val="both"/>
      </w:pPr>
    </w:p>
    <w:p w14:paraId="7B002200" w14:textId="77777777" w:rsidR="00575781" w:rsidRPr="000175FD" w:rsidRDefault="00575781" w:rsidP="00575781">
      <w:pPr>
        <w:pStyle w:val="Body"/>
        <w:jc w:val="both"/>
        <w:rPr>
          <w:rFonts w:ascii="Times New Roman" w:hAnsi="Times New Roman" w:cs="Times New Roman"/>
          <w:lang w:val="en-GB"/>
        </w:rPr>
      </w:pPr>
      <w:r w:rsidRPr="000175FD">
        <w:rPr>
          <w:rFonts w:ascii="Times New Roman" w:hAnsi="Times New Roman" w:cs="Times New Roman"/>
          <w:lang w:val="en-GB"/>
        </w:rPr>
        <w:t>A 2019 report</w:t>
      </w:r>
      <w:r w:rsidRPr="000175FD">
        <w:rPr>
          <w:rFonts w:ascii="Times New Roman" w:eastAsia="Calibri" w:hAnsi="Times New Roman" w:cs="Times New Roman"/>
          <w:vertAlign w:val="superscript"/>
          <w:lang w:val="en-GB"/>
        </w:rPr>
        <w:footnoteReference w:id="14"/>
      </w:r>
      <w:r w:rsidRPr="000175FD">
        <w:rPr>
          <w:rFonts w:ascii="Times New Roman" w:hAnsi="Times New Roman" w:cs="Times New Roman"/>
          <w:lang w:val="en-GB"/>
        </w:rPr>
        <w:t xml:space="preserve"> by the Fundamental Rights Agency highlighted the exploitation of migrant workers, including TCNs who come to the EU and EU nationals who move to another EU country. This included being paid as little as €5-a-day, forced to pay debts to traffickers before earning a cent and sleeping in shipping containers with no water or electricity. The report shed light on precarious employment in various sectors, including agriculture, construction, domestic work, hospitality, manufacturing and transport.</w:t>
      </w:r>
    </w:p>
    <w:p w14:paraId="4F2558B4" w14:textId="77777777" w:rsidR="00575781" w:rsidRPr="000175FD" w:rsidRDefault="00575781" w:rsidP="00575781">
      <w:pPr>
        <w:pStyle w:val="Body"/>
        <w:jc w:val="both"/>
        <w:rPr>
          <w:rFonts w:ascii="Times New Roman" w:hAnsi="Times New Roman" w:cs="Times New Roman"/>
          <w:lang w:val="en-GB"/>
        </w:rPr>
      </w:pPr>
    </w:p>
    <w:p w14:paraId="66C8D139" w14:textId="77777777" w:rsidR="00575781" w:rsidRPr="000175FD" w:rsidRDefault="00575781" w:rsidP="00575781">
      <w:pPr>
        <w:pStyle w:val="Body"/>
        <w:jc w:val="both"/>
        <w:rPr>
          <w:rFonts w:ascii="Times New Roman" w:hAnsi="Times New Roman" w:cs="Times New Roman"/>
          <w:lang w:val="en-GB"/>
        </w:rPr>
      </w:pPr>
      <w:r w:rsidRPr="000175FD">
        <w:rPr>
          <w:rFonts w:ascii="Times New Roman" w:hAnsi="Times New Roman" w:cs="Times New Roman"/>
          <w:lang w:val="en-GB"/>
        </w:rPr>
        <w:t xml:space="preserve">Neither can the situation caused by COVID-19 be ignored. Migrant and seasonal workers are often in precarious employment, with poor working conditions and housed in sub-standard </w:t>
      </w:r>
      <w:r w:rsidRPr="000175FD">
        <w:rPr>
          <w:rFonts w:ascii="Times New Roman" w:hAnsi="Times New Roman" w:cs="Times New Roman"/>
          <w:lang w:val="en-GB"/>
        </w:rPr>
        <w:lastRenderedPageBreak/>
        <w:t xml:space="preserve">accommodation. Providing an appropriate legal framework for this situation would ensure access to income support measures, social protection and health care. </w:t>
      </w:r>
    </w:p>
    <w:p w14:paraId="410F5DC2" w14:textId="77777777" w:rsidR="00575781" w:rsidRPr="000175FD" w:rsidRDefault="00575781" w:rsidP="00575781">
      <w:pPr>
        <w:jc w:val="both"/>
      </w:pPr>
    </w:p>
    <w:p w14:paraId="058CC474" w14:textId="77777777" w:rsidR="00575781" w:rsidRPr="000175FD" w:rsidRDefault="00575781" w:rsidP="00575781">
      <w:pPr>
        <w:jc w:val="both"/>
      </w:pPr>
      <w:r w:rsidRPr="000175FD">
        <w:t>The European Commission speaks of attracting skills and talent to the EU. Indeed, the EU labour market faces specific skills shortages in different sectors, be it low, medium and high-level sectors. In the recently published Skills Agenda for Europe, the European Commission said</w:t>
      </w:r>
      <w:r w:rsidRPr="000175FD">
        <w:rPr>
          <w:rStyle w:val="FootnoteReference"/>
        </w:rPr>
        <w:footnoteReference w:id="15"/>
      </w:r>
      <w:r w:rsidRPr="000175FD">
        <w:t xml:space="preserve"> it would work with Member States on modern and comprehensive national skills strategies and join forces with national public employment agencies to realise them. Here, it also suggests that this can be coupled with a more strategic approach to legal migration, oriented towards better attracting and keeping talent.</w:t>
      </w:r>
    </w:p>
    <w:p w14:paraId="04595BFA" w14:textId="77777777" w:rsidR="00575781" w:rsidRPr="000175FD" w:rsidRDefault="00575781" w:rsidP="00575781">
      <w:pPr>
        <w:jc w:val="both"/>
      </w:pPr>
    </w:p>
    <w:p w14:paraId="732A4462" w14:textId="6B0317DA" w:rsidR="00575781" w:rsidRPr="000175FD" w:rsidRDefault="00575781" w:rsidP="00575781">
      <w:pPr>
        <w:pStyle w:val="Body"/>
        <w:jc w:val="both"/>
        <w:rPr>
          <w:rFonts w:ascii="Times New Roman" w:hAnsi="Times New Roman" w:cs="Times New Roman"/>
          <w:lang w:val="en-GB"/>
        </w:rPr>
      </w:pPr>
      <w:r w:rsidRPr="000175FD">
        <w:rPr>
          <w:rFonts w:ascii="Times New Roman" w:hAnsi="Times New Roman" w:cs="Times New Roman"/>
          <w:lang w:val="en-GB"/>
        </w:rPr>
        <w:t>The Rapporteur raises a number of points in her report, including the fact that the EU</w:t>
      </w:r>
      <w:r w:rsidR="008E0572">
        <w:rPr>
          <w:rFonts w:ascii="Times New Roman" w:hAnsi="Times New Roman" w:cs="Times New Roman"/>
          <w:lang w:val="en-GB"/>
        </w:rPr>
        <w:t>’</w:t>
      </w:r>
      <w:r w:rsidRPr="000175FD">
        <w:rPr>
          <w:rFonts w:ascii="Times New Roman" w:hAnsi="Times New Roman" w:cs="Times New Roman"/>
          <w:lang w:val="en-GB"/>
        </w:rPr>
        <w:t>s legislation on legal migration is highly fragmented. The patchwork of different rules and regulations makes the EU</w:t>
      </w:r>
      <w:r w:rsidR="008E0572">
        <w:rPr>
          <w:rFonts w:ascii="Times New Roman" w:hAnsi="Times New Roman" w:cs="Times New Roman"/>
          <w:rtl/>
          <w:lang w:val="en-GB"/>
        </w:rPr>
        <w:t>’</w:t>
      </w:r>
      <w:r w:rsidRPr="000175FD">
        <w:rPr>
          <w:rFonts w:ascii="Times New Roman" w:hAnsi="Times New Roman" w:cs="Times New Roman"/>
          <w:lang w:val="en-GB"/>
        </w:rPr>
        <w:t>s framework unclear and unattractive for both TCNs and Member States themselves. Whilst it remains the competence of Member States to decide what their market needs are and how many work permits should be granted, increased coordination and cooperation is a must, as well as to ensure that TCN workers, like EU nationals, are treated in accordance with fundamental rights in the EU.</w:t>
      </w:r>
      <w:r w:rsidR="00934128" w:rsidRPr="000175FD">
        <w:rPr>
          <w:rFonts w:ascii="Times New Roman" w:hAnsi="Times New Roman" w:cs="Times New Roman"/>
          <w:lang w:val="en-GB"/>
        </w:rPr>
        <w:t xml:space="preserve"> </w:t>
      </w:r>
      <w:r w:rsidRPr="000175FD">
        <w:rPr>
          <w:rFonts w:ascii="Times New Roman" w:hAnsi="Times New Roman" w:cs="Times New Roman"/>
          <w:lang w:val="en-GB"/>
        </w:rPr>
        <w:t>Increased research is also required to understand the labour market integration of non-economic migrants, patterns of intra-EU mobility and the necessary mechanisms to match the profile of labour migrants to the needs of EU labour markets.</w:t>
      </w:r>
    </w:p>
    <w:p w14:paraId="378E5724" w14:textId="77777777" w:rsidR="00575781" w:rsidRPr="000175FD" w:rsidRDefault="00575781" w:rsidP="00575781">
      <w:pPr>
        <w:jc w:val="both"/>
      </w:pPr>
      <w:r w:rsidRPr="000175FD">
        <w:t xml:space="preserve"> </w:t>
      </w:r>
    </w:p>
    <w:p w14:paraId="6AB1DD83" w14:textId="77777777" w:rsidR="00575781" w:rsidRPr="000175FD" w:rsidRDefault="00575781" w:rsidP="00575781">
      <w:pPr>
        <w:pStyle w:val="Body"/>
        <w:jc w:val="both"/>
        <w:rPr>
          <w:rFonts w:ascii="Times New Roman" w:hAnsi="Times New Roman" w:cs="Times New Roman"/>
          <w:lang w:val="en-GB"/>
        </w:rPr>
      </w:pPr>
      <w:r w:rsidRPr="000175FD">
        <w:rPr>
          <w:rFonts w:ascii="Times New Roman" w:hAnsi="Times New Roman" w:cs="Times New Roman"/>
          <w:lang w:val="en-GB"/>
        </w:rPr>
        <w:t xml:space="preserve">In this regard, the Rapporteur is proposing the development of a talent </w:t>
      </w:r>
      <w:proofErr w:type="gramStart"/>
      <w:r w:rsidRPr="000175FD">
        <w:rPr>
          <w:rFonts w:ascii="Times New Roman" w:hAnsi="Times New Roman" w:cs="Times New Roman"/>
          <w:lang w:val="en-GB"/>
        </w:rPr>
        <w:t>pool:</w:t>
      </w:r>
      <w:proofErr w:type="gramEnd"/>
      <w:r w:rsidRPr="000175FD">
        <w:rPr>
          <w:rFonts w:ascii="Times New Roman" w:hAnsi="Times New Roman" w:cs="Times New Roman"/>
          <w:lang w:val="en-GB"/>
        </w:rPr>
        <w:t xml:space="preserve"> a matching platform that would ensure an efficient international matching of migrant workers with EU labour market requirements. </w:t>
      </w:r>
      <w:proofErr w:type="gramStart"/>
      <w:r w:rsidRPr="000175FD">
        <w:rPr>
          <w:rFonts w:ascii="Times New Roman" w:hAnsi="Times New Roman" w:cs="Times New Roman"/>
          <w:lang w:val="en-GB"/>
        </w:rPr>
        <w:t>A one-stop-shop where employers can advertise the needed skills and where prospective employees can know which skills are in demand.</w:t>
      </w:r>
      <w:proofErr w:type="gramEnd"/>
      <w:r w:rsidRPr="000175FD">
        <w:rPr>
          <w:rFonts w:ascii="Times New Roman" w:hAnsi="Times New Roman" w:cs="Times New Roman"/>
          <w:lang w:val="en-GB"/>
        </w:rPr>
        <w:t xml:space="preserve"> The platform would be used to optimize the use of the current labour force in the EU, to provide clear information to those offering their skills and to those who are in need of specific skills. The digital platform would facilitate the available information, connecting businesses with institutions or authorities and provide a reliable service that does not leave employers and employees in waiting for months on end.</w:t>
      </w:r>
    </w:p>
    <w:p w14:paraId="448BD7D6" w14:textId="77777777" w:rsidR="00575781" w:rsidRPr="000175FD" w:rsidRDefault="00575781" w:rsidP="00575781">
      <w:pPr>
        <w:pStyle w:val="Body"/>
        <w:jc w:val="both"/>
        <w:rPr>
          <w:rFonts w:ascii="Times New Roman" w:hAnsi="Times New Roman" w:cs="Times New Roman"/>
          <w:lang w:val="en-GB"/>
        </w:rPr>
      </w:pPr>
    </w:p>
    <w:p w14:paraId="43E40023" w14:textId="77777777" w:rsidR="00575781" w:rsidRPr="000175FD" w:rsidRDefault="00575781" w:rsidP="00575781">
      <w:pPr>
        <w:pStyle w:val="Body"/>
        <w:jc w:val="both"/>
        <w:rPr>
          <w:rFonts w:ascii="Times New Roman" w:hAnsi="Times New Roman" w:cs="Times New Roman"/>
          <w:lang w:val="en-GB"/>
        </w:rPr>
      </w:pPr>
      <w:r w:rsidRPr="000175FD">
        <w:rPr>
          <w:rFonts w:ascii="Times New Roman" w:hAnsi="Times New Roman" w:cs="Times New Roman"/>
          <w:lang w:val="en-GB"/>
        </w:rPr>
        <w:t>Moreover, the Commission should consider developing an EU-wide scheme to attract self-employed people and entrepreneurs.</w:t>
      </w:r>
    </w:p>
    <w:p w14:paraId="1CE61EED" w14:textId="77777777" w:rsidR="00575781" w:rsidRPr="000175FD" w:rsidRDefault="00575781" w:rsidP="00575781">
      <w:pPr>
        <w:pStyle w:val="Body"/>
        <w:jc w:val="both"/>
        <w:rPr>
          <w:rFonts w:ascii="Times New Roman" w:hAnsi="Times New Roman" w:cs="Times New Roman"/>
          <w:lang w:val="en-GB"/>
        </w:rPr>
      </w:pPr>
    </w:p>
    <w:p w14:paraId="433D2644" w14:textId="77777777" w:rsidR="00575781" w:rsidRPr="000175FD" w:rsidRDefault="00575781" w:rsidP="00575781">
      <w:pPr>
        <w:pStyle w:val="Body"/>
        <w:jc w:val="both"/>
        <w:rPr>
          <w:rFonts w:ascii="Times New Roman" w:hAnsi="Times New Roman" w:cs="Times New Roman"/>
          <w:lang w:val="en-GB"/>
        </w:rPr>
      </w:pPr>
      <w:r w:rsidRPr="000175FD">
        <w:rPr>
          <w:rFonts w:ascii="Times New Roman" w:hAnsi="Times New Roman" w:cs="Times New Roman"/>
          <w:lang w:val="en-GB"/>
        </w:rPr>
        <w:t>A coordinated approach is needed. The existing legislative fragmentation means that there are different rules and regulations for different groups of workers, and those seeking to reunite with their families. This is worsened by complex procedures and lack of uniformity in their implementation.</w:t>
      </w:r>
    </w:p>
    <w:p w14:paraId="1BF1D313" w14:textId="77777777" w:rsidR="00575781" w:rsidRPr="000175FD" w:rsidRDefault="00575781" w:rsidP="00575781">
      <w:pPr>
        <w:pStyle w:val="Body"/>
        <w:jc w:val="both"/>
        <w:rPr>
          <w:rFonts w:ascii="Times New Roman" w:hAnsi="Times New Roman" w:cs="Times New Roman"/>
          <w:lang w:val="en-GB"/>
        </w:rPr>
      </w:pPr>
    </w:p>
    <w:p w14:paraId="273B479C" w14:textId="77777777" w:rsidR="00575781" w:rsidRPr="000175FD" w:rsidRDefault="00575781" w:rsidP="000175FD">
      <w:pPr>
        <w:pStyle w:val="Body"/>
        <w:jc w:val="both"/>
        <w:rPr>
          <w:rFonts w:ascii="Times New Roman" w:hAnsi="Times New Roman" w:cs="Times New Roman"/>
          <w:lang w:val="en-GB"/>
        </w:rPr>
      </w:pPr>
      <w:r w:rsidRPr="000175FD">
        <w:rPr>
          <w:rFonts w:ascii="Times New Roman" w:hAnsi="Times New Roman" w:cs="Times New Roman"/>
          <w:lang w:val="en-GB"/>
        </w:rPr>
        <w:t>The European Union is at an important juncture. The decisions taken today will determine the Europe we will be living in, the opportunities</w:t>
      </w:r>
      <w:r w:rsidR="000175FD">
        <w:rPr>
          <w:rFonts w:ascii="Times New Roman" w:hAnsi="Times New Roman" w:cs="Times New Roman"/>
          <w:lang w:val="en-GB"/>
        </w:rPr>
        <w:t xml:space="preserve"> offered and the values upheld.</w:t>
      </w:r>
    </w:p>
    <w:sectPr w:rsidR="00575781" w:rsidRPr="000175FD" w:rsidSect="00575781">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91999" w14:textId="77777777" w:rsidR="005928C0" w:rsidRPr="00F94DA4" w:rsidRDefault="005928C0">
      <w:r w:rsidRPr="00F94DA4">
        <w:separator/>
      </w:r>
    </w:p>
  </w:endnote>
  <w:endnote w:type="continuationSeparator" w:id="0">
    <w:p w14:paraId="474F0ADA" w14:textId="77777777" w:rsidR="005928C0" w:rsidRPr="00F94DA4" w:rsidRDefault="005928C0">
      <w:r w:rsidRPr="00F94D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D896" w14:textId="0315730F" w:rsidR="00E26B2E" w:rsidRPr="00A62346" w:rsidRDefault="00E26B2E" w:rsidP="00584A07">
    <w:pPr>
      <w:pStyle w:val="EPFooter"/>
      <w:rPr>
        <w:lang w:val="fr-FR"/>
      </w:rPr>
    </w:pPr>
    <w:r w:rsidRPr="00A62346">
      <w:rPr>
        <w:lang w:val="fr-FR"/>
      </w:rPr>
      <w:t>PE</w:t>
    </w:r>
    <w:r w:rsidRPr="00A62346">
      <w:rPr>
        <w:rStyle w:val="HideTWBExt"/>
        <w:noProof w:val="0"/>
        <w:lang w:val="fr-FR"/>
      </w:rPr>
      <w:t>&lt;NoPE&gt;</w:t>
    </w:r>
    <w:r w:rsidRPr="00A62346">
      <w:rPr>
        <w:lang w:val="fr-FR"/>
      </w:rPr>
      <w:t>657.255</w:t>
    </w:r>
    <w:r w:rsidRPr="00A62346">
      <w:rPr>
        <w:rStyle w:val="HideTWBExt"/>
        <w:noProof w:val="0"/>
        <w:lang w:val="fr-FR"/>
      </w:rPr>
      <w:t>&lt;/NoPE&gt;&lt;Version&gt;</w:t>
    </w:r>
    <w:r w:rsidRPr="00A62346">
      <w:rPr>
        <w:lang w:val="fr-FR"/>
      </w:rPr>
      <w:t>v01-00</w:t>
    </w:r>
    <w:r w:rsidRPr="00A62346">
      <w:rPr>
        <w:rStyle w:val="HideTWBExt"/>
        <w:noProof w:val="0"/>
        <w:lang w:val="fr-FR"/>
      </w:rPr>
      <w:t>&lt;/Version&gt;</w:t>
    </w:r>
    <w:r w:rsidRPr="00A62346">
      <w:rPr>
        <w:lang w:val="fr-FR"/>
      </w:rPr>
      <w:tab/>
    </w:r>
    <w:r w:rsidRPr="00F94DA4">
      <w:fldChar w:fldCharType="begin"/>
    </w:r>
    <w:r w:rsidRPr="00A62346">
      <w:rPr>
        <w:lang w:val="fr-FR"/>
      </w:rPr>
      <w:instrText xml:space="preserve"> PAGE </w:instrText>
    </w:r>
    <w:r w:rsidRPr="00F94DA4">
      <w:fldChar w:fldCharType="separate"/>
    </w:r>
    <w:r w:rsidR="00212878">
      <w:rPr>
        <w:noProof/>
        <w:lang w:val="fr-FR"/>
      </w:rPr>
      <w:t>8</w:t>
    </w:r>
    <w:r w:rsidRPr="00F94DA4">
      <w:fldChar w:fldCharType="end"/>
    </w:r>
    <w:r w:rsidRPr="00A62346">
      <w:rPr>
        <w:lang w:val="fr-FR"/>
      </w:rPr>
      <w:t>/</w:t>
    </w:r>
    <w:r w:rsidRPr="00F94DA4">
      <w:fldChar w:fldCharType="begin"/>
    </w:r>
    <w:r w:rsidRPr="00A62346">
      <w:rPr>
        <w:lang w:val="fr-FR"/>
      </w:rPr>
      <w:instrText xml:space="preserve"> NUMPAGES </w:instrText>
    </w:r>
    <w:r w:rsidRPr="00F94DA4">
      <w:fldChar w:fldCharType="separate"/>
    </w:r>
    <w:r w:rsidR="00212878">
      <w:rPr>
        <w:noProof/>
        <w:lang w:val="fr-FR"/>
      </w:rPr>
      <w:t>10</w:t>
    </w:r>
    <w:r w:rsidRPr="00F94DA4">
      <w:fldChar w:fldCharType="end"/>
    </w:r>
    <w:r w:rsidRPr="00A62346">
      <w:rPr>
        <w:lang w:val="fr-FR"/>
      </w:rPr>
      <w:tab/>
    </w:r>
    <w:r w:rsidRPr="00A62346">
      <w:rPr>
        <w:rStyle w:val="HideTWBExt"/>
        <w:noProof w:val="0"/>
        <w:lang w:val="fr-FR"/>
      </w:rPr>
      <w:t>&lt;PathFdR&gt;</w:t>
    </w:r>
    <w:r w:rsidRPr="00A62346">
      <w:rPr>
        <w:lang w:val="fr-FR"/>
      </w:rPr>
      <w:t>PR\1212618EN.docx</w:t>
    </w:r>
    <w:r w:rsidRPr="00A62346">
      <w:rPr>
        <w:rStyle w:val="HideTWBExt"/>
        <w:noProof w:val="0"/>
        <w:lang w:val="fr-FR"/>
      </w:rPr>
      <w:t>&lt;/PathFdR&gt;</w:t>
    </w:r>
  </w:p>
  <w:p w14:paraId="614BBD1E" w14:textId="77777777" w:rsidR="00E26B2E" w:rsidRPr="00F94DA4" w:rsidRDefault="00700B03">
    <w:pPr>
      <w:pStyle w:val="EPFooter2"/>
    </w:pPr>
    <w:fldSimple w:instr=" DOCPROPERTY &quot;&lt;Extension&gt;&quot; ">
      <w:r w:rsidR="00E26B2E">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C4CE" w14:textId="60C1C4D3" w:rsidR="00E26B2E" w:rsidRPr="00575781" w:rsidRDefault="00E26B2E" w:rsidP="00584A07">
    <w:pPr>
      <w:pStyle w:val="EPFooter"/>
      <w:rPr>
        <w:lang w:val="fr-FR"/>
      </w:rPr>
    </w:pPr>
    <w:r w:rsidRPr="00F94DA4">
      <w:rPr>
        <w:rStyle w:val="HideTWBExt"/>
        <w:noProof w:val="0"/>
      </w:rPr>
      <w:t>&lt;PathFdR&gt;</w:t>
    </w:r>
    <w:r w:rsidRPr="003C383A">
      <w:t>PR\1212618EN.docx</w:t>
    </w:r>
    <w:r w:rsidRPr="00F94DA4">
      <w:rPr>
        <w:rStyle w:val="HideTWBExt"/>
        <w:noProof w:val="0"/>
      </w:rPr>
      <w:t>&lt;/PathFdR&gt;</w:t>
    </w:r>
    <w:r w:rsidRPr="00F94DA4">
      <w:tab/>
    </w:r>
    <w:r w:rsidRPr="00F94DA4">
      <w:fldChar w:fldCharType="begin"/>
    </w:r>
    <w:r w:rsidRPr="00F94DA4">
      <w:instrText xml:space="preserve"> PAGE </w:instrText>
    </w:r>
    <w:r w:rsidRPr="00F94DA4">
      <w:fldChar w:fldCharType="separate"/>
    </w:r>
    <w:r w:rsidR="00212878">
      <w:rPr>
        <w:noProof/>
      </w:rPr>
      <w:t>9</w:t>
    </w:r>
    <w:r w:rsidRPr="00F94DA4">
      <w:fldChar w:fldCharType="end"/>
    </w:r>
    <w:r w:rsidRPr="00F94DA4">
      <w:t>/</w:t>
    </w:r>
    <w:fldSimple w:instr=" NUMPAGES ">
      <w:r w:rsidR="00212878">
        <w:rPr>
          <w:noProof/>
        </w:rPr>
        <w:t>10</w:t>
      </w:r>
    </w:fldSimple>
    <w:r w:rsidRPr="00575781">
      <w:rPr>
        <w:lang w:val="fr-FR"/>
      </w:rPr>
      <w:tab/>
      <w:t>PE</w:t>
    </w:r>
    <w:r w:rsidRPr="00575781">
      <w:rPr>
        <w:rStyle w:val="HideTWBExt"/>
        <w:noProof w:val="0"/>
        <w:lang w:val="fr-FR"/>
      </w:rPr>
      <w:t>&lt;NoPE&gt;</w:t>
    </w:r>
    <w:r w:rsidRPr="00575781">
      <w:rPr>
        <w:lang w:val="fr-FR"/>
      </w:rPr>
      <w:t>657.255</w:t>
    </w:r>
    <w:r w:rsidRPr="00575781">
      <w:rPr>
        <w:rStyle w:val="HideTWBExt"/>
        <w:noProof w:val="0"/>
        <w:lang w:val="fr-FR"/>
      </w:rPr>
      <w:t>&lt;/NoPE&gt;&lt;Version&gt;</w:t>
    </w:r>
    <w:r w:rsidRPr="00575781">
      <w:rPr>
        <w:lang w:val="fr-FR"/>
      </w:rPr>
      <w:t>v01-00</w:t>
    </w:r>
    <w:r w:rsidRPr="00575781">
      <w:rPr>
        <w:rStyle w:val="HideTWBExt"/>
        <w:noProof w:val="0"/>
        <w:lang w:val="fr-FR"/>
      </w:rPr>
      <w:t>&lt;/Version&gt;</w:t>
    </w:r>
  </w:p>
  <w:p w14:paraId="3CD60819" w14:textId="77777777" w:rsidR="00E26B2E" w:rsidRPr="00575781" w:rsidRDefault="00E26B2E">
    <w:pPr>
      <w:pStyle w:val="EPFooter2"/>
      <w:rPr>
        <w:lang w:val="fr-FR"/>
      </w:rPr>
    </w:pPr>
    <w:r w:rsidRPr="00575781">
      <w:rPr>
        <w:lang w:val="fr-FR"/>
      </w:rPr>
      <w:tab/>
    </w:r>
    <w:r w:rsidRPr="00575781">
      <w:rPr>
        <w:lang w:val="fr-FR"/>
      </w:rPr>
      <w:tab/>
    </w:r>
    <w:r w:rsidRPr="00F94DA4">
      <w:fldChar w:fldCharType="begin"/>
    </w:r>
    <w:r w:rsidRPr="00575781">
      <w:rPr>
        <w:lang w:val="fr-FR"/>
      </w:rPr>
      <w:instrText xml:space="preserve"> DOCPROPERTY "&lt;Extension&gt;" </w:instrText>
    </w:r>
    <w:r w:rsidRPr="00F94DA4">
      <w:fldChar w:fldCharType="separate"/>
    </w:r>
    <w:r>
      <w:rPr>
        <w:lang w:val="fr-FR"/>
      </w:rPr>
      <w:t>EN</w:t>
    </w:r>
    <w:r w:rsidRPr="00F94D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7DB1" w14:textId="77777777" w:rsidR="00E26B2E" w:rsidRPr="00575781" w:rsidRDefault="00E26B2E" w:rsidP="00584A07">
    <w:pPr>
      <w:pStyle w:val="EPFooter"/>
      <w:rPr>
        <w:lang w:val="fr-FR"/>
      </w:rPr>
    </w:pPr>
    <w:r w:rsidRPr="00F94DA4">
      <w:rPr>
        <w:rStyle w:val="HideTWBExt"/>
        <w:noProof w:val="0"/>
      </w:rPr>
      <w:t>&lt;PathFdR&gt;</w:t>
    </w:r>
    <w:r w:rsidRPr="00575781">
      <w:rPr>
        <w:lang w:val="fr-FR"/>
      </w:rPr>
      <w:t>PR\1212618EN.docx</w:t>
    </w:r>
    <w:r w:rsidRPr="00575781">
      <w:rPr>
        <w:rStyle w:val="HideTWBExt"/>
        <w:noProof w:val="0"/>
        <w:lang w:val="fr-FR"/>
      </w:rPr>
      <w:t>&lt;/PathFdR&gt;</w:t>
    </w:r>
    <w:r w:rsidRPr="00575781">
      <w:rPr>
        <w:lang w:val="fr-FR"/>
      </w:rPr>
      <w:tab/>
    </w:r>
    <w:r w:rsidRPr="00575781">
      <w:rPr>
        <w:lang w:val="fr-FR"/>
      </w:rPr>
      <w:tab/>
      <w:t>PE</w:t>
    </w:r>
    <w:r w:rsidRPr="00575781">
      <w:rPr>
        <w:rStyle w:val="HideTWBExt"/>
        <w:noProof w:val="0"/>
        <w:lang w:val="fr-FR"/>
      </w:rPr>
      <w:t>&lt;NoPE&gt;</w:t>
    </w:r>
    <w:r w:rsidRPr="00575781">
      <w:rPr>
        <w:lang w:val="fr-FR"/>
      </w:rPr>
      <w:t>657.255</w:t>
    </w:r>
    <w:r w:rsidRPr="00575781">
      <w:rPr>
        <w:rStyle w:val="HideTWBExt"/>
        <w:noProof w:val="0"/>
        <w:lang w:val="fr-FR"/>
      </w:rPr>
      <w:t>&lt;/NoPE&gt;&lt;Version&gt;</w:t>
    </w:r>
    <w:r w:rsidRPr="00575781">
      <w:rPr>
        <w:lang w:val="fr-FR"/>
      </w:rPr>
      <w:t>v01-00</w:t>
    </w:r>
    <w:r w:rsidRPr="00575781">
      <w:rPr>
        <w:rStyle w:val="HideTWBExt"/>
        <w:noProof w:val="0"/>
        <w:lang w:val="fr-FR"/>
      </w:rPr>
      <w:t>&lt;/Version&gt;</w:t>
    </w:r>
  </w:p>
  <w:p w14:paraId="0CF3AD45" w14:textId="77777777" w:rsidR="00E26B2E" w:rsidRPr="00575781" w:rsidRDefault="00E26B2E" w:rsidP="00E3537C">
    <w:pPr>
      <w:pStyle w:val="EPFooter2"/>
      <w:tabs>
        <w:tab w:val="clear" w:pos="4535"/>
        <w:tab w:val="center" w:pos="4536"/>
      </w:tabs>
      <w:rPr>
        <w:lang w:val="fr-FR"/>
      </w:rPr>
    </w:pPr>
    <w:r w:rsidRPr="00F94DA4">
      <w:fldChar w:fldCharType="begin"/>
    </w:r>
    <w:r w:rsidRPr="00575781">
      <w:rPr>
        <w:lang w:val="fr-FR"/>
      </w:rPr>
      <w:instrText xml:space="preserve"> DOCPROPERTY "&lt;Extension&gt;" </w:instrText>
    </w:r>
    <w:r w:rsidRPr="00F94DA4">
      <w:fldChar w:fldCharType="separate"/>
    </w:r>
    <w:r>
      <w:rPr>
        <w:lang w:val="fr-FR"/>
      </w:rPr>
      <w:t>EN</w:t>
    </w:r>
    <w:r w:rsidRPr="00F94DA4">
      <w:fldChar w:fldCharType="end"/>
    </w:r>
    <w:r w:rsidRPr="00575781">
      <w:rPr>
        <w:lang w:val="fr-FR"/>
      </w:rPr>
      <w:tab/>
    </w:r>
    <w:r w:rsidRPr="00575781">
      <w:rPr>
        <w:b w:val="0"/>
        <w:i/>
        <w:color w:val="C0C0C0"/>
        <w:sz w:val="22"/>
        <w:szCs w:val="22"/>
        <w:lang w:val="fr-FR"/>
      </w:rPr>
      <w:t>United in</w:t>
    </w:r>
    <w:r w:rsidRPr="008E0572">
      <w:rPr>
        <w:b w:val="0"/>
        <w:i/>
        <w:color w:val="C0C0C0"/>
        <w:sz w:val="22"/>
        <w:szCs w:val="22"/>
      </w:rPr>
      <w:t xml:space="preserve"> diversity</w:t>
    </w:r>
    <w:r w:rsidRPr="00575781">
      <w:rPr>
        <w:lang w:val="fr-FR"/>
      </w:rPr>
      <w:tab/>
    </w:r>
    <w:r w:rsidRPr="00F94DA4">
      <w:fldChar w:fldCharType="begin"/>
    </w:r>
    <w:r w:rsidRPr="00575781">
      <w:rPr>
        <w:lang w:val="fr-FR"/>
      </w:rPr>
      <w:instrText xml:space="preserve"> DOCPROPERTY "&lt;Extension&gt;" </w:instrText>
    </w:r>
    <w:r w:rsidRPr="00F94DA4">
      <w:fldChar w:fldCharType="separate"/>
    </w:r>
    <w:r>
      <w:rPr>
        <w:lang w:val="fr-FR"/>
      </w:rPr>
      <w:t>EN</w:t>
    </w:r>
    <w:r w:rsidRPr="00F94D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0C377" w14:textId="77777777" w:rsidR="005928C0" w:rsidRPr="00F94DA4" w:rsidRDefault="005928C0">
      <w:r w:rsidRPr="00F94DA4">
        <w:separator/>
      </w:r>
    </w:p>
  </w:footnote>
  <w:footnote w:type="continuationSeparator" w:id="0">
    <w:p w14:paraId="45CC05CC" w14:textId="77777777" w:rsidR="005928C0" w:rsidRPr="00F94DA4" w:rsidRDefault="005928C0">
      <w:r w:rsidRPr="00F94DA4">
        <w:continuationSeparator/>
      </w:r>
    </w:p>
  </w:footnote>
  <w:footnote w:id="1">
    <w:p w14:paraId="39DBBDF3" w14:textId="6CD36E4F" w:rsidR="00E26B2E" w:rsidRPr="008E0572" w:rsidRDefault="00E26B2E" w:rsidP="00330F6A">
      <w:pPr>
        <w:pStyle w:val="FootnoteText"/>
        <w:rPr>
          <w:b/>
          <w:lang w:val="pl-PL"/>
        </w:rPr>
      </w:pPr>
      <w:r w:rsidRPr="00330F6A">
        <w:rPr>
          <w:rStyle w:val="FootnoteReference"/>
        </w:rPr>
        <w:footnoteRef/>
      </w:r>
      <w:r w:rsidRPr="00330F6A">
        <w:rPr>
          <w:rStyle w:val="FootnoteReference"/>
        </w:rPr>
        <w:t xml:space="preserve"> </w:t>
      </w:r>
      <w:r w:rsidRPr="008E0572">
        <w:rPr>
          <w:lang w:val="pl-PL"/>
        </w:rPr>
        <w:t xml:space="preserve">OJ C 58, 15.2.2018, </w:t>
      </w:r>
      <w:proofErr w:type="gramStart"/>
      <w:r w:rsidRPr="008E0572">
        <w:rPr>
          <w:lang w:val="pl-PL"/>
        </w:rPr>
        <w:t>p</w:t>
      </w:r>
      <w:proofErr w:type="gramEnd"/>
      <w:r w:rsidRPr="008E0572">
        <w:rPr>
          <w:lang w:val="pl-PL"/>
        </w:rPr>
        <w:t>. 9.</w:t>
      </w:r>
    </w:p>
  </w:footnote>
  <w:footnote w:id="2">
    <w:p w14:paraId="3E12EBB1" w14:textId="77777777" w:rsidR="00E26B2E" w:rsidRPr="008E0572" w:rsidRDefault="00E26B2E" w:rsidP="00330F6A">
      <w:pPr>
        <w:pStyle w:val="FootnoteText"/>
        <w:rPr>
          <w:lang w:val="pl-PL"/>
        </w:rPr>
      </w:pPr>
      <w:r w:rsidRPr="00330F6A">
        <w:rPr>
          <w:rStyle w:val="FootnoteReference"/>
        </w:rPr>
        <w:footnoteRef/>
      </w:r>
      <w:r w:rsidRPr="00330F6A">
        <w:rPr>
          <w:rStyle w:val="FootnoteReference"/>
        </w:rPr>
        <w:t xml:space="preserve"> </w:t>
      </w:r>
      <w:r w:rsidRPr="008E0572">
        <w:rPr>
          <w:lang w:val="pl-PL"/>
        </w:rPr>
        <w:t>PE573.223</w:t>
      </w:r>
      <w:proofErr w:type="gramStart"/>
      <w:r w:rsidRPr="008E0572">
        <w:rPr>
          <w:lang w:val="pl-PL"/>
        </w:rPr>
        <w:t>v</w:t>
      </w:r>
      <w:proofErr w:type="gramEnd"/>
      <w:r w:rsidRPr="008E0572">
        <w:rPr>
          <w:lang w:val="pl-PL"/>
        </w:rPr>
        <w:t>01-00.</w:t>
      </w:r>
    </w:p>
  </w:footnote>
  <w:footnote w:id="3">
    <w:p w14:paraId="76E8CC06" w14:textId="77777777" w:rsidR="00E26B2E" w:rsidRPr="008E0572" w:rsidRDefault="00E26B2E" w:rsidP="00330F6A">
      <w:pPr>
        <w:pStyle w:val="FootnoteText"/>
        <w:rPr>
          <w:lang w:val="pl-PL"/>
        </w:rPr>
      </w:pPr>
      <w:r w:rsidRPr="00330F6A">
        <w:rPr>
          <w:rStyle w:val="FootnoteReference"/>
        </w:rPr>
        <w:footnoteRef/>
      </w:r>
      <w:r w:rsidRPr="00330F6A">
        <w:rPr>
          <w:rStyle w:val="FootnoteReference"/>
        </w:rPr>
        <w:t xml:space="preserve"> </w:t>
      </w:r>
      <w:r w:rsidRPr="008E0572">
        <w:rPr>
          <w:lang w:val="pl-PL"/>
        </w:rPr>
        <w:t xml:space="preserve">OJ L 155, 18.6.2009, </w:t>
      </w:r>
      <w:proofErr w:type="gramStart"/>
      <w:r w:rsidRPr="008E0572">
        <w:rPr>
          <w:lang w:val="pl-PL"/>
        </w:rPr>
        <w:t>p</w:t>
      </w:r>
      <w:proofErr w:type="gramEnd"/>
      <w:r w:rsidRPr="008E0572">
        <w:rPr>
          <w:lang w:val="pl-PL"/>
        </w:rPr>
        <w:t>. 17.</w:t>
      </w:r>
    </w:p>
  </w:footnote>
  <w:footnote w:id="4">
    <w:p w14:paraId="5BE80381" w14:textId="77777777" w:rsidR="00E26B2E" w:rsidRPr="008E0572" w:rsidRDefault="00E26B2E" w:rsidP="00330F6A">
      <w:pPr>
        <w:pStyle w:val="FootnoteText"/>
        <w:rPr>
          <w:lang w:val="pl-PL"/>
        </w:rPr>
      </w:pPr>
      <w:r w:rsidRPr="00330F6A">
        <w:rPr>
          <w:rStyle w:val="FootnoteReference"/>
        </w:rPr>
        <w:footnoteRef/>
      </w:r>
      <w:r w:rsidRPr="00330F6A">
        <w:rPr>
          <w:rStyle w:val="FootnoteReference"/>
        </w:rPr>
        <w:t xml:space="preserve"> </w:t>
      </w:r>
      <w:r w:rsidRPr="008E0572">
        <w:rPr>
          <w:lang w:val="pl-PL"/>
        </w:rPr>
        <w:t xml:space="preserve">OJ L 343, 23.12.2011, </w:t>
      </w:r>
      <w:proofErr w:type="gramStart"/>
      <w:r w:rsidRPr="008E0572">
        <w:rPr>
          <w:lang w:val="pl-PL"/>
        </w:rPr>
        <w:t>p</w:t>
      </w:r>
      <w:proofErr w:type="gramEnd"/>
      <w:r w:rsidRPr="008E0572">
        <w:rPr>
          <w:lang w:val="pl-PL"/>
        </w:rPr>
        <w:t>. 1.</w:t>
      </w:r>
    </w:p>
  </w:footnote>
  <w:footnote w:id="5">
    <w:p w14:paraId="6EDB597B" w14:textId="77777777" w:rsidR="00E26B2E" w:rsidRPr="008E0572" w:rsidRDefault="00E26B2E" w:rsidP="00330F6A">
      <w:pPr>
        <w:pStyle w:val="FootnoteText"/>
        <w:rPr>
          <w:lang w:val="pl-PL"/>
        </w:rPr>
      </w:pPr>
      <w:r w:rsidRPr="00330F6A">
        <w:rPr>
          <w:rStyle w:val="FootnoteReference"/>
        </w:rPr>
        <w:footnoteRef/>
      </w:r>
      <w:r w:rsidRPr="00330F6A">
        <w:rPr>
          <w:rStyle w:val="FootnoteReference"/>
        </w:rPr>
        <w:t xml:space="preserve"> </w:t>
      </w:r>
      <w:r w:rsidRPr="008E0572">
        <w:rPr>
          <w:lang w:val="pl-PL"/>
        </w:rPr>
        <w:t xml:space="preserve">OJ L 94, 28.3.2014, </w:t>
      </w:r>
      <w:proofErr w:type="gramStart"/>
      <w:r w:rsidRPr="008E0572">
        <w:rPr>
          <w:lang w:val="pl-PL"/>
        </w:rPr>
        <w:t>p</w:t>
      </w:r>
      <w:proofErr w:type="gramEnd"/>
      <w:r w:rsidRPr="008E0572">
        <w:rPr>
          <w:lang w:val="pl-PL"/>
        </w:rPr>
        <w:t>. 375.</w:t>
      </w:r>
    </w:p>
  </w:footnote>
  <w:footnote w:id="6">
    <w:p w14:paraId="7004B9EB" w14:textId="77777777" w:rsidR="00E26B2E" w:rsidRDefault="00E26B2E" w:rsidP="00330F6A">
      <w:pPr>
        <w:pStyle w:val="FootnoteText"/>
      </w:pPr>
      <w:r w:rsidRPr="00330F6A">
        <w:rPr>
          <w:rStyle w:val="FootnoteReference"/>
        </w:rPr>
        <w:footnoteRef/>
      </w:r>
      <w:r w:rsidRPr="00330F6A">
        <w:rPr>
          <w:rStyle w:val="FootnoteReference"/>
        </w:rPr>
        <w:t xml:space="preserve"> </w:t>
      </w:r>
      <w:r w:rsidRPr="008E0572">
        <w:rPr>
          <w:lang w:val="pl-PL"/>
        </w:rPr>
        <w:t xml:space="preserve">OJ L 157, 27.5.2014, </w:t>
      </w:r>
      <w:proofErr w:type="gramStart"/>
      <w:r w:rsidRPr="008E0572">
        <w:rPr>
          <w:lang w:val="pl-PL"/>
        </w:rPr>
        <w:t>p</w:t>
      </w:r>
      <w:proofErr w:type="gramEnd"/>
      <w:r w:rsidRPr="008E0572">
        <w:rPr>
          <w:lang w:val="pl-PL"/>
        </w:rPr>
        <w:t xml:space="preserve">. 1. </w:t>
      </w:r>
      <w:r w:rsidRPr="00F911BE">
        <w:t>Intra-corporate transferees (ICTs) are seconded from an undertaking established outside the EU to an entity belonging to the same group of undertakings established in the EU</w:t>
      </w:r>
      <w:r>
        <w:t>.</w:t>
      </w:r>
    </w:p>
  </w:footnote>
  <w:footnote w:id="7">
    <w:p w14:paraId="005D5E7E" w14:textId="77777777" w:rsidR="00E26B2E" w:rsidRDefault="00E26B2E" w:rsidP="00330F6A">
      <w:pPr>
        <w:pStyle w:val="FootnoteText"/>
      </w:pPr>
      <w:r w:rsidRPr="00330F6A">
        <w:rPr>
          <w:rStyle w:val="FootnoteReference"/>
        </w:rPr>
        <w:footnoteRef/>
      </w:r>
      <w:r w:rsidRPr="00330F6A">
        <w:rPr>
          <w:rStyle w:val="FootnoteReference"/>
        </w:rPr>
        <w:t xml:space="preserve"> </w:t>
      </w:r>
      <w:r w:rsidRPr="002945A0">
        <w:t>OJ L 132, 21.5.2016, p. 21</w:t>
      </w:r>
      <w:r>
        <w:t>.</w:t>
      </w:r>
    </w:p>
  </w:footnote>
  <w:footnote w:id="8">
    <w:p w14:paraId="18FEAD77" w14:textId="77777777" w:rsidR="00E26B2E" w:rsidRDefault="00E26B2E" w:rsidP="00330F6A">
      <w:pPr>
        <w:pStyle w:val="FootnoteText"/>
      </w:pPr>
      <w:r w:rsidRPr="00330F6A">
        <w:rPr>
          <w:rStyle w:val="FootnoteReference"/>
        </w:rPr>
        <w:footnoteRef/>
      </w:r>
      <w:r w:rsidRPr="00330F6A">
        <w:rPr>
          <w:rStyle w:val="FootnoteReference"/>
        </w:rPr>
        <w:t xml:space="preserve"> </w:t>
      </w:r>
      <w:r>
        <w:t>The Fitness Check identified the following main areas as having the most internal coherence issues: application procedures, admission and residence conditions (incl. grounds for rejection and withdrawal), equal treatment conditions, intra-EU mobility and family reunification.</w:t>
      </w:r>
    </w:p>
    <w:p w14:paraId="7D516FB7" w14:textId="77777777" w:rsidR="00E26B2E" w:rsidRDefault="00E26B2E" w:rsidP="006573BE">
      <w:pPr>
        <w:pStyle w:val="FootnoteText"/>
      </w:pPr>
    </w:p>
  </w:footnote>
  <w:footnote w:id="9">
    <w:p w14:paraId="3837C49C" w14:textId="063BAD6F" w:rsidR="00E26B2E" w:rsidRDefault="00E26B2E" w:rsidP="00330F6A">
      <w:pPr>
        <w:pStyle w:val="FootnoteText"/>
      </w:pPr>
      <w:r w:rsidRPr="00330F6A">
        <w:rPr>
          <w:rStyle w:val="FootnoteReference"/>
        </w:rPr>
        <w:footnoteRef/>
      </w:r>
      <w:r w:rsidRPr="00330F6A">
        <w:rPr>
          <w:rStyle w:val="FootnoteReference"/>
        </w:rPr>
        <w:t xml:space="preserve"> </w:t>
      </w:r>
      <w:proofErr w:type="gramStart"/>
      <w:r>
        <w:t>Council Recommendation of 20 December 2012 on the validation of non-formal and informal learning (</w:t>
      </w:r>
      <w:r w:rsidRPr="001F1FD7">
        <w:t>OJ C 398, 22.12.2012, p. 1</w:t>
      </w:r>
      <w:r>
        <w:t>).</w:t>
      </w:r>
      <w:proofErr w:type="gramEnd"/>
    </w:p>
  </w:footnote>
  <w:footnote w:id="10">
    <w:p w14:paraId="4E7E6DC3" w14:textId="380F5D86" w:rsidR="00E26B2E" w:rsidRDefault="00E26B2E" w:rsidP="00330F6A">
      <w:pPr>
        <w:pStyle w:val="FootnoteText"/>
      </w:pPr>
      <w:r w:rsidRPr="00330F6A">
        <w:rPr>
          <w:rStyle w:val="FootnoteReference"/>
        </w:rPr>
        <w:footnoteRef/>
      </w:r>
      <w:r w:rsidRPr="00330F6A">
        <w:rPr>
          <w:rStyle w:val="FootnoteReference"/>
        </w:rPr>
        <w:t xml:space="preserve"> </w:t>
      </w:r>
      <w:r>
        <w:t xml:space="preserve">See e.g. European Migration Network, </w:t>
      </w:r>
      <w:r w:rsidRPr="008E0572">
        <w:t>Determining labour shortages and the need for labour migration from third countries in the EU</w:t>
      </w:r>
      <w:r>
        <w:t>, European Commission, Brussels, 2015.</w:t>
      </w:r>
    </w:p>
  </w:footnote>
  <w:footnote w:id="11">
    <w:p w14:paraId="6345AA8E" w14:textId="1F4A792C" w:rsidR="00E26B2E" w:rsidRDefault="00E26B2E" w:rsidP="00330F6A">
      <w:pPr>
        <w:pStyle w:val="FootnoteText"/>
      </w:pPr>
      <w:r w:rsidRPr="00330F6A">
        <w:rPr>
          <w:rStyle w:val="FootnoteReference"/>
        </w:rPr>
        <w:footnoteRef/>
      </w:r>
      <w:r w:rsidRPr="00330F6A">
        <w:rPr>
          <w:rStyle w:val="FootnoteReference"/>
        </w:rPr>
        <w:t xml:space="preserve"> </w:t>
      </w:r>
      <w:r w:rsidR="00700B03">
        <w:t xml:space="preserve">See also: </w:t>
      </w:r>
      <w:r w:rsidR="00700B03" w:rsidRPr="00700B03">
        <w:t>EPRS</w:t>
      </w:r>
      <w:r w:rsidR="00700B03">
        <w:t xml:space="preserve">, </w:t>
      </w:r>
      <w:r w:rsidR="00700B03" w:rsidRPr="008E0572">
        <w:rPr>
          <w:i/>
        </w:rPr>
        <w:t>The cost of non-Europe in the area of legal migration</w:t>
      </w:r>
      <w:r w:rsidR="00700B03">
        <w:t xml:space="preserve">, European Parliament, Brussels, </w:t>
      </w:r>
      <w:r>
        <w:t>2019</w:t>
      </w:r>
      <w:r w:rsidR="00700B03">
        <w:t>,</w:t>
      </w:r>
      <w:r>
        <w:t xml:space="preserve"> pp</w:t>
      </w:r>
      <w:r w:rsidR="00700B03">
        <w:t>.</w:t>
      </w:r>
      <w:r>
        <w:t xml:space="preserve"> 21-22</w:t>
      </w:r>
      <w:r w:rsidR="00330F6A">
        <w:t>.</w:t>
      </w:r>
    </w:p>
  </w:footnote>
  <w:footnote w:id="12">
    <w:p w14:paraId="02ACE5D4" w14:textId="77777777" w:rsidR="00E26B2E" w:rsidRDefault="00E26B2E" w:rsidP="00330F6A">
      <w:pPr>
        <w:pStyle w:val="FootnoteText"/>
      </w:pPr>
      <w:r w:rsidRPr="00330F6A">
        <w:rPr>
          <w:rStyle w:val="FootnoteReference"/>
        </w:rPr>
        <w:footnoteRef/>
      </w:r>
      <w:r w:rsidRPr="00330F6A">
        <w:rPr>
          <w:rStyle w:val="FootnoteReference"/>
        </w:rPr>
        <w:t xml:space="preserve"> </w:t>
      </w:r>
      <w:hyperlink r:id="rId1" w:history="1">
        <w:r>
          <w:rPr>
            <w:rStyle w:val="Hyperlink"/>
          </w:rPr>
          <w:t>https://ec.europa.eu/info/sites/info/files/soteu_2020_en.pdf</w:t>
        </w:r>
      </w:hyperlink>
    </w:p>
  </w:footnote>
  <w:footnote w:id="13">
    <w:p w14:paraId="3DF99A22" w14:textId="77777777" w:rsidR="00E26B2E" w:rsidRDefault="00E26B2E" w:rsidP="00330F6A">
      <w:pPr>
        <w:pStyle w:val="FootnoteText"/>
      </w:pPr>
      <w:r w:rsidRPr="00330F6A">
        <w:rPr>
          <w:rStyle w:val="FootnoteReference"/>
        </w:rPr>
        <w:footnoteRef/>
      </w:r>
      <w:r w:rsidRPr="00330F6A">
        <w:rPr>
          <w:rStyle w:val="FootnoteReference"/>
        </w:rPr>
        <w:t xml:space="preserve"> </w:t>
      </w:r>
      <w:hyperlink r:id="rId2" w:history="1">
        <w:r>
          <w:rPr>
            <w:rStyle w:val="Hyperlink"/>
          </w:rPr>
          <w:t>https://ec.europa.eu/eurostat/documents/3217494/10166544/KS-02-19%E2%80%91681-EN-N.pdf/c701972f-6b4e-b432-57d2-91898ca94893</w:t>
        </w:r>
      </w:hyperlink>
    </w:p>
  </w:footnote>
  <w:footnote w:id="14">
    <w:p w14:paraId="2B9AD2F6" w14:textId="77777777" w:rsidR="00E26B2E" w:rsidRDefault="00E26B2E" w:rsidP="00330F6A">
      <w:pPr>
        <w:pStyle w:val="FootnoteText"/>
        <w:rPr>
          <w:rFonts w:eastAsia="Arial Unicode MS" w:cs="Arial Unicode MS"/>
        </w:rPr>
      </w:pPr>
      <w:r w:rsidRPr="00330F6A">
        <w:rPr>
          <w:rStyle w:val="FootnoteReference"/>
        </w:rPr>
        <w:footnoteRef/>
      </w:r>
      <w:r w:rsidRPr="00330F6A">
        <w:rPr>
          <w:rStyle w:val="FootnoteReference"/>
        </w:rPr>
        <w:t xml:space="preserve"> </w:t>
      </w:r>
      <w:hyperlink r:id="rId3" w:history="1">
        <w:r>
          <w:rPr>
            <w:rStyle w:val="Hyperlink"/>
            <w:rFonts w:eastAsia="Arial Unicode MS" w:cs="Arial Unicode MS"/>
          </w:rPr>
          <w:t>https://fra.europa.eu/en/news/2019/severe-labour-exploitation-migrant-workers-fra-report-calls-zero-tolerance-severe-labour</w:t>
        </w:r>
      </w:hyperlink>
    </w:p>
    <w:p w14:paraId="6D9BF238" w14:textId="77777777" w:rsidR="00E26B2E" w:rsidRDefault="00E26B2E" w:rsidP="00575781">
      <w:pPr>
        <w:pStyle w:val="FootnoteText"/>
        <w:rPr>
          <w:rFonts w:eastAsia="Arial Unicode MS" w:cs="Arial Unicode MS"/>
        </w:rPr>
      </w:pPr>
    </w:p>
  </w:footnote>
  <w:footnote w:id="15">
    <w:p w14:paraId="12A839CB" w14:textId="77777777" w:rsidR="00E26B2E" w:rsidRDefault="00E26B2E" w:rsidP="00330F6A">
      <w:pPr>
        <w:pStyle w:val="FootnoteText"/>
      </w:pPr>
      <w:r w:rsidRPr="00330F6A">
        <w:rPr>
          <w:rStyle w:val="FootnoteReference"/>
        </w:rPr>
        <w:footnoteRef/>
      </w:r>
      <w:r w:rsidRPr="00330F6A">
        <w:rPr>
          <w:rStyle w:val="FootnoteReference"/>
        </w:rPr>
        <w:t xml:space="preserve"> </w:t>
      </w:r>
      <w:hyperlink r:id="rId4" w:history="1">
        <w:r>
          <w:rPr>
            <w:rStyle w:val="Hyperlink"/>
          </w:rPr>
          <w:t>https://ec.europa.eu/commission/presscorner/detail/en/ip_20_1196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1BE2" w14:textId="77777777" w:rsidR="008E0572" w:rsidRDefault="008E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FA73" w14:textId="77777777" w:rsidR="008E0572" w:rsidRDefault="008E0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588F" w14:textId="77777777" w:rsidR="008E0572" w:rsidRDefault="008E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D26AD"/>
    <w:multiLevelType w:val="hybridMultilevel"/>
    <w:tmpl w:val="7AFA3CEA"/>
    <w:lvl w:ilvl="0" w:tplc="7FBA6238">
      <w:start w:val="2"/>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73562A"/>
    <w:multiLevelType w:val="hybridMultilevel"/>
    <w:tmpl w:val="D54C3AFC"/>
    <w:lvl w:ilvl="0" w:tplc="AE8A6E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81943"/>
    <w:multiLevelType w:val="hybridMultilevel"/>
    <w:tmpl w:val="AAE469B8"/>
    <w:lvl w:ilvl="0" w:tplc="3BA48C30">
      <w:numFmt w:val="bullet"/>
      <w:lvlText w:val="-"/>
      <w:lvlJc w:val="left"/>
      <w:pPr>
        <w:ind w:left="78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DC6DC8"/>
    <w:multiLevelType w:val="hybridMultilevel"/>
    <w:tmpl w:val="A6DA8396"/>
    <w:lvl w:ilvl="0" w:tplc="AAF29B18">
      <w:start w:val="1"/>
      <w:numFmt w:val="decimal"/>
      <w:lvlText w:val="%1."/>
      <w:lvlJc w:val="left"/>
      <w:pPr>
        <w:ind w:left="1140" w:hanging="360"/>
      </w:pPr>
      <w:rPr>
        <w:rFonts w:hint="default"/>
        <w:b w:val="0"/>
        <w:strike w:val="0"/>
      </w:rPr>
    </w:lvl>
    <w:lvl w:ilvl="1" w:tplc="08090019">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495035A9"/>
    <w:multiLevelType w:val="hybridMultilevel"/>
    <w:tmpl w:val="9E86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90BA5"/>
    <w:multiLevelType w:val="hybridMultilevel"/>
    <w:tmpl w:val="A23EBFC4"/>
    <w:lvl w:ilvl="0" w:tplc="3BA48C30">
      <w:numFmt w:val="bullet"/>
      <w:lvlText w:val="-"/>
      <w:lvlJc w:val="left"/>
      <w:pPr>
        <w:ind w:left="780" w:hanging="360"/>
      </w:pPr>
      <w:rPr>
        <w:rFonts w:ascii="Times New Roman" w:eastAsia="Times New Roma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5FC00A2F"/>
    <w:multiLevelType w:val="hybridMultilevel"/>
    <w:tmpl w:val="365E1036"/>
    <w:lvl w:ilvl="0" w:tplc="D5F2646E">
      <w:start w:val="2"/>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AC0099"/>
    <w:multiLevelType w:val="hybridMultilevel"/>
    <w:tmpl w:val="1F30EC70"/>
    <w:lvl w:ilvl="0" w:tplc="C4F0BD9E">
      <w:start w:val="1"/>
      <w:numFmt w:val="decimal"/>
      <w:lvlText w:val="%1."/>
      <w:lvlJc w:val="left"/>
      <w:pPr>
        <w:ind w:left="192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0"/>
  </w:num>
  <w:num w:numId="43">
    <w:abstractNumId w:val="16"/>
  </w:num>
  <w:num w:numId="44">
    <w:abstractNumId w:val="12"/>
  </w:num>
  <w:num w:numId="45">
    <w:abstractNumId w:val="13"/>
  </w:num>
  <w:num w:numId="46">
    <w:abstractNumId w:val="11"/>
  </w:num>
  <w:num w:numId="47">
    <w:abstractNumId w:val="10"/>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CopyToNetwork" w:val="-1"/>
    <w:docVar w:name="LastEditedSection" w:val=" 1"/>
    <w:docVar w:name="MOTIONMNU" w:val=" 1"/>
    <w:docVar w:name="RULEMNU" w:val=" 1"/>
    <w:docVar w:name="strDocTypeID" w:val="PR_INI"/>
    <w:docVar w:name="strSubDir" w:val="1212"/>
    <w:docVar w:name="TXTLANGUE" w:val="EN"/>
    <w:docVar w:name="TXTLANGUEMIN" w:val="en"/>
    <w:docVar w:name="TXTNRINI" w:val="2020/2010"/>
    <w:docVar w:name="TXTNRPE" w:val="657.255"/>
    <w:docVar w:name="TXTPEorAP" w:val="PE"/>
    <w:docVar w:name="TXTROUTE" w:val="PR\1212618EN.docx"/>
    <w:docVar w:name="TXTTITLE" w:val="New Avenues for Legal Labour Migration"/>
    <w:docVar w:name="TXTVERSION" w:val="01-00"/>
  </w:docVars>
  <w:rsids>
    <w:rsidRoot w:val="00F94DA4"/>
    <w:rsid w:val="000175FD"/>
    <w:rsid w:val="00040EAC"/>
    <w:rsid w:val="0007541B"/>
    <w:rsid w:val="00082B37"/>
    <w:rsid w:val="000D2631"/>
    <w:rsid w:val="00100069"/>
    <w:rsid w:val="001046B1"/>
    <w:rsid w:val="00105C44"/>
    <w:rsid w:val="00130FF2"/>
    <w:rsid w:val="00192876"/>
    <w:rsid w:val="00193142"/>
    <w:rsid w:val="001B207D"/>
    <w:rsid w:val="001F1FD7"/>
    <w:rsid w:val="001F51E2"/>
    <w:rsid w:val="00212878"/>
    <w:rsid w:val="0023245A"/>
    <w:rsid w:val="002544DF"/>
    <w:rsid w:val="0029422E"/>
    <w:rsid w:val="002945A0"/>
    <w:rsid w:val="002C1EA5"/>
    <w:rsid w:val="002D545F"/>
    <w:rsid w:val="0031114D"/>
    <w:rsid w:val="00330F6A"/>
    <w:rsid w:val="00335F69"/>
    <w:rsid w:val="0035155C"/>
    <w:rsid w:val="00395A66"/>
    <w:rsid w:val="003C383A"/>
    <w:rsid w:val="003E6413"/>
    <w:rsid w:val="004016B4"/>
    <w:rsid w:val="004200B3"/>
    <w:rsid w:val="00432B50"/>
    <w:rsid w:val="00436F90"/>
    <w:rsid w:val="00455003"/>
    <w:rsid w:val="00466A1A"/>
    <w:rsid w:val="004A1225"/>
    <w:rsid w:val="00531F4C"/>
    <w:rsid w:val="00543F58"/>
    <w:rsid w:val="0054436E"/>
    <w:rsid w:val="00575781"/>
    <w:rsid w:val="00584A07"/>
    <w:rsid w:val="005928C0"/>
    <w:rsid w:val="006272CD"/>
    <w:rsid w:val="006573BE"/>
    <w:rsid w:val="00666B77"/>
    <w:rsid w:val="00677306"/>
    <w:rsid w:val="006C68EE"/>
    <w:rsid w:val="006F61A9"/>
    <w:rsid w:val="00700B03"/>
    <w:rsid w:val="00705D44"/>
    <w:rsid w:val="00726C82"/>
    <w:rsid w:val="00791CE4"/>
    <w:rsid w:val="007963C6"/>
    <w:rsid w:val="007A17A9"/>
    <w:rsid w:val="007D5217"/>
    <w:rsid w:val="008335A4"/>
    <w:rsid w:val="00873495"/>
    <w:rsid w:val="00881B48"/>
    <w:rsid w:val="00890F5C"/>
    <w:rsid w:val="008A10C4"/>
    <w:rsid w:val="008B1717"/>
    <w:rsid w:val="008C2B6A"/>
    <w:rsid w:val="008C4C65"/>
    <w:rsid w:val="008E0572"/>
    <w:rsid w:val="0090583E"/>
    <w:rsid w:val="00932EDB"/>
    <w:rsid w:val="00934128"/>
    <w:rsid w:val="0095536F"/>
    <w:rsid w:val="00956282"/>
    <w:rsid w:val="00996AC6"/>
    <w:rsid w:val="009B200B"/>
    <w:rsid w:val="009E4ABB"/>
    <w:rsid w:val="00A62346"/>
    <w:rsid w:val="00A90B0A"/>
    <w:rsid w:val="00AB62CA"/>
    <w:rsid w:val="00AF310F"/>
    <w:rsid w:val="00B17532"/>
    <w:rsid w:val="00BA2A57"/>
    <w:rsid w:val="00BA5076"/>
    <w:rsid w:val="00BB70F1"/>
    <w:rsid w:val="00BC720A"/>
    <w:rsid w:val="00BC7C60"/>
    <w:rsid w:val="00C00074"/>
    <w:rsid w:val="00C71AEC"/>
    <w:rsid w:val="00C93A60"/>
    <w:rsid w:val="00CD3E8A"/>
    <w:rsid w:val="00CF7FB5"/>
    <w:rsid w:val="00D10C07"/>
    <w:rsid w:val="00D1477D"/>
    <w:rsid w:val="00D26193"/>
    <w:rsid w:val="00D31D25"/>
    <w:rsid w:val="00D32F20"/>
    <w:rsid w:val="00D47BB0"/>
    <w:rsid w:val="00D93479"/>
    <w:rsid w:val="00DB4680"/>
    <w:rsid w:val="00DD7B9D"/>
    <w:rsid w:val="00E02DD1"/>
    <w:rsid w:val="00E155CA"/>
    <w:rsid w:val="00E26B2E"/>
    <w:rsid w:val="00E3537C"/>
    <w:rsid w:val="00E61690"/>
    <w:rsid w:val="00EC413B"/>
    <w:rsid w:val="00ED080C"/>
    <w:rsid w:val="00F076A5"/>
    <w:rsid w:val="00F3651F"/>
    <w:rsid w:val="00F51EC2"/>
    <w:rsid w:val="00F714A9"/>
    <w:rsid w:val="00F74B28"/>
    <w:rsid w:val="00F911BE"/>
    <w:rsid w:val="00F94DA4"/>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22FF3"/>
  <w15:chartTrackingRefBased/>
  <w15:docId w15:val="{182475E6-2060-4DCC-A239-5CD5303E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NormalWeb">
    <w:name w:val="Normal (Web)"/>
    <w:basedOn w:val="Normal"/>
    <w:uiPriority w:val="99"/>
    <w:unhideWhenUsed/>
    <w:rsid w:val="003C383A"/>
    <w:pPr>
      <w:widowControl/>
      <w:spacing w:before="100" w:beforeAutospacing="1" w:after="100" w:afterAutospacing="1"/>
    </w:pPr>
    <w:rPr>
      <w:szCs w:val="24"/>
    </w:rPr>
  </w:style>
  <w:style w:type="paragraph" w:styleId="FootnoteText">
    <w:name w:val="footnote text"/>
    <w:basedOn w:val="Normal"/>
    <w:link w:val="FootnoteTextChar"/>
    <w:unhideWhenUsed/>
    <w:rsid w:val="003C383A"/>
    <w:pPr>
      <w:widowControl/>
      <w:jc w:val="both"/>
    </w:pPr>
    <w:rPr>
      <w:rFonts w:eastAsiaTheme="minorHAnsi"/>
      <w:sz w:val="20"/>
      <w:lang w:eastAsia="en-US"/>
    </w:rPr>
  </w:style>
  <w:style w:type="character" w:customStyle="1" w:styleId="FootnoteTextChar">
    <w:name w:val="Footnote Text Char"/>
    <w:basedOn w:val="DefaultParagraphFont"/>
    <w:link w:val="FootnoteText"/>
    <w:rsid w:val="003C383A"/>
    <w:rPr>
      <w:rFonts w:eastAsiaTheme="minorHAnsi"/>
      <w:lang w:eastAsia="en-US"/>
    </w:rPr>
  </w:style>
  <w:style w:type="paragraph" w:customStyle="1" w:styleId="Body">
    <w:name w:val="Body"/>
    <w:rsid w:val="003C383A"/>
    <w:rPr>
      <w:rFonts w:ascii="Calibri" w:eastAsia="Arial Unicode MS" w:hAnsi="Calibri" w:cs="Arial Unicode MS"/>
      <w:color w:val="000000"/>
      <w:sz w:val="24"/>
      <w:szCs w:val="24"/>
      <w:u w:color="000000"/>
      <w:lang w:val="en-US"/>
      <w14:textOutline w14:w="0" w14:cap="flat" w14:cmpd="sng" w14:algn="ctr">
        <w14:noFill/>
        <w14:prstDash w14:val="solid"/>
        <w14:bevel/>
      </w14:textOutline>
    </w:rPr>
  </w:style>
  <w:style w:type="paragraph" w:customStyle="1" w:styleId="Normal12Hanging">
    <w:name w:val="Normal12Hanging"/>
    <w:basedOn w:val="Normal"/>
    <w:uiPriority w:val="99"/>
    <w:rsid w:val="003C383A"/>
    <w:pPr>
      <w:spacing w:after="240"/>
      <w:ind w:left="567" w:hanging="567"/>
    </w:pPr>
  </w:style>
  <w:style w:type="character" w:styleId="FootnoteReference">
    <w:name w:val="footnote reference"/>
    <w:basedOn w:val="DefaultParagraphFont"/>
    <w:uiPriority w:val="99"/>
    <w:unhideWhenUsed/>
    <w:rsid w:val="003C383A"/>
    <w:rPr>
      <w:vertAlign w:val="superscript"/>
    </w:rPr>
  </w:style>
  <w:style w:type="character" w:styleId="Hyperlink">
    <w:name w:val="Hyperlink"/>
    <w:basedOn w:val="DefaultParagraphFont"/>
    <w:uiPriority w:val="99"/>
    <w:unhideWhenUsed/>
    <w:rsid w:val="003C383A"/>
    <w:rPr>
      <w:color w:val="0000FF"/>
      <w:u w:val="single"/>
    </w:rPr>
  </w:style>
  <w:style w:type="paragraph" w:styleId="ListParagraph">
    <w:name w:val="List Paragraph"/>
    <w:basedOn w:val="Normal"/>
    <w:uiPriority w:val="34"/>
    <w:qFormat/>
    <w:rsid w:val="003C383A"/>
    <w:pPr>
      <w:widowControl/>
      <w:ind w:left="720"/>
      <w:contextualSpacing/>
      <w:jc w:val="both"/>
    </w:pPr>
    <w:rPr>
      <w:rFonts w:eastAsiaTheme="minorHAnsi"/>
      <w:szCs w:val="24"/>
      <w:lang w:eastAsia="en-US"/>
    </w:rPr>
  </w:style>
  <w:style w:type="character" w:styleId="CommentReference">
    <w:name w:val="annotation reference"/>
    <w:basedOn w:val="DefaultParagraphFont"/>
    <w:rsid w:val="00A62346"/>
    <w:rPr>
      <w:sz w:val="16"/>
      <w:szCs w:val="16"/>
    </w:rPr>
  </w:style>
  <w:style w:type="paragraph" w:styleId="CommentText">
    <w:name w:val="annotation text"/>
    <w:basedOn w:val="Normal"/>
    <w:link w:val="CommentTextChar"/>
    <w:rsid w:val="00A62346"/>
    <w:rPr>
      <w:sz w:val="20"/>
    </w:rPr>
  </w:style>
  <w:style w:type="character" w:customStyle="1" w:styleId="CommentTextChar">
    <w:name w:val="Comment Text Char"/>
    <w:basedOn w:val="DefaultParagraphFont"/>
    <w:link w:val="CommentText"/>
    <w:rsid w:val="00A62346"/>
  </w:style>
  <w:style w:type="paragraph" w:styleId="CommentSubject">
    <w:name w:val="annotation subject"/>
    <w:basedOn w:val="CommentText"/>
    <w:next w:val="CommentText"/>
    <w:link w:val="CommentSubjectChar"/>
    <w:semiHidden/>
    <w:unhideWhenUsed/>
    <w:rsid w:val="00A62346"/>
    <w:rPr>
      <w:b/>
      <w:bCs/>
    </w:rPr>
  </w:style>
  <w:style w:type="character" w:customStyle="1" w:styleId="CommentSubjectChar">
    <w:name w:val="Comment Subject Char"/>
    <w:basedOn w:val="CommentTextChar"/>
    <w:link w:val="CommentSubject"/>
    <w:semiHidden/>
    <w:rsid w:val="00A62346"/>
    <w:rPr>
      <w:b/>
      <w:bCs/>
    </w:rPr>
  </w:style>
  <w:style w:type="paragraph" w:styleId="BalloonText">
    <w:name w:val="Balloon Text"/>
    <w:basedOn w:val="Normal"/>
    <w:link w:val="BalloonTextChar"/>
    <w:semiHidden/>
    <w:unhideWhenUsed/>
    <w:rsid w:val="00A62346"/>
    <w:rPr>
      <w:rFonts w:ascii="Segoe UI" w:hAnsi="Segoe UI" w:cs="Segoe UI"/>
      <w:sz w:val="18"/>
      <w:szCs w:val="18"/>
    </w:rPr>
  </w:style>
  <w:style w:type="character" w:customStyle="1" w:styleId="BalloonTextChar">
    <w:name w:val="Balloon Text Char"/>
    <w:basedOn w:val="DefaultParagraphFont"/>
    <w:link w:val="BalloonText"/>
    <w:semiHidden/>
    <w:rsid w:val="00A62346"/>
    <w:rPr>
      <w:rFonts w:ascii="Segoe UI" w:hAnsi="Segoe UI" w:cs="Segoe UI"/>
      <w:sz w:val="18"/>
      <w:szCs w:val="18"/>
    </w:rPr>
  </w:style>
  <w:style w:type="paragraph" w:styleId="Footer">
    <w:name w:val="footer"/>
    <w:basedOn w:val="Normal"/>
    <w:link w:val="FooterChar"/>
    <w:semiHidden/>
    <w:rsid w:val="00575781"/>
    <w:pPr>
      <w:tabs>
        <w:tab w:val="center" w:pos="4513"/>
        <w:tab w:val="right" w:pos="9026"/>
      </w:tabs>
    </w:pPr>
  </w:style>
  <w:style w:type="character" w:customStyle="1" w:styleId="FooterChar">
    <w:name w:val="Footer Char"/>
    <w:basedOn w:val="DefaultParagraphFont"/>
    <w:link w:val="Footer"/>
    <w:semiHidden/>
    <w:rsid w:val="00575781"/>
    <w:rPr>
      <w:sz w:val="24"/>
    </w:rPr>
  </w:style>
  <w:style w:type="paragraph" w:styleId="Revision">
    <w:name w:val="Revision"/>
    <w:hidden/>
    <w:uiPriority w:val="99"/>
    <w:semiHidden/>
    <w:rsid w:val="00EC413B"/>
    <w:rPr>
      <w:sz w:val="24"/>
    </w:rPr>
  </w:style>
  <w:style w:type="paragraph" w:customStyle="1" w:styleId="PELeft">
    <w:name w:val="PELeft"/>
    <w:basedOn w:val="Normal"/>
    <w:rsid w:val="00F74B28"/>
    <w:pPr>
      <w:spacing w:before="40" w:after="40"/>
    </w:pPr>
    <w:rPr>
      <w:rFonts w:ascii="Arial" w:hAnsi="Arial" w:cs="Arial"/>
      <w:snapToGrid w:val="0"/>
      <w:sz w:val="22"/>
      <w:szCs w:val="22"/>
    </w:rPr>
  </w:style>
  <w:style w:type="character" w:styleId="FollowedHyperlink">
    <w:name w:val="FollowedHyperlink"/>
    <w:basedOn w:val="DefaultParagraphFont"/>
    <w:rsid w:val="00436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5930">
      <w:bodyDiv w:val="1"/>
      <w:marLeft w:val="0"/>
      <w:marRight w:val="0"/>
      <w:marTop w:val="0"/>
      <w:marBottom w:val="0"/>
      <w:divBdr>
        <w:top w:val="none" w:sz="0" w:space="0" w:color="auto"/>
        <w:left w:val="none" w:sz="0" w:space="0" w:color="auto"/>
        <w:bottom w:val="none" w:sz="0" w:space="0" w:color="auto"/>
        <w:right w:val="none" w:sz="0" w:space="0" w:color="auto"/>
      </w:divBdr>
    </w:div>
    <w:div w:id="499464163">
      <w:bodyDiv w:val="1"/>
      <w:marLeft w:val="0"/>
      <w:marRight w:val="0"/>
      <w:marTop w:val="0"/>
      <w:marBottom w:val="0"/>
      <w:divBdr>
        <w:top w:val="none" w:sz="0" w:space="0" w:color="auto"/>
        <w:left w:val="none" w:sz="0" w:space="0" w:color="auto"/>
        <w:bottom w:val="none" w:sz="0" w:space="0" w:color="auto"/>
        <w:right w:val="none" w:sz="0" w:space="0" w:color="auto"/>
      </w:divBdr>
    </w:div>
    <w:div w:id="715741854">
      <w:bodyDiv w:val="1"/>
      <w:marLeft w:val="0"/>
      <w:marRight w:val="0"/>
      <w:marTop w:val="0"/>
      <w:marBottom w:val="0"/>
      <w:divBdr>
        <w:top w:val="none" w:sz="0" w:space="0" w:color="auto"/>
        <w:left w:val="none" w:sz="0" w:space="0" w:color="auto"/>
        <w:bottom w:val="none" w:sz="0" w:space="0" w:color="auto"/>
        <w:right w:val="none" w:sz="0" w:space="0" w:color="auto"/>
      </w:divBdr>
    </w:div>
    <w:div w:id="1146318325">
      <w:bodyDiv w:val="1"/>
      <w:marLeft w:val="0"/>
      <w:marRight w:val="0"/>
      <w:marTop w:val="0"/>
      <w:marBottom w:val="0"/>
      <w:divBdr>
        <w:top w:val="none" w:sz="0" w:space="0" w:color="auto"/>
        <w:left w:val="none" w:sz="0" w:space="0" w:color="auto"/>
        <w:bottom w:val="none" w:sz="0" w:space="0" w:color="auto"/>
        <w:right w:val="none" w:sz="0" w:space="0" w:color="auto"/>
      </w:divBdr>
    </w:div>
    <w:div w:id="19103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fra.europa.eu/en/news/2019/severe-labour-exploitation-migrant-workers-fra-report-calls-zero-tolerance-severe-labour" TargetMode="External"/><Relationship Id="rId2" Type="http://schemas.openxmlformats.org/officeDocument/2006/relationships/hyperlink" Target="https://ec.europa.eu/eurostat/documents/3217494/10166544/KS-02-19%E2%80%91681-EN-N.pdf/c701972f-6b4e-b432-57d2-91898ca94893" TargetMode="External"/><Relationship Id="rId1" Type="http://schemas.openxmlformats.org/officeDocument/2006/relationships/hyperlink" Target="https://ec.europa.eu/info/sites/info/files/soteu_2020_en.pdf" TargetMode="External"/><Relationship Id="rId4" Type="http://schemas.openxmlformats.org/officeDocument/2006/relationships/hyperlink" Target="https://ec.europa.eu/commission/presscorner/detail/en/ip_20_11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ss\AppData\Local\Temp\PR_IN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8F2D-A515-4626-9E1F-B924DA12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PR_INI.dotx</Template>
  <TotalTime>1</TotalTime>
  <Pages>10</Pages>
  <Words>3168</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KISS Angelika</dc:creator>
  <cp:keywords/>
  <dc:description/>
  <cp:lastModifiedBy>KINGETT Elizabeth Jane</cp:lastModifiedBy>
  <cp:revision>2</cp:revision>
  <cp:lastPrinted>2004-12-08T15:27:00Z</cp:lastPrinted>
  <dcterms:created xsi:type="dcterms:W3CDTF">2020-10-14T17:05:00Z</dcterms:created>
  <dcterms:modified xsi:type="dcterms:W3CDTF">2020-10-14T17:05:00Z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1212618</vt:lpwstr>
  </property>
  <property fmtid="{D5CDD505-2E9C-101B-9397-08002B2CF9AE}" pid="6" name="&lt;Type&gt;">
    <vt:lpwstr>PR</vt:lpwstr>
  </property>
  <property fmtid="{D5CDD505-2E9C-101B-9397-08002B2CF9AE}" pid="7" name="&lt;ModelCod&gt;">
    <vt:lpwstr>\\eiciBRUpr1\pdocep$\DocEP\DOCS\General\PR\PR_NonLeg\INI\PR_INI.dotx(17/04/2020 19:28:08)</vt:lpwstr>
  </property>
  <property fmtid="{D5CDD505-2E9C-101B-9397-08002B2CF9AE}" pid="8" name="&lt;ModelTra&gt;">
    <vt:lpwstr>\\eiciBRUpr1\pdocep$\DocEP\TRANSFIL\EN\PR_INI.EN(11/10/2019 10:37:27)</vt:lpwstr>
  </property>
  <property fmtid="{D5CDD505-2E9C-101B-9397-08002B2CF9AE}" pid="9" name="&lt;Model&gt;">
    <vt:lpwstr>PR_INI</vt:lpwstr>
  </property>
  <property fmtid="{D5CDD505-2E9C-101B-9397-08002B2CF9AE}" pid="10" name="FooterPath">
    <vt:lpwstr>PR\1212618EN.docx</vt:lpwstr>
  </property>
  <property fmtid="{D5CDD505-2E9C-101B-9397-08002B2CF9AE}" pid="11" name="PE number">
    <vt:lpwstr>657.255</vt:lpwstr>
  </property>
  <property fmtid="{D5CDD505-2E9C-101B-9397-08002B2CF9AE}" pid="12" name="SendToEpades">
    <vt:lpwstr>OK - 2020/10/09 16:13</vt:lpwstr>
  </property>
</Properties>
</file>