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D37737" w:rsidRDefault="00D37737" w:rsidP="00D37737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D37737">
        <w:rPr>
          <w:b/>
          <w:noProof/>
        </w:rPr>
        <w:t>Question for oral answer O-000086/2016</w:t>
      </w:r>
    </w:p>
    <w:p w:rsidR="00D37737" w:rsidRPr="00D37737" w:rsidRDefault="00D37737" w:rsidP="00D37737">
      <w:pPr>
        <w:tabs>
          <w:tab w:val="left" w:pos="1134"/>
        </w:tabs>
        <w:rPr>
          <w:b/>
          <w:noProof/>
        </w:rPr>
      </w:pPr>
      <w:r w:rsidRPr="00D37737">
        <w:rPr>
          <w:b/>
          <w:noProof/>
        </w:rPr>
        <w:t>to the Commission</w:t>
      </w:r>
    </w:p>
    <w:p w:rsidR="00D37737" w:rsidRPr="00D37737" w:rsidRDefault="00D37737" w:rsidP="00D37737">
      <w:pPr>
        <w:tabs>
          <w:tab w:val="left" w:pos="1134"/>
        </w:tabs>
        <w:rPr>
          <w:noProof/>
        </w:rPr>
      </w:pPr>
      <w:r w:rsidRPr="00D37737">
        <w:rPr>
          <w:noProof/>
        </w:rPr>
        <w:t>Rule 128</w:t>
      </w:r>
    </w:p>
    <w:p w:rsidR="00D37737" w:rsidRPr="00D37737" w:rsidRDefault="00D37737" w:rsidP="00D37737">
      <w:pPr>
        <w:tabs>
          <w:tab w:val="left" w:pos="1134"/>
        </w:tabs>
        <w:rPr>
          <w:b/>
          <w:noProof/>
        </w:rPr>
      </w:pPr>
      <w:r w:rsidRPr="00D37737">
        <w:rPr>
          <w:b/>
          <w:noProof/>
        </w:rPr>
        <w:t>Sylvie Goddyn, Dominique Bilde, Jean-Luc Schaffhauser, Laurenţiu Rebega, Edouard Ferrand, Jean-François Jalkh, Mireille D'Ornano, Philippe Loiseau, Joëlle Mélin, Bernard Monot, Marie-Christine Boutonnet, Nicolas Bay, Mylène Troszczynski</w:t>
      </w:r>
    </w:p>
    <w:p w:rsidR="00D37737" w:rsidRPr="00D37737" w:rsidRDefault="00D37737" w:rsidP="00D37737">
      <w:pPr>
        <w:tabs>
          <w:tab w:val="left" w:pos="1134"/>
        </w:tabs>
        <w:spacing w:after="240"/>
        <w:rPr>
          <w:noProof/>
        </w:rPr>
      </w:pPr>
      <w:r w:rsidRPr="00D37737">
        <w:rPr>
          <w:noProof/>
        </w:rPr>
        <w:t>on behalf of the ENF Group</w:t>
      </w:r>
    </w:p>
    <w:p w:rsidR="00D37737" w:rsidRPr="00D37737" w:rsidRDefault="00D37737" w:rsidP="00D37737">
      <w:pPr>
        <w:tabs>
          <w:tab w:val="left" w:pos="1134"/>
        </w:tabs>
        <w:spacing w:after="240"/>
        <w:ind w:left="1134" w:hanging="1134"/>
        <w:rPr>
          <w:noProof/>
        </w:rPr>
      </w:pPr>
      <w:r w:rsidRPr="00D37737">
        <w:rPr>
          <w:noProof/>
        </w:rPr>
        <w:t>Subject:</w:t>
      </w:r>
      <w:r w:rsidRPr="00D37737">
        <w:rPr>
          <w:noProof/>
        </w:rPr>
        <w:tab/>
        <w:t>Health risks related to the consumption of vegetable oils, and in particular palm oils</w:t>
      </w:r>
    </w:p>
    <w:p w:rsidR="00932457" w:rsidRPr="00D37737" w:rsidRDefault="00932457" w:rsidP="00D37737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D37737">
        <w:rPr>
          <w:noProof/>
        </w:rPr>
        <w:t>The European Food Safety Authority (EFSA) recently concluded that there is sufficient evidence that glycidyl fatty acid esters – contaminants formed during the processing of refined vegetable oils – are genotoxic and carcinogenic</w:t>
      </w:r>
      <w:r w:rsidR="00D37737">
        <w:rPr>
          <w:rStyle w:val="FootnoteReference"/>
          <w:noProof/>
        </w:rPr>
        <w:footnoteReference w:id="1"/>
      </w:r>
      <w:r w:rsidRPr="00D37737">
        <w:rPr>
          <w:noProof/>
        </w:rPr>
        <w:t>.</w:t>
      </w:r>
    </w:p>
    <w:p w:rsidR="00BF4787" w:rsidRPr="00D37737" w:rsidRDefault="00932457" w:rsidP="00D37737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D37737">
        <w:rPr>
          <w:noProof/>
        </w:rPr>
        <w:t>The highest levels of glycidyl fatty acid esters were found in palm oils and palm fats.</w:t>
      </w:r>
    </w:p>
    <w:p w:rsidR="00932457" w:rsidRPr="00D37737" w:rsidRDefault="00932457" w:rsidP="00D37737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D37737">
        <w:rPr>
          <w:noProof/>
        </w:rPr>
        <w:t xml:space="preserve">Although levels of glycidyl fatty acid esters in palm oils and fats have halved in the past </w:t>
      </w:r>
      <w:r w:rsidR="00AB7EEF" w:rsidRPr="00D37737">
        <w:rPr>
          <w:noProof/>
        </w:rPr>
        <w:t xml:space="preserve">six </w:t>
      </w:r>
      <w:r w:rsidRPr="00D37737">
        <w:rPr>
          <w:noProof/>
        </w:rPr>
        <w:t>years, palm oil remains the biggest contributor for most individuals</w:t>
      </w:r>
      <w:r w:rsidR="00AB7EEF" w:rsidRPr="00D37737">
        <w:rPr>
          <w:noProof/>
        </w:rPr>
        <w:t xml:space="preserve"> and</w:t>
      </w:r>
      <w:r w:rsidRPr="00D37737">
        <w:rPr>
          <w:noProof/>
        </w:rPr>
        <w:t xml:space="preserve"> therefore poses a potential health concern.</w:t>
      </w:r>
    </w:p>
    <w:p w:rsidR="00932457" w:rsidRPr="00D37737" w:rsidRDefault="00932457" w:rsidP="00D37737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D37737">
        <w:rPr>
          <w:noProof/>
        </w:rPr>
        <w:t xml:space="preserve">Imported palm oils directly contribute to deforestation and </w:t>
      </w:r>
      <w:r w:rsidR="00AB7EEF" w:rsidRPr="00D37737">
        <w:rPr>
          <w:noProof/>
        </w:rPr>
        <w:t xml:space="preserve">the </w:t>
      </w:r>
      <w:r w:rsidRPr="00D37737">
        <w:rPr>
          <w:noProof/>
        </w:rPr>
        <w:t>disappearance of certain primates.</w:t>
      </w:r>
    </w:p>
    <w:p w:rsidR="00932457" w:rsidRPr="00D37737" w:rsidRDefault="00932457" w:rsidP="00D37737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D37737">
        <w:rPr>
          <w:noProof/>
        </w:rPr>
        <w:t xml:space="preserve">The promotion of animal fats in reasonable quantities </w:t>
      </w:r>
      <w:r w:rsidR="00AB7EEF" w:rsidRPr="00D37737">
        <w:rPr>
          <w:noProof/>
        </w:rPr>
        <w:t xml:space="preserve">and in accordance </w:t>
      </w:r>
      <w:r w:rsidRPr="00D37737">
        <w:rPr>
          <w:noProof/>
        </w:rPr>
        <w:t xml:space="preserve">with European gastronomy could help to sell part of </w:t>
      </w:r>
      <w:r w:rsidR="00C31959" w:rsidRPr="00D37737">
        <w:rPr>
          <w:noProof/>
        </w:rPr>
        <w:t xml:space="preserve">the </w:t>
      </w:r>
      <w:r w:rsidRPr="00D37737">
        <w:rPr>
          <w:noProof/>
        </w:rPr>
        <w:t xml:space="preserve">overstock </w:t>
      </w:r>
      <w:r w:rsidR="00C31959" w:rsidRPr="00D37737">
        <w:rPr>
          <w:noProof/>
        </w:rPr>
        <w:t xml:space="preserve">in </w:t>
      </w:r>
      <w:r w:rsidRPr="00D37737">
        <w:rPr>
          <w:noProof/>
        </w:rPr>
        <w:t>our dairy chain.</w:t>
      </w:r>
    </w:p>
    <w:p w:rsidR="00745E01" w:rsidRDefault="00AB7EEF" w:rsidP="00D37737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D37737">
        <w:rPr>
          <w:noProof/>
        </w:rPr>
        <w:t>I</w:t>
      </w:r>
      <w:r w:rsidR="00932457" w:rsidRPr="00D37737">
        <w:rPr>
          <w:noProof/>
        </w:rPr>
        <w:t>n light of the above considerations, how does the Commission intend to address this issue</w:t>
      </w:r>
      <w:r w:rsidRPr="00D37737">
        <w:rPr>
          <w:noProof/>
        </w:rPr>
        <w:t>,</w:t>
      </w:r>
      <w:r w:rsidR="00932457" w:rsidRPr="00D37737">
        <w:rPr>
          <w:noProof/>
        </w:rPr>
        <w:t xml:space="preserve"> taking into account the aforementioned EFSA conclusions?</w:t>
      </w:r>
    </w:p>
    <w:p w:rsidR="00D37737" w:rsidRDefault="00D37737" w:rsidP="00D37737">
      <w:pPr>
        <w:tabs>
          <w:tab w:val="left" w:pos="426"/>
          <w:tab w:val="left" w:pos="851"/>
          <w:tab w:val="left" w:pos="1276"/>
        </w:tabs>
        <w:spacing w:before="240"/>
        <w:rPr>
          <w:noProof/>
        </w:rPr>
      </w:pPr>
      <w:r>
        <w:rPr>
          <w:noProof/>
        </w:rPr>
        <w:t>Tabled: 8.6.2016</w:t>
      </w:r>
    </w:p>
    <w:p w:rsidR="00D37737" w:rsidRDefault="00D37737" w:rsidP="00D37737">
      <w:pPr>
        <w:tabs>
          <w:tab w:val="left" w:pos="426"/>
          <w:tab w:val="left" w:pos="851"/>
          <w:tab w:val="left" w:pos="1276"/>
        </w:tabs>
        <w:rPr>
          <w:noProof/>
        </w:rPr>
      </w:pPr>
      <w:r>
        <w:rPr>
          <w:noProof/>
        </w:rPr>
        <w:t>Forwarded: 10.6.2016</w:t>
      </w:r>
    </w:p>
    <w:p w:rsidR="00D37737" w:rsidRPr="00D37737" w:rsidRDefault="00D37737" w:rsidP="00D37737">
      <w:pPr>
        <w:tabs>
          <w:tab w:val="left" w:pos="426"/>
          <w:tab w:val="left" w:pos="851"/>
          <w:tab w:val="left" w:pos="1276"/>
        </w:tabs>
        <w:rPr>
          <w:noProof/>
        </w:rPr>
      </w:pPr>
      <w:r>
        <w:rPr>
          <w:noProof/>
        </w:rPr>
        <w:t>Deadline for reply: 17.6.2016</w:t>
      </w:r>
    </w:p>
    <w:sectPr w:rsidR="00D37737" w:rsidRPr="00D37737" w:rsidSect="00D37737">
      <w:footerReference w:type="default" r:id="rId6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2C" w:rsidRPr="00566D0E" w:rsidRDefault="0072042C">
      <w:r w:rsidRPr="00566D0E">
        <w:separator/>
      </w:r>
    </w:p>
  </w:endnote>
  <w:endnote w:type="continuationSeparator" w:id="0">
    <w:p w:rsidR="0072042C" w:rsidRPr="00566D0E" w:rsidRDefault="0072042C">
      <w:r w:rsidRPr="00566D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1" w:rsidRPr="00D37737" w:rsidRDefault="00D37737" w:rsidP="00D37737">
    <w:pPr>
      <w:pStyle w:val="Footer"/>
      <w:tabs>
        <w:tab w:val="clear" w:pos="4536"/>
        <w:tab w:val="clear" w:pos="9072"/>
        <w:tab w:val="right" w:pos="9071"/>
      </w:tabs>
    </w:pPr>
    <w:r>
      <w:t>1097632.EN</w:t>
    </w:r>
    <w:r>
      <w:tab/>
      <w:t>PE 540.859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2C" w:rsidRPr="00566D0E" w:rsidRDefault="0072042C">
      <w:r w:rsidRPr="00566D0E">
        <w:separator/>
      </w:r>
    </w:p>
  </w:footnote>
  <w:footnote w:type="continuationSeparator" w:id="0">
    <w:p w:rsidR="0072042C" w:rsidRPr="00566D0E" w:rsidRDefault="0072042C">
      <w:r w:rsidRPr="00566D0E">
        <w:continuationSeparator/>
      </w:r>
    </w:p>
  </w:footnote>
  <w:footnote w:id="1">
    <w:p w:rsidR="00D37737" w:rsidRPr="00D37737" w:rsidRDefault="00D37737" w:rsidP="00D37737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EFSA CONTAM Panel (EFSA Panel on Contaminants in the Food Chain), 2016. MCPD and glycidyl esters in food. EFSA Journal 2016;14(5):4426, 159 pp. doi:10.2903/j.efsa.2016.4426.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D0E"/>
    <w:rsid w:val="000457F1"/>
    <w:rsid w:val="00053EE8"/>
    <w:rsid w:val="0006026E"/>
    <w:rsid w:val="000F5323"/>
    <w:rsid w:val="000F5E0A"/>
    <w:rsid w:val="001131AC"/>
    <w:rsid w:val="00132B9D"/>
    <w:rsid w:val="00185C26"/>
    <w:rsid w:val="001E2097"/>
    <w:rsid w:val="00272C82"/>
    <w:rsid w:val="002C6111"/>
    <w:rsid w:val="00360568"/>
    <w:rsid w:val="00450AD5"/>
    <w:rsid w:val="00502F25"/>
    <w:rsid w:val="00566D0E"/>
    <w:rsid w:val="00582456"/>
    <w:rsid w:val="005967E0"/>
    <w:rsid w:val="005A7709"/>
    <w:rsid w:val="006069A2"/>
    <w:rsid w:val="0063286A"/>
    <w:rsid w:val="006338E6"/>
    <w:rsid w:val="0072042C"/>
    <w:rsid w:val="00745E01"/>
    <w:rsid w:val="0079599D"/>
    <w:rsid w:val="007E1D7E"/>
    <w:rsid w:val="0084204A"/>
    <w:rsid w:val="0085646B"/>
    <w:rsid w:val="008B1124"/>
    <w:rsid w:val="008B68D9"/>
    <w:rsid w:val="00932457"/>
    <w:rsid w:val="00937D65"/>
    <w:rsid w:val="00954E0F"/>
    <w:rsid w:val="00A252F1"/>
    <w:rsid w:val="00A92E70"/>
    <w:rsid w:val="00AB7EEF"/>
    <w:rsid w:val="00AE6740"/>
    <w:rsid w:val="00B4456B"/>
    <w:rsid w:val="00BE6679"/>
    <w:rsid w:val="00BF4787"/>
    <w:rsid w:val="00C31959"/>
    <w:rsid w:val="00C829A4"/>
    <w:rsid w:val="00CD005F"/>
    <w:rsid w:val="00D24DDC"/>
    <w:rsid w:val="00D37737"/>
    <w:rsid w:val="00DC2DFB"/>
    <w:rsid w:val="00DE59A7"/>
    <w:rsid w:val="00E03032"/>
    <w:rsid w:val="00E46E2C"/>
    <w:rsid w:val="00E71957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93245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character" w:customStyle="1" w:styleId="FootnoteTextChar">
    <w:name w:val="Footnote Text Char"/>
    <w:link w:val="FootnoteText"/>
    <w:rsid w:val="00932457"/>
    <w:rPr>
      <w:rFonts w:ascii="Arial" w:hAnsi="Arial" w:cs="Arial"/>
      <w:snapToGrid w:val="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</dc:title>
  <dc:subject/>
  <dc:creator>CHASE Kathleen</dc:creator>
  <cp:keywords/>
  <dc:description/>
  <cp:lastModifiedBy>ADM-QP</cp:lastModifiedBy>
  <cp:revision>2</cp:revision>
  <cp:lastPrinted>2006-04-24T15:35:00Z</cp:lastPrinted>
  <dcterms:created xsi:type="dcterms:W3CDTF">2016-06-09T07:38:00Z</dcterms:created>
  <dcterms:modified xsi:type="dcterms:W3CDTF">2016-06-09T07:38:00Z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1097632</vt:lpwstr>
  </property>
  <property fmtid="{D5CDD505-2E9C-101B-9397-08002B2CF9AE}" pid="6" name="&lt;Type&gt;">
    <vt:lpwstr>QO</vt:lpwstr>
  </property>
  <property fmtid="{D5CDD505-2E9C-101B-9397-08002B2CF9AE}" pid="7" name="&lt;ModelCod&gt;">
    <vt:lpwstr>\\eiciLUXpr1\pdocep$\DocEP\DOCS\General\QO\QO.dot(17/02/2016 11:46:23)</vt:lpwstr>
  </property>
  <property fmtid="{D5CDD505-2E9C-101B-9397-08002B2CF9AE}" pid="8" name="&lt;ModelTra&gt;">
    <vt:lpwstr>\\eiciLUXpr1\pdocep$\DocEP\TRANSFIL\EN\QO.EN(11/07/2014 11:13:58)</vt:lpwstr>
  </property>
  <property fmtid="{D5CDD505-2E9C-101B-9397-08002B2CF9AE}" pid="9" name="&lt;Model&gt;">
    <vt:lpwstr>QO</vt:lpwstr>
  </property>
  <property fmtid="{D5CDD505-2E9C-101B-9397-08002B2CF9AE}" pid="10" name="FooterPath">
    <vt:lpwstr>QO\1097632EN.doc</vt:lpwstr>
  </property>
  <property fmtid="{D5CDD505-2E9C-101B-9397-08002B2CF9AE}" pid="11" name="PE Number">
    <vt:lpwstr>540.859</vt:lpwstr>
  </property>
  <property fmtid="{D5CDD505-2E9C-101B-9397-08002B2CF9AE}" pid="12" name="Bookout">
    <vt:lpwstr>OK - 2016/6/9 08:43</vt:lpwstr>
  </property>
  <property fmtid="{D5CDD505-2E9C-101B-9397-08002B2CF9AE}" pid="13" name="SubscribeElise">
    <vt:lpwstr/>
  </property>
</Properties>
</file>