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O-000070/2020</w:t>
      </w:r>
    </w:p>
    <w:p>
      <w:pPr>
        <w:pStyle w:val="Arial10"/>
      </w:pPr>
      <w:r>
        <w:rPr>
          <w:rStyle w:val="Bold"/>
        </w:rPr>
        <w:t xml:space="preserve">Komisijai </w:t>
      </w:r>
    </w:p>
    <w:p>
      <w:pPr>
        <w:pStyle w:val="Arial10"/>
      </w:pPr>
      <w:r>
        <w:t>Reglamenta 136. pants</w:t>
      </w:r>
    </w:p>
    <w:p>
      <w:pPr>
        <w:pStyle w:val="Arial10After10"/>
      </w:pPr>
      <w:r>
        <w:rPr>
          <w:rStyle w:val="Bold"/>
        </w:rPr>
        <w:t>Bernd Lange</w:t>
      </w:r>
      <w:r>
        <w:br/>
      </w:r>
      <w:r>
        <w:t>Starptautiskās tirdzniecības komitejas vārdā</w:t>
      </w:r>
    </w:p>
    <w:p>
      <w:pPr>
        <w:pStyle w:val="Subject"/>
      </w:pPr>
      <w:r>
        <w:t>Temats</w:t>
      </w:r>
      <w:r>
        <w:t>:</w:t>
      </w:r>
      <w:r>
        <w:tab/>
      </w:r>
      <w:r>
        <w:t>ES tirdzniecības politikas pārskatīšana</w:t>
      </w:r>
    </w:p>
    <w:p>
      <w:pPr>
        <w:pStyle w:val="Body"/>
      </w:pPr>
      <w:r>
        <w:t>Komisija pārdomā ES tirdzniecības un investīciju politiku vidē pēc Covid-19 krīzes, lai panāktu strauju un ilgtspējīgu sociālekonomisko atveseļošanos.</w:t>
      </w:r>
    </w:p>
    <w:p>
      <w:pPr>
        <w:pStyle w:val="itemList"/>
      </w:pPr>
      <w:r>
        <w:t>1.</w:t>
      </w:r>
      <w:r>
        <w:tab/>
      </w:r>
      <w:r>
        <w:t>Lūdzu, izklāstiet pārskatīšanas procesa mērķi un norādiet, kādas politikas un instrumentu izmaiņas Komisija atzīst par nepieciešamām, kā arī, ja tas ir iespējams, miniet provizoriskos konstatējumus, kas gūti pēc apspriešanās ar ieinteresētajām personām. Kā Komisija paredz sasniegt izvirzīto mērķi par ilgtspējīgām, stabilām un noturīgām vērtības ķēdēm?</w:t>
      </w:r>
    </w:p>
    <w:p>
      <w:pPr>
        <w:pStyle w:val="itemList"/>
      </w:pPr>
      <w:r>
        <w:t>2.</w:t>
      </w:r>
      <w:r>
        <w:tab/>
      </w:r>
      <w:r>
        <w:t>Vai Komisija skaidri norādīs plānotās konkrētās darbības, ar kurām īstenot ES jauno tirdzniecības un investīciju politiku, un to paredzamo īstenošanas grafiku? Tas būtu svarīgs instruments, kas ļautu nodrošināt demokrātisko kontroli.</w:t>
      </w:r>
    </w:p>
    <w:p>
      <w:pPr>
        <w:pStyle w:val="itemList"/>
      </w:pPr>
      <w:r>
        <w:t>3.</w:t>
      </w:r>
      <w:r>
        <w:tab/>
      </w:r>
      <w:r>
        <w:t>Kā Komisija šajā pārdomu procesā iekļaus Parlamenta politiskās prioritātes un idejas par ES tirdzniecības un investīciju politiku?</w:t>
      </w:r>
    </w:p>
    <w:p>
      <w:pPr>
        <w:pStyle w:val="itemList"/>
      </w:pPr>
      <w:r>
        <w:t>4.</w:t>
      </w:r>
      <w:r>
        <w:tab/>
      </w:r>
      <w:r>
        <w:t>Kā Komisija koordinēs ar dalībvalstīm un lielākajiem tirdzniecības partneriem savas darbības starptautiskās tirdzniecības un investīciju jomā, lai ES kļūtu labāk nodrošināta pret turpmākajiem izaicinājumiem?</w:t>
      </w:r>
    </w:p>
    <w:p>
      <w:pPr>
        <w:pStyle w:val="itemList"/>
      </w:pPr>
      <w:r>
        <w:t>5.</w:t>
      </w:r>
      <w:r>
        <w:tab/>
      </w:r>
      <w:r>
        <w:t>Kā Komisija izvērtēs un pēc tam uzņēmumiem, darba ņēmējiem un patērētājiem izskaidros ES jaunās tirdzniecības un investīciju politikas priekšrocības?</w:t>
      </w:r>
    </w:p>
    <w:p>
      <w:pPr>
        <w:pStyle w:val="Body"/>
      </w:pPr>
      <w:r>
        <w:t>Iesniegšanas datums: 11/11/2020</w:t>
      </w:r>
    </w:p>
    <w:p>
      <w:pPr>
        <w:pStyle w:val="Body"/>
      </w:pPr>
      <w:r>
        <w:t>Termiņš: 12/02/2021</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PE661.261v01-00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PE661.261v01-00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PE661.261v01-00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20201113-075719-097896-230614</vt:lpwstr>
  </property>
</Properties>
</file>