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O-000073/2020</w:t>
      </w:r>
    </w:p>
    <w:p>
      <w:pPr>
        <w:pStyle w:val="Arial10"/>
      </w:pPr>
      <w:r>
        <w:rPr>
          <w:rStyle w:val="Bold"/>
        </w:rPr>
        <w:t xml:space="preserve">Komisijai </w:t>
      </w:r>
    </w:p>
    <w:p>
      <w:pPr>
        <w:pStyle w:val="Arial10"/>
      </w:pPr>
      <w:r>
        <w:t>Reglamenta 136. pants</w:t>
      </w:r>
    </w:p>
    <w:p>
      <w:pPr>
        <w:pStyle w:val="Arial10After10"/>
      </w:pPr>
      <w:r>
        <w:rPr>
          <w:rStyle w:val="Bold"/>
        </w:rPr>
        <w:t>Adrián Vázquez Lázara</w:t>
      </w:r>
      <w:r>
        <w:br/>
      </w:r>
      <w:r>
        <w:t>Juridiskās komitejas vārdā</w:t>
      </w:r>
    </w:p>
    <w:p>
      <w:pPr>
        <w:pStyle w:val="Subject"/>
      </w:pPr>
      <w:r>
        <w:t>Temats</w:t>
      </w:r>
      <w:r>
        <w:t>:</w:t>
      </w:r>
      <w:r>
        <w:tab/>
      </w:r>
      <w:r>
        <w:t>Civiltiesiskuma nozīmība no ekonomiskās atlabšanas viedokļa laikposmā pēc Covid-19</w:t>
      </w:r>
    </w:p>
    <w:p>
      <w:pPr>
        <w:pStyle w:val="Body"/>
      </w:pPr>
      <w:r>
        <w:t>Civiltiesiskums nav pats akūtākais šā brīža Covid-19 krīzes risināšanas jautājums. Tomēr ekonomiskais kritums var materializēties lielā skaitā civilo strīdu. Šādi strīdi ir raksturīga ekonomiskā apsīkuma pazīme un bija vērojami, piemēram, laikposmā pēc finanšu krīzes. Līdz ar to kapitāls, kas vispār varētu veicināt ekonomikas atveseļošanos, ir iesaldēts tiesas prāvu dēļ. Ātrums, ar kādu šādas lietas var atrisināt, līdz ar to ir svarīgs, lai nodrošinātu sekmīgu mūsu ekonomiku atlabšanu.</w:t>
      </w:r>
    </w:p>
    <w:p>
      <w:pPr>
        <w:pStyle w:val="Body"/>
      </w:pPr>
      <w:r>
        <w:t xml:space="preserve">Parlaments sava 2014.–2019. gada sasaukuma laikā pieņēma divus ziņojumus, viens no kuru mērķiem bija paātrināt civiltiesisko procedūru norisi, 2017. gada 4. jūlija rezolūciju ar ieteikumiem Komisijai par kopīgu civilprocesa standartu minimumu Eiropas Savienībā (2015/2084(INL)), kura referents bija </w:t>
      </w:r>
      <w:r>
        <w:rPr>
          <w:rStyle w:val="Italic"/>
        </w:rPr>
        <w:t>Emil Radev</w:t>
      </w:r>
      <w:r>
        <w:t xml:space="preserve">, un 2018. gada 13. decembra rezolūciju ar ieteikumiem Komisijai par komerctiesisku strīdu paātrinātu izšķiršanu (2018/2079(INL)) ar </w:t>
      </w:r>
      <w:r>
        <w:rPr>
          <w:rStyle w:val="Italic"/>
        </w:rPr>
        <w:t>Tadeusz</w:t>
      </w:r>
      <w:r>
        <w:rPr>
          <w:rStyle w:val="Italic"/>
        </w:rPr>
        <w:t>Zwiefka</w:t>
      </w:r>
      <w:r>
        <w:t xml:space="preserve"> referenta statusā.</w:t>
      </w:r>
    </w:p>
    <w:p>
      <w:pPr>
        <w:pStyle w:val="Body"/>
      </w:pPr>
      <w:r>
        <w:t>1. Vai Komisija ir paredzējusi veikt Parlamenta pašpieņemto normatīvo ziņojumu ar likumdošanas priekšlikumiem īstenošanas uzraudzību tik ātri, lai varētu palīdzēt atlabt no šā brīža krīzes?</w:t>
      </w:r>
    </w:p>
    <w:p>
      <w:pPr>
        <w:pStyle w:val="Body"/>
      </w:pPr>
      <w:r>
        <w:t>2. Kādas vēl iniciatīvas Komisija ir iecerējusi veikt civiltiesiskuma jomā, lai panāktu komerciālo strīdu ātrāku izšķiršanu?</w:t>
      </w:r>
    </w:p>
    <w:p>
      <w:pPr>
        <w:pStyle w:val="Body"/>
      </w:pPr>
      <w:r>
        <w:t>Iesniegšanas datums: 19/11/2020</w:t>
      </w:r>
    </w:p>
    <w:p>
      <w:pPr>
        <w:pStyle w:val="Body"/>
      </w:pPr>
      <w:r>
        <w:t>Termiņš: 20/02/2021</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PE661.588v01-00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PE661.588v01-00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PE661.588v01-00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20201120-163316-212372-294899</vt:lpwstr>
  </property>
</Properties>
</file>