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Pytanie wymagające odpowiedzi ustnej O-000084/2020</w:t>
      </w:r>
    </w:p>
    <w:p>
      <w:pPr>
        <w:pStyle w:val="Arial10"/>
      </w:pPr>
      <w:r>
        <w:rPr>
          <w:rStyle w:val="Bold"/>
        </w:rPr>
        <w:t>do Komisji</w:t>
      </w:r>
    </w:p>
    <w:p>
      <w:pPr>
        <w:pStyle w:val="Arial10"/>
      </w:pPr>
      <w:r>
        <w:t>Art. 136 Regulaminu</w:t>
      </w:r>
    </w:p>
    <w:p>
      <w:pPr>
        <w:pStyle w:val="Arial10After10"/>
      </w:pPr>
      <w:r>
        <w:rPr>
          <w:rStyle w:val="Bold"/>
        </w:rPr>
        <w:t>Tilly Metz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Sirpa Pietikäinen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Eleonora Evi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Francisco Guerreiro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Sylwia Spurek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Jytte Guteland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Martin Buschmann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Younous Omarjee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Alexis Georgoulis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Anja Hazekamp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Caroline Roose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Clare Daly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Emil Radev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Günther Sidl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Heidi Hautala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Jiří Pospíšil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Kira Marie Peter-Hansen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Annika Bruna</w:t>
      </w:r>
      <w:r>
        <w:t xml:space="preserve"> (</w:t>
      </w:r>
      <w:r>
        <w:t>ID</w:t>
      </w:r>
      <w:r>
        <w:t xml:space="preserve">), </w:t>
      </w:r>
      <w:r>
        <w:rPr>
          <w:rStyle w:val="Bold"/>
        </w:rPr>
        <w:t>Manuel Bompard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Manuela Ripa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Margrete Auken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Marie Toussaint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Marisa Matias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Michal Wiezik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Mick Wallace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Niels Fuglsang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Nikolaj Villumsen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Pär Holmgren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Pascal Durand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Petras Auštrevičius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Rosa D'Amato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Sarah Wiener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Thomas Waitz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Tiziana Beghin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Veronika Vrecionová</w:t>
      </w:r>
      <w:r>
        <w:t xml:space="preserve"> (</w:t>
      </w:r>
      <w:r>
        <w:t>ECR</w:t>
      </w:r>
      <w:r>
        <w:t xml:space="preserve">), </w:t>
      </w:r>
      <w:r>
        <w:rPr>
          <w:rStyle w:val="Bold"/>
        </w:rPr>
        <w:t>Ville Niinistö</w:t>
      </w:r>
      <w:r>
        <w:t xml:space="preserve"> (</w:t>
      </w:r>
      <w:r>
        <w:t>Verts/ALE</w:t>
      </w:r>
      <w:r>
        <w:t>)</w:t>
      </w:r>
    </w:p>
    <w:p>
      <w:pPr>
        <w:pStyle w:val="Subject"/>
      </w:pPr>
      <w:r>
        <w:t>Przedmiot</w:t>
      </w:r>
      <w:r>
        <w:t>:</w:t>
      </w:r>
      <w:r>
        <w:tab/>
      </w:r>
      <w:r>
        <w:t>Wspólne plany i działania na rzecz transformacji ku innowacjom bez wykorzystywania zwierząt w UE</w:t>
      </w:r>
    </w:p>
    <w:p>
      <w:pPr>
        <w:pStyle w:val="Body"/>
      </w:pPr>
      <w:r>
        <w:t>Począwszy od 1993 r. Komisja wyraża swoje zobowiązanie do ograniczenia wykorzystywania zwierząt i zastąpienia ich w nauce. Jednakże z ostatnich danych statystycznych opublikowanych przez Komisję wynika, że liczba zwierząt wykorzystywanych do celów naukowych zmniejszyła się tylko nieznacznie. W każdym razie spadek ten przyćmiony został przez dodatkowe 12 milionów zwierząt, które są hodowane na potrzeby badań naukowych, ale ostatecznie zabijane bez faktycznego wykorzystania. Chociaż w dyrektywie 2010/63/UE określono podstawowe przepisy dotyczące ochrony zwierząt wykorzystywanych do celów naukowych, nie przewidziano w niej strategii ograniczania liczby tych zwierząt i ich zastąpienia.</w:t>
      </w:r>
    </w:p>
    <w:p>
      <w:pPr>
        <w:pStyle w:val="Body"/>
      </w:pPr>
      <w:r>
        <w:t>Natomiast amerykańska Agencja Ochrony Środowiska (EPA) zobowiązała się do „agresywnego” ograniczenia badań na zwierzętach, w tym do zniesienia wymogów dotyczących doświadczeń na ssakach i wstrzymania finansowania tych doświadczeń do 2035 r. Chociaż UE była światowym liderem w rozwoju nauki niewykorzystującej zwierząt, obecnie istnieją dowody na to, że zaczyna ona pozostawać w tyle za wysiłkami szeregu krajów, które mają na celu opracowanie i wdrożenie planów działania dotyczących stopniowego odejścia od wykorzystywania zwierząt w nauce poprzez wykorzystanie innowacyjnych technologii niezwierzęcych, zrewolucjonizowanie badań toksyczności i badań biomedycznych oraz poprawę wyników w zakresie zdrowia ludzi i środowiska.</w:t>
      </w:r>
    </w:p>
    <w:p>
      <w:pPr>
        <w:pStyle w:val="Body"/>
      </w:pPr>
      <w:r>
        <w:t>Jednocześnie za pomocą instrumentu Next Generation EU bardziej niż kiedykolwiek wcześniej dąży się do wzmocnienia innowacyjności i zmodernizowania edukacji. Biorąc pod uwagę to zobowiązanie oraz bezprecedensowe wyzwania zdrowotne i środowiskowe, przed którymi stoi nasza Unia, ważniejsze niż kiedykolwiek jest, aby Komisja zintensyfikowała swoje wysiłki i inwestowała w innowacyjną, istotną dla człowieka i wykluczającą udział zwierząt naukę we wszystkich dziedzinach, w tym badaniach naukowych, edukacji i badaniach regulacyjnych.</w:t>
      </w:r>
    </w:p>
    <w:p>
      <w:pPr>
        <w:pStyle w:val="Body"/>
      </w:pPr>
      <w:r>
        <w:t>Prace laboratorium referencyjnego UE nad alternatywami dla badań na zwierzętach pokazują na przykład, gdzie inwestycje w innowacyjne technologie bez udziału zwierząt mogą prowadzić do najlepszych modeli badania mechanizmów choroby i potencjalnych terapii.</w:t>
      </w:r>
    </w:p>
    <w:p>
      <w:pPr>
        <w:pStyle w:val="Body"/>
      </w:pPr>
      <w:r>
        <w:t>Strategia w zakresie chemikaliów na rzecz zrównoważoności, zainicjowana w ramach Europejskiego Zielonego Ładu, wyznacza ambitne cele w zakresie ochrony zdrowia ludzkiego i środowiska przed niebezpiecznymi skutkami chemikaliów. Metody badawcze niewymagające wykorzystania zwierząt będą miały kluczowe znaczenie dla osiągnięcia ambitnych celów Komisji w zakresie predykcyjnych badań toksyczności.</w:t>
      </w:r>
    </w:p>
    <w:p>
      <w:pPr>
        <w:pStyle w:val="Body"/>
      </w:pPr>
      <w:r>
        <w:t>W jaki sposób Komisja zagwarantuje, że jej inicjatywy w zakresie badań i innowacji oraz edukacji zostaną dostosowane do zobowiązań Komisji i państw członkowskich w zakresie przyspieszenia transformacji w kierunku nauki wykluczającej udział zwierząt, czego ostatecznym celem jest całkowite zastąpienie wykorzystywania zwierząt w badaniach naukowych, testach i edukacji?</w:t>
      </w:r>
    </w:p>
    <w:p>
      <w:pPr>
        <w:pStyle w:val="Body"/>
      </w:pPr>
      <w:r>
        <w:t>W jaki sposób Komisja zamierza znacząco ograniczyć wykorzystywanie zwierząt na mocy rozporządzenia REACH, zwłaszcza w świetle nowej strategii w zakresie chemikaliów na rzecz zrównoważoności?</w:t>
      </w:r>
    </w:p>
    <w:p>
      <w:pPr>
        <w:pStyle w:val="Body"/>
      </w:pPr>
      <w:r>
        <w:t>Przedłożone: 18/12/2020</w:t>
      </w:r>
    </w:p>
    <w:p>
      <w:pPr>
        <w:pStyle w:val="Body"/>
      </w:pPr>
      <w:r>
        <w:t>Termin ważności: 19/03/2021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PE663.518v01-00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PE663.518v01-00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PE663.518v01-00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 wymagające odpowiedzi ustnej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20201222-111105-172488-192287</vt:lpwstr>
  </property>
</Properties>
</file>