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Otázka na ústne zodpovedanie O-000071/2021</w:t>
      </w:r>
    </w:p>
    <w:p>
      <w:pPr>
        <w:pStyle w:val="Arial10"/>
      </w:pPr>
      <w:r>
        <w:rPr>
          <w:rStyle w:val="Bold"/>
        </w:rPr>
        <w:t xml:space="preserve">Komisii </w:t>
      </w:r>
    </w:p>
    <w:p>
      <w:pPr>
        <w:pStyle w:val="Arial10"/>
      </w:pPr>
      <w:r>
        <w:t>článok 136 rokovacieho poriadku</w:t>
      </w:r>
    </w:p>
    <w:p>
      <w:pPr>
        <w:pStyle w:val="Arial10After10"/>
      </w:pPr>
      <w:r>
        <w:rPr>
          <w:rStyle w:val="Bold"/>
        </w:rPr>
        <w:t>Nikolaj Villumsen</w:t>
      </w:r>
      <w:r>
        <w:t xml:space="preserve">, </w:t>
      </w:r>
      <w:r>
        <w:rPr>
          <w:rStyle w:val="Bold"/>
        </w:rPr>
        <w:t>Jeroen Lenaers</w:t>
      </w:r>
      <w:r>
        <w:t xml:space="preserve">, </w:t>
      </w:r>
      <w:r>
        <w:rPr>
          <w:rStyle w:val="Bold"/>
        </w:rPr>
        <w:t>Marianne Vind</w:t>
      </w:r>
      <w:r>
        <w:t xml:space="preserve">, </w:t>
      </w:r>
      <w:r>
        <w:rPr>
          <w:rStyle w:val="Bold"/>
        </w:rPr>
        <w:t>Dragoş Pîslaru</w:t>
      </w:r>
      <w:r>
        <w:t xml:space="preserve">, </w:t>
      </w:r>
      <w:r>
        <w:rPr>
          <w:rStyle w:val="Bold"/>
        </w:rPr>
        <w:t>Elena Lizzi</w:t>
      </w:r>
      <w:r>
        <w:t xml:space="preserve">, </w:t>
      </w:r>
      <w:r>
        <w:rPr>
          <w:rStyle w:val="Bold"/>
        </w:rPr>
        <w:t>Mounir Satouri</w:t>
      </w:r>
      <w:r>
        <w:t xml:space="preserve">, </w:t>
      </w:r>
      <w:r>
        <w:rPr>
          <w:rStyle w:val="Bold"/>
        </w:rPr>
        <w:t>Elżbieta Rafalska</w:t>
      </w:r>
      <w:r>
        <w:br/>
      </w:r>
      <w:r>
        <w:t>v mene Výboru pre zamestnanosť a sociálne veci</w:t>
      </w:r>
    </w:p>
    <w:p>
      <w:pPr>
        <w:pStyle w:val="Subject"/>
      </w:pPr>
      <w:r>
        <w:t>Vec</w:t>
      </w:r>
      <w:r>
        <w:t>:</w:t>
      </w:r>
      <w:r>
        <w:tab/>
      </w:r>
      <w:r>
        <w:t>Zavedenie európskeho preukazu sociálneho zabezpečenia na zlepšenie digitálneho presadzovania práv sociálneho zabezpečenia a spravodlivej mobility</w:t>
      </w:r>
    </w:p>
    <w:p>
      <w:pPr>
        <w:pStyle w:val="Body"/>
      </w:pPr>
      <w:r>
        <w:t>Parlament od roku 2014 vyzýva Komisiu, aby predložila návrh európskeho čísla sociálneho zabezpečenia (EČSZ). V roku 2021 Komisia oznámila, že v tomto roku začne pilotný projekt s cieľom preskúmať zavedenie európskeho preukazu sociálneho zabezpečenia (EPSZ) do roku 2023.</w:t>
      </w:r>
    </w:p>
    <w:p>
      <w:pPr>
        <w:pStyle w:val="itemList"/>
      </w:pPr>
      <w:r>
        <w:t>1.</w:t>
      </w:r>
      <w:r>
        <w:tab/>
      </w:r>
      <w:r>
        <w:t>V roku 2017 Komisia oznámila, že zavedie EČSZ, dosiaľ však nepredložila konkrétny návrh. Môže sa zaviazať, že Parlamentu poskytne prístup ku všetkým relevantným dokumentom a dôkazom, na ktorých založila svoje rozhodnutie prestať skúmať zavedenie EČSZ?</w:t>
      </w:r>
    </w:p>
    <w:p>
      <w:pPr>
        <w:pStyle w:val="itemList"/>
      </w:pPr>
      <w:r>
        <w:t>2.</w:t>
      </w:r>
      <w:r>
        <w:tab/>
      </w:r>
      <w:r>
        <w:t>Je naliehavo potrebný legislatívny návrh týkajúci sa EPSZ. Je možné posunúť harmonogram návrhu z roku 2023 na rok 2022 s cieľom zlepšiť šance na dosiahnutie dohody v súčasnom volebnom období?</w:t>
      </w:r>
    </w:p>
    <w:p>
      <w:pPr>
        <w:pStyle w:val="itemList"/>
      </w:pPr>
      <w:r>
        <w:t>3.</w:t>
      </w:r>
      <w:r>
        <w:tab/>
      </w:r>
      <w:r>
        <w:t>Ako Komisia zabezpečí, že EPSZ bude umožňovať v reálnom čase overenie miesta výkonu práce, miesta zamestnania, pracovnoprávneho vzťahu, totožnosti pracovníka a štandardizovaných dávok sociálneho zabezpečenia, ustanovení a príslušných osvedčení stanovených v nariadení (ES) č. 883/2004 z 29. apríla 2004 o koordinácii systémov sociálneho zabezpečenia?</w:t>
      </w:r>
    </w:p>
    <w:p>
      <w:pPr>
        <w:pStyle w:val="itemList"/>
      </w:pPr>
      <w:r>
        <w:t>4.</w:t>
      </w:r>
      <w:r>
        <w:tab/>
      </w:r>
      <w:r>
        <w:t>Môže Komisia potvrdiť, že EPSZ sa bude vzťahovať na všetkých mobilných občanov a pracovníkov vrátane samostatne zárobkovo činných osôb, ako aj na všetkých mobilných štátnych príslušníkov tretích krajín?</w:t>
      </w:r>
    </w:p>
    <w:p>
      <w:pPr>
        <w:pStyle w:val="itemList"/>
      </w:pPr>
      <w:r>
        <w:t>5.</w:t>
      </w:r>
      <w:r>
        <w:tab/>
      </w:r>
      <w:r>
        <w:t>Ako plánuje preskúmať uskutočniteľnosť umožnenia členským štátom využívať EPSZ na základe informácií sprístupnených z vnútroštátnych preukazov alebo porovnateľných nástrojov na účely pracovného práva, ak existujú? Môže sa tiež zaviazať, že posúdi, ktoré ďalšie oblasti pracovného práva EÚ by sa mohli zahrnúť do rozsahu pôsobnosti EPSZ?</w:t>
      </w:r>
    </w:p>
    <w:p>
      <w:pPr>
        <w:pStyle w:val="itemList"/>
      </w:pPr>
      <w:r>
        <w:t>6.</w:t>
      </w:r>
      <w:r>
        <w:tab/>
      </w:r>
      <w:r>
        <w:t>Ako Komisia zabezpečí dôsledné uplatňovanie pravidiel EÚ v oblasti ochrany údajov, aby údaje boli k dispozícii len samotným pracovníkom a príslušným vnútroštátnym orgánom?</w:t>
      </w:r>
    </w:p>
    <w:p>
      <w:pPr>
        <w:pStyle w:val="itemList"/>
      </w:pPr>
      <w:r>
        <w:t>7.</w:t>
      </w:r>
      <w:r>
        <w:tab/>
      </w:r>
      <w:r>
        <w:t>Ako by EPSZ fungoval v spojení s inými iniciatívami a procesmi digitalizácie, ako je oznamovanie pre vyslaných pracovníkov vopred, e-ID, európsky preukaz zdravotného poistenia, elektronická výmena informácií o sociálnom zabezpečení (EESSI) a jednotná digitálna brána?</w:t>
      </w:r>
    </w:p>
    <w:p>
      <w:pPr>
        <w:pStyle w:val="Body"/>
      </w:pPr>
      <w:r>
        <w:t>Predložené: 27.10.2021</w:t>
      </w:r>
    </w:p>
    <w:p>
      <w:pPr>
        <w:pStyle w:val="Body"/>
      </w:pPr>
      <w:r>
        <w:t>Termín na zodpovedanie: 28.1.2022</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PE699.691v01-00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PE699.691v01-00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PE699.691v01-00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Otázka na ústne zodpovedanie</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20211103-163815-056451-967106</vt:lpwstr>
  </property>
</Properties>
</file>