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Priority question for written answer  P-003415/2019/rev.1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Urmas Paet</w:t>
      </w:r>
      <w:r>
        <w:t xml:space="preserve"> (</w:t>
      </w:r>
      <w:r>
        <w:t>Renew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Freedom of competition</w:t>
      </w:r>
    </w:p>
    <w:p>
      <w:pPr>
        <w:pStyle w:val="Body"/>
      </w:pPr>
      <w:r>
        <w:t xml:space="preserve">On 16 July 2019, I submitted Written Question E-002300/2019 to the Commission regarding a specific example of Lithuania’s disregard for EU public procurement law in the interests of national protectionism, but did not receive a substantive answer. </w:t>
      </w:r>
    </w:p>
    <w:p>
      <w:pPr>
        <w:pStyle w:val="Body"/>
      </w:pPr>
      <w:r>
        <w:t xml:space="preserve">In 2018, UAB Skinest Baltija – an Estonian company formed under Lithuanian law – participated in Lithuanian public procurement procedures for the supply of railway sleepers and spare parts to the fully state-owned railroad company AB Lietuvos geležinkeliai. Skinest Baltija was recognised as a winning tenderer, but was immediately eliminated from both procurement procedures in favour of a national tenderer. EU law lays down an exhaustive list of exclusion criteria on the basis of which a tenderer might be excluded from public procurement procedures. Lithuania eliminated the company on the basis of a non-exhaustive list of general and abstract criteria that is laid down in its own law, without providing any justification. </w:t>
      </w:r>
    </w:p>
    <w:p>
      <w:pPr>
        <w:pStyle w:val="itemList"/>
      </w:pPr>
      <w:r>
        <w:t>1.</w:t>
      </w:r>
      <w:r>
        <w:tab/>
      </w:r>
      <w:r>
        <w:t>1. Does the Commission plan to investigate Lithuania’s disregard for EU public procurement law in this case involving UAB Skinest Baltija?</w:t>
      </w:r>
    </w:p>
    <w:p>
      <w:pPr>
        <w:pStyle w:val="itemList"/>
      </w:pPr>
      <w:r>
        <w:t>2.</w:t>
      </w:r>
      <w:r>
        <w:tab/>
      </w:r>
      <w:r>
        <w:t>If so, when will it do so?</w:t>
      </w:r>
    </w:p>
    <w:p>
      <w:pPr>
        <w:pStyle w:val="itemList"/>
      </w:pPr>
      <w:r>
        <w:t>3.</w:t>
      </w:r>
      <w:r>
        <w:tab/>
      </w:r>
      <w:r>
        <w:t>What actions does it plan to take in response to Lithuania’s disregard for public procurement law in the interests of national protectionism?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PE642.486v02-00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PE642.486v02-00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PE642.486v02-00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20201104-155944-001962-183551</vt:lpwstr>
  </property>
</Properties>
</file>