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3 -->
  <w:body>
    <w:p>
      <w:pPr>
        <w:pStyle w:val="Arial10"/>
      </w:pPr>
      <w:r w:rsidR="00A77B3E">
        <w:rPr>
          <w:rStyle w:val="Bold"/>
        </w:rPr>
        <w:t>Question prioritaire avec demande de réponse écrite P-002498/2020</w:t>
      </w:r>
    </w:p>
    <w:p>
      <w:pPr>
        <w:pStyle w:val="Arial10"/>
      </w:pPr>
      <w:r>
        <w:rPr>
          <w:rStyle w:val="Bold"/>
        </w:rPr>
        <w:t>à la Commission</w:t>
      </w:r>
    </w:p>
    <w:p>
      <w:pPr>
        <w:pStyle w:val="Arial10"/>
      </w:pPr>
      <w:r>
        <w:t>Article 138 du règlement intérieur</w:t>
      </w:r>
    </w:p>
    <w:p>
      <w:pPr>
        <w:pStyle w:val="Arial10After10"/>
      </w:pPr>
      <w:r>
        <w:rPr>
          <w:rStyle w:val="Bold"/>
        </w:rPr>
        <w:t>Michèle Rivasi</w:t>
      </w:r>
      <w:r>
        <w:t xml:space="preserve"> (</w:t>
      </w:r>
      <w:r>
        <w:t>Verts/ALE</w:t>
      </w:r>
      <w:r>
        <w:t xml:space="preserve">), </w:t>
      </w:r>
      <w:r>
        <w:rPr>
          <w:rStyle w:val="Bold"/>
        </w:rPr>
        <w:t>Klaus Buchner</w:t>
      </w:r>
      <w:r>
        <w:t xml:space="preserve"> (</w:t>
      </w:r>
      <w:r>
        <w:t>Verts/ALE</w:t>
      </w:r>
      <w:r>
        <w:t xml:space="preserve">), </w:t>
      </w:r>
      <w:r>
        <w:rPr>
          <w:rStyle w:val="Bold"/>
        </w:rPr>
        <w:t>Ivan Vilibor Sinčić</w:t>
      </w:r>
      <w:r>
        <w:t xml:space="preserve"> (</w:t>
      </w:r>
      <w:r>
        <w:t>NI</w:t>
      </w:r>
      <w:r>
        <w:t xml:space="preserve">), </w:t>
      </w:r>
      <w:r>
        <w:rPr>
          <w:rStyle w:val="Bold"/>
        </w:rPr>
        <w:t>Anja Hazekamp</w:t>
      </w:r>
      <w:r>
        <w:t xml:space="preserve"> (</w:t>
      </w:r>
      <w:r>
        <w:t>GUE/NGL</w:t>
      </w:r>
      <w:r>
        <w:t xml:space="preserve">), </w:t>
      </w:r>
      <w:r>
        <w:rPr>
          <w:rStyle w:val="Bold"/>
        </w:rPr>
        <w:t>Eleonora Evi</w:t>
      </w:r>
      <w:r>
        <w:t xml:space="preserve"> (</w:t>
      </w:r>
      <w:r>
        <w:t>NI</w:t>
      </w:r>
      <w:r>
        <w:t xml:space="preserve">), </w:t>
      </w:r>
      <w:r>
        <w:rPr>
          <w:rStyle w:val="Bold"/>
        </w:rPr>
        <w:t>Piernicola Pedicini</w:t>
      </w:r>
      <w:r>
        <w:t xml:space="preserve"> (</w:t>
      </w:r>
      <w:r>
        <w:t>NI</w:t>
      </w:r>
      <w:r>
        <w:t xml:space="preserve">), </w:t>
      </w:r>
      <w:r>
        <w:rPr>
          <w:rStyle w:val="Bold"/>
        </w:rPr>
        <w:t>Ivo Hristov</w:t>
      </w:r>
      <w:r>
        <w:t xml:space="preserve"> (</w:t>
      </w:r>
      <w:r>
        <w:t>S&amp;D</w:t>
      </w:r>
      <w:r>
        <w:t>)</w:t>
      </w:r>
    </w:p>
    <w:p>
      <w:pPr>
        <w:pStyle w:val="Subject"/>
      </w:pPr>
      <w:r>
        <w:t>Objet</w:t>
      </w:r>
      <w:r>
        <w:t>:</w:t>
      </w:r>
      <w:r>
        <w:tab/>
      </w:r>
      <w:r>
        <w:t>La 5G, le virus et l’effet immunodépresseur de l’exposition prolongée aux ondes électromagnétiques de radiofréquence</w:t>
      </w:r>
    </w:p>
    <w:p>
      <w:pPr>
        <w:pStyle w:val="Body"/>
      </w:pPr>
      <w:r>
        <w:t>Des études scientifiques montrent qu’une courte exposition aux ondes radio renforce le système immunitaire, mais qu’une exposition prolongée l’affaiblit. Ces deux effets ne sont pas contradictoires. Le mécanisme en cause est particulièrement bien compris et a été étudié dans de nombreux articles de recherche </w:t>
      </w:r>
      <w:r>
        <w:rPr>
          <w:rStyle w:val="FootnoteReference"/>
        </w:rPr>
        <w:footnoteReference w:id="0"/>
      </w:r>
      <w:r>
        <w:t xml:space="preserve">   </w:t>
      </w:r>
      <w:r>
        <w:rPr>
          <w:rStyle w:val="FootnoteReference"/>
        </w:rPr>
        <w:footnoteReference w:id="1"/>
      </w:r>
      <w:r>
        <w:t xml:space="preserve">   </w:t>
      </w:r>
      <w:r>
        <w:rPr>
          <w:rStyle w:val="FootnoteReference"/>
        </w:rPr>
        <w:footnoteReference w:id="2"/>
      </w:r>
      <w:r>
        <w:t xml:space="preserve">   </w:t>
      </w:r>
      <w:r>
        <w:rPr>
          <w:rStyle w:val="FootnoteReference"/>
        </w:rPr>
        <w:footnoteReference w:id="3"/>
      </w:r>
      <w:r>
        <w:t xml:space="preserve"> : les ondes radio ouvrent les canaux calciques des membranes cellulaires et augmentent la concentration en radicaux libres.</w:t>
      </w:r>
    </w:p>
    <w:p>
      <w:pPr>
        <w:pStyle w:val="Body"/>
      </w:pPr>
      <w:r>
        <w:t>L’ouverture des canaux calciques crée un environnement très favorable à la réplication des virus. Certains virus ouvrent en effet des canaux calciques pour pouvoir se répliquer. Cela a même été démontré dans le cas du coronavirus delta porcin (PDCoV) </w:t>
      </w:r>
      <w:r>
        <w:rPr>
          <w:rStyle w:val="FootnoteReference"/>
        </w:rPr>
        <w:footnoteReference w:id="4"/>
      </w:r>
      <w:r>
        <w:t xml:space="preserve"> .</w:t>
      </w:r>
    </w:p>
    <w:p>
      <w:pPr>
        <w:pStyle w:val="Body"/>
      </w:pPr>
      <w:r>
        <w:t>La propagation des infections virales est probablement accélérée par l’exposition aux ondes radio. Il faut tenir compte de ce cofacteur dans l’analyse de la pandémie actuelle, au même titre que la pollution de l’air et le tabagisme.</w:t>
      </w:r>
    </w:p>
    <w:p>
      <w:pPr>
        <w:pStyle w:val="itemList"/>
      </w:pPr>
      <w:r>
        <w:t>1.</w:t>
      </w:r>
      <w:r>
        <w:tab/>
      </w:r>
      <w:r>
        <w:t>La Commission a-t-elle tenu compte de l’effet immunodépresseur de l’exposition prolongée aux ondes électromagnétiques de radiofréquence avant de promouvoir la 5G et d’autres technologies similaires entraînant une exposition considérablement plus importante?</w:t>
      </w:r>
    </w:p>
    <w:p>
      <w:pPr>
        <w:pStyle w:val="itemList"/>
      </w:pPr>
      <w:r>
        <w:t>2.</w:t>
      </w:r>
      <w:r>
        <w:tab/>
      </w:r>
      <w:r>
        <w:t>La Commission a-t-elle envisagé que l’exposition aux ondes électromagnétiques de radiofréquence pouvait accélérer la réplication des virus?</w:t>
      </w:r>
    </w:p>
    <w:p>
      <w:pPr>
        <w:pStyle w:val="itemList"/>
      </w:pPr>
      <w:r>
        <w:t>3.</w:t>
      </w:r>
      <w:r>
        <w:tab/>
      </w:r>
      <w:r>
        <w:t>Quel organe consultatif présente à la Commission les données utiles concernant les effets des ondes électromagnétiques sur la santé?</w:t>
      </w:r>
    </w:p>
    <w:sectPr>
      <w:footerReference w:type="even" r:id="rId5"/>
      <w:footerReference w:type="default" r:id="rId6"/>
      <w:footerReference w:type="first" r:id="rId7"/>
      <w:pgSz w:w="11906" w:h="16838"/>
      <w:pgMar w:top="1440" w:right="1440" w:bottom="2000" w:left="1440" w:header="568" w:footer="568" w:gutter="0"/>
      <w:cols w:num="1"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PE651.410v01-00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PE651.410v01-00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tab/>
    </w:r>
    <w:r>
      <w:tab/>
    </w:r>
    <w:r>
      <w:t>PE651.410v01-00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0">
    <w:p>
      <w:pPr>
        <w:pStyle w:val="FootnoteText"/>
      </w:pPr>
      <w:r>
        <w:rPr>
          <w:rStyle w:val="FootnoteReference"/>
        </w:rPr>
        <w:footnoteRef/>
      </w:r>
      <w:r>
        <w:t xml:space="preserve"> </w:t>
      </w:r>
      <w:r>
        <w:tab/>
      </w:r>
      <w:r>
        <w:t xml:space="preserve">Voir par exemple, El-Gohary O.A. and Said M.A., ‘Effect of electromagnetic waves from mobile phone on immune status of male rats: Possible protective role of vitamin D’, </w:t>
      </w:r>
      <w:r>
        <w:rPr>
          <w:rStyle w:val="Italic"/>
        </w:rPr>
        <w:t xml:space="preserve"> Canadian Journal of Physiology and Pharmacology</w:t>
      </w:r>
      <w:r>
        <w:t xml:space="preserve"> , 95, Canadian Science Publishing, Ottawa, 2017, p. 151-156.</w:t>
      </w:r>
    </w:p>
  </w:footnote>
  <w:footnote w:id="1">
    <w:p>
      <w:pPr>
        <w:pStyle w:val="FootnoteText"/>
      </w:pPr>
      <w:r>
        <w:rPr>
          <w:rStyle w:val="FootnoteReference"/>
        </w:rPr>
        <w:footnoteRef/>
      </w:r>
      <w:r>
        <w:t xml:space="preserve"> </w:t>
      </w:r>
      <w:r>
        <w:tab/>
      </w:r>
      <w:r>
        <w:t xml:space="preserve">Szmigielski S., ‘Reaction of the immune system to low-level RF/MW exposures’, </w:t>
      </w:r>
      <w:r>
        <w:rPr>
          <w:rStyle w:val="Italic"/>
        </w:rPr>
        <w:t xml:space="preserve"> Science of the Total Environment</w:t>
      </w:r>
      <w:r>
        <w:t xml:space="preserve"> , Elsevier, Amsterdam, 2013, p. 454-455.</w:t>
      </w:r>
    </w:p>
  </w:footnote>
  <w:footnote w:id="2">
    <w:p>
      <w:pPr>
        <w:pStyle w:val="FootnoteText"/>
      </w:pPr>
      <w:r>
        <w:rPr>
          <w:rStyle w:val="FootnoteReference"/>
        </w:rPr>
        <w:footnoteRef/>
      </w:r>
      <w:r>
        <w:t xml:space="preserve"> </w:t>
      </w:r>
      <w:r>
        <w:tab/>
      </w:r>
      <w:r>
        <w:t xml:space="preserve">Johansson O., ‘Disturbance of the immune system by electromagnetic fields – A potentially underlying cause for cellular damage and tissue repair reduction which could lead to disease and impairment’, </w:t>
      </w:r>
      <w:r>
        <w:rPr>
          <w:rStyle w:val="Italic"/>
        </w:rPr>
        <w:t xml:space="preserve"> Pathophysiology,</w:t>
      </w:r>
      <w:r>
        <w:t xml:space="preserve"> 16, Elsevier, Amsterdam, 2009, p. 157–177.</w:t>
      </w:r>
    </w:p>
  </w:footnote>
  <w:footnote w:id="3">
    <w:p>
      <w:pPr>
        <w:pStyle w:val="FootnoteText"/>
      </w:pPr>
      <w:r>
        <w:rPr>
          <w:rStyle w:val="FootnoteReference"/>
        </w:rPr>
        <w:footnoteRef/>
      </w:r>
      <w:r>
        <w:t xml:space="preserve"> </w:t>
      </w:r>
      <w:r>
        <w:tab/>
      </w:r>
      <w:r>
        <w:t xml:space="preserve">Yakymenko I et al., ‘Oxidative mechanisms of biological activity of low-intensity radiofrequency radiation’, </w:t>
      </w:r>
      <w:r>
        <w:rPr>
          <w:rStyle w:val="Italic"/>
        </w:rPr>
        <w:t xml:space="preserve"> Electromagnetic Biology and Medicine</w:t>
      </w:r>
      <w:r>
        <w:t xml:space="preserve"> , 35(2), Taylor and Francis Online, London, 2016, p. 186-202.</w:t>
      </w:r>
    </w:p>
  </w:footnote>
  <w:footnote w:id="4">
    <w:p>
      <w:pPr>
        <w:pStyle w:val="FootnoteText"/>
      </w:pPr>
      <w:r>
        <w:rPr>
          <w:rStyle w:val="FootnoteReference"/>
        </w:rPr>
        <w:footnoteRef/>
      </w:r>
      <w:r>
        <w:t xml:space="preserve"> </w:t>
      </w:r>
      <w:r>
        <w:tab/>
      </w:r>
      <w:r>
        <w:t xml:space="preserve">Ponnusamy R., Moll R., Weimar T., Mesters J.R., Hilgenfeld R., ‘Variable oligomerization modes in coronavirus non-structural protein 9’, </w:t>
      </w:r>
      <w:r>
        <w:rPr>
          <w:rStyle w:val="Italic"/>
        </w:rPr>
        <w:t xml:space="preserve"> Journal of Molecular Biology</w:t>
      </w:r>
      <w:r>
        <w:t xml:space="preserve"> , 383, Elsevier, Amsterdam, 2008, p. 1081-1096.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tabs>
        <w:tab w:val="left" w:pos="425"/>
        <w:tab w:val="left" w:pos="851"/>
        <w:tab w:val="left" w:pos="1276"/>
      </w:tabs>
      <w:spacing w:after="240"/>
    </w:pPr>
    <w:rPr>
      <w:rFonts w:ascii="Arial" w:hAnsi="Arial"/>
    </w:rPr>
  </w:style>
  <w:style w:type="paragraph" w:styleId="Heading1">
    <w:name w:val="heading 1"/>
    <w:basedOn w:val="Normal"/>
    <w:next w:val="Normal"/>
    <w:link w:val="Heading1Char"/>
    <w:qFormat/>
    <w:rsid w:val="004B33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rsid w:val="00782D12"/>
    <w:rPr>
      <w:rFonts w:ascii="Arial" w:hAnsi="Arial" w:cs="Arial"/>
      <w:b w:val="0"/>
      <w:i w:val="0"/>
      <w:caps w:val="0"/>
      <w:smallCaps w:val="0"/>
      <w:strike w:val="0"/>
      <w:dstrike w:val="0"/>
      <w:vanish w:val="0"/>
      <w:color w:val="auto"/>
      <w:spacing w:val="0"/>
      <w:w w:val="100"/>
      <w:kern w:val="0"/>
      <w:position w:val="0"/>
      <w:sz w:val="18"/>
      <w:u w:val="none"/>
      <w:effect w:val="none"/>
      <w:vertAlign w:val="superscript"/>
    </w:rPr>
  </w:style>
  <w:style w:type="paragraph" w:styleId="Header">
    <w:name w:val="header"/>
    <w:basedOn w:val="Normal"/>
    <w:pPr>
      <w:tabs>
        <w:tab w:val="center" w:pos="4153"/>
        <w:tab w:val="right" w:pos="8306"/>
      </w:tabs>
    </w:pPr>
  </w:style>
  <w:style w:type="paragraph" w:styleId="Footer">
    <w:name w:val="footer"/>
    <w:basedOn w:val="Normal"/>
    <w:rsid w:val="00F816F6"/>
    <w:pPr>
      <w:tabs>
        <w:tab w:val="clear" w:pos="425"/>
        <w:tab w:val="clear" w:pos="851"/>
        <w:tab w:val="clear" w:pos="1276"/>
        <w:tab w:val="center" w:pos="4536"/>
        <w:tab w:val="right" w:pos="9072"/>
      </w:tabs>
      <w:spacing w:before="240"/>
    </w:pPr>
    <w:rPr>
      <w:snapToGrid w:val="0"/>
      <w:sz w:val="22"/>
    </w:rPr>
  </w:style>
  <w:style w:type="character" w:styleId="PageNumber">
    <w:name w:val="page number"/>
    <w:basedOn w:val="DefaultParagraphFont"/>
  </w:style>
  <w:style w:type="paragraph" w:styleId="FootnoteText">
    <w:name w:val="footnote text"/>
    <w:semiHidden/>
    <w:rsid w:val="003D124A"/>
    <w:pPr>
      <w:tabs>
        <w:tab w:val="left" w:pos="284"/>
      </w:tabs>
      <w:ind w:left="284" w:hanging="284"/>
    </w:pPr>
    <w:rPr>
      <w:rFonts w:ascii="Arial" w:hAnsi="Arial"/>
      <w:sz w:val="18"/>
    </w:rPr>
  </w:style>
  <w:style w:type="paragraph" w:styleId="BalloonText">
    <w:name w:val="Balloon Text"/>
    <w:basedOn w:val="Normal"/>
    <w:semiHidden/>
    <w:rsid w:val="00CD005F"/>
    <w:rPr>
      <w:rFonts w:ascii="Tahoma" w:hAnsi="Tahoma" w:cs="Tahoma"/>
      <w:sz w:val="16"/>
      <w:szCs w:val="16"/>
    </w:rPr>
  </w:style>
  <w:style w:type="character" w:customStyle="1" w:styleId="Bold">
    <w:name w:val="Bold"/>
    <w:basedOn w:val="DefaultParagraphFont"/>
    <w:uiPriority w:val="1"/>
    <w:qFormat/>
    <w:rsid w:val="00344A81"/>
    <w:rPr>
      <w:rFonts w:ascii="Arial" w:hAnsi="Arial"/>
      <w:b/>
      <w:sz w:val="20"/>
    </w:rPr>
  </w:style>
  <w:style w:type="character" w:customStyle="1" w:styleId="Heading1Char">
    <w:name w:val="Heading 1 Char"/>
    <w:basedOn w:val="DefaultParagraphFont"/>
    <w:link w:val="Heading1"/>
    <w:rsid w:val="004B3311"/>
    <w:rPr>
      <w:rFonts w:asciiTheme="majorHAnsi" w:eastAsiaTheme="majorEastAsia" w:hAnsiTheme="majorHAnsi" w:cstheme="majorBidi"/>
      <w:b/>
      <w:bCs/>
      <w:snapToGrid w:val="0"/>
      <w:color w:val="365F91" w:themeColor="accent1" w:themeShade="BF"/>
      <w:sz w:val="28"/>
      <w:szCs w:val="28"/>
      <w:lang w:eastAsia="en-US"/>
    </w:rPr>
  </w:style>
  <w:style w:type="paragraph" w:customStyle="1" w:styleId="Arial10">
    <w:name w:val="Arial10"/>
    <w:qFormat/>
    <w:rsid w:val="003A12E2"/>
    <w:rPr>
      <w:rFonts w:ascii="Arial" w:hAnsi="Arial"/>
    </w:rPr>
  </w:style>
  <w:style w:type="character" w:styleId="Hyperlink">
    <w:name w:val="Hyperlink"/>
    <w:basedOn w:val="DefaultParagraphFont"/>
    <w:uiPriority w:val="99"/>
    <w:unhideWhenUsed/>
    <w:rsid w:val="008E6344"/>
    <w:rPr>
      <w:color w:val="0000FF"/>
      <w:u w:val="single"/>
    </w:rPr>
  </w:style>
  <w:style w:type="paragraph" w:customStyle="1" w:styleId="Arial10After10">
    <w:name w:val="Arial10After10"/>
    <w:basedOn w:val="Arial10"/>
    <w:qFormat/>
    <w:rsid w:val="008E6344"/>
    <w:pPr>
      <w:spacing w:after="200"/>
    </w:pPr>
  </w:style>
  <w:style w:type="paragraph" w:customStyle="1" w:styleId="Subject">
    <w:name w:val="Subject"/>
    <w:basedOn w:val="Arial10"/>
    <w:qFormat/>
    <w:rsid w:val="00E275FC"/>
    <w:pPr>
      <w:tabs>
        <w:tab w:val="left" w:pos="1134"/>
      </w:tabs>
      <w:spacing w:after="240"/>
      <w:ind w:left="1134" w:hanging="1134"/>
    </w:pPr>
  </w:style>
  <w:style w:type="paragraph" w:customStyle="1" w:styleId="Body">
    <w:name w:val="Body"/>
    <w:qFormat/>
    <w:rsid w:val="006822FA"/>
    <w:pPr>
      <w:tabs>
        <w:tab w:val="left" w:pos="425"/>
        <w:tab w:val="left" w:pos="851"/>
        <w:tab w:val="left" w:pos="1276"/>
      </w:tabs>
      <w:spacing w:after="240"/>
    </w:pPr>
    <w:rPr>
      <w:rFonts w:ascii="Arial" w:hAnsi="Arial"/>
    </w:rPr>
  </w:style>
  <w:style w:type="paragraph" w:customStyle="1" w:styleId="LeftHanging">
    <w:name w:val="LeftHanging"/>
    <w:qFormat/>
    <w:rsid w:val="00BD0F1F"/>
    <w:pPr>
      <w:spacing w:before="240"/>
      <w:ind w:left="425" w:hanging="425"/>
    </w:pPr>
    <w:rPr>
      <w:rFonts w:ascii="Arial" w:hAnsi="Arial"/>
    </w:rPr>
  </w:style>
  <w:style w:type="paragraph" w:customStyle="1" w:styleId="LeftHangingAfter">
    <w:name w:val="LeftHangingAfter"/>
    <w:basedOn w:val="LeftHanging"/>
    <w:qFormat/>
    <w:rsid w:val="00AB7C55"/>
    <w:pPr>
      <w:spacing w:before="0"/>
    </w:pPr>
  </w:style>
  <w:style w:type="paragraph" w:customStyle="1" w:styleId="itemList">
    <w:name w:val="itemList"/>
    <w:qFormat/>
    <w:rsid w:val="005024D7"/>
    <w:pPr>
      <w:tabs>
        <w:tab w:val="left" w:pos="425"/>
        <w:tab w:val="left" w:pos="851"/>
        <w:tab w:val="left" w:pos="1276"/>
      </w:tabs>
      <w:spacing w:after="240"/>
      <w:ind w:left="425" w:hanging="425"/>
    </w:pPr>
    <w:rPr>
      <w:rFonts w:ascii="Arial" w:hAnsi="Arial"/>
    </w:rPr>
  </w:style>
  <w:style w:type="paragraph" w:customStyle="1" w:styleId="Supporter">
    <w:name w:val="Supporter"/>
    <w:basedOn w:val="Body"/>
    <w:qFormat/>
    <w:rsid w:val="00CD50AF"/>
    <w:pPr>
      <w:spacing w:before="840"/>
    </w:pPr>
  </w:style>
  <w:style w:type="paragraph" w:customStyle="1" w:styleId="Footer2">
    <w:name w:val="Footer2"/>
    <w:basedOn w:val="Normal"/>
    <w:link w:val="Footer2Char"/>
    <w:qFormat/>
    <w:rsid w:val="000B4A67"/>
    <w:pPr>
      <w:tabs>
        <w:tab w:val="clear" w:pos="425"/>
        <w:tab w:val="clear" w:pos="851"/>
        <w:tab w:val="clear" w:pos="1276"/>
        <w:tab w:val="center" w:pos="4536"/>
        <w:tab w:val="right" w:pos="9923"/>
      </w:tabs>
      <w:ind w:left="-851" w:right="-851"/>
    </w:pPr>
    <w:rPr>
      <w:sz w:val="48"/>
    </w:rPr>
  </w:style>
  <w:style w:type="character" w:customStyle="1" w:styleId="Footer2Lang">
    <w:name w:val="Footer2Lang"/>
    <w:uiPriority w:val="1"/>
    <w:qFormat/>
    <w:rsid w:val="000B4A67"/>
    <w:rPr>
      <w:rFonts w:ascii="Arial" w:hAnsi="Arial"/>
      <w:b/>
      <w:sz w:val="48"/>
    </w:rPr>
  </w:style>
  <w:style w:type="character" w:customStyle="1" w:styleId="Footer2Char">
    <w:name w:val="Footer2 Char"/>
    <w:basedOn w:val="DefaultParagraphFont"/>
    <w:link w:val="Footer2"/>
    <w:rsid w:val="000B4A67"/>
    <w:rPr>
      <w:rFonts w:ascii="Arial" w:hAnsi="Arial"/>
      <w:sz w:val="48"/>
    </w:rPr>
  </w:style>
  <w:style w:type="character" w:customStyle="1" w:styleId="Footer2Middle">
    <w:name w:val="Footer2Middle"/>
    <w:uiPriority w:val="1"/>
    <w:qFormat/>
    <w:rsid w:val="000B4A67"/>
    <w:rPr>
      <w:rFonts w:ascii="Arial" w:hAnsi="Arial"/>
      <w:i/>
      <w:color w:val="BFBFBF" w:themeColor="background1" w:themeShade="BF"/>
      <w:sz w:val="22"/>
    </w:rPr>
  </w:style>
  <w:style w:type="paragraph" w:customStyle="1" w:styleId="SessionDocument">
    <w:name w:val="SessionDocument"/>
    <w:qFormat/>
    <w:rsid w:val="00F63011"/>
    <w:pPr>
      <w:jc w:val="center"/>
    </w:pPr>
    <w:rPr>
      <w:rFonts w:ascii="Arial" w:hAnsi="Arial"/>
      <w:i/>
      <w:sz w:val="22"/>
    </w:rPr>
  </w:style>
  <w:style w:type="paragraph" w:customStyle="1" w:styleId="LineBottom">
    <w:name w:val="LineBottom"/>
    <w:qFormat/>
    <w:rsid w:val="00C01FA6"/>
    <w:pPr>
      <w:pBdr>
        <w:bottom w:val="single" w:sz="4" w:space="1" w:color="auto"/>
      </w:pBdr>
      <w:spacing w:after="1080"/>
      <w:jc w:val="center"/>
    </w:pPr>
    <w:rPr>
      <w:rFonts w:ascii="Arial" w:hAnsi="Arial"/>
      <w:sz w:val="16"/>
    </w:rPr>
  </w:style>
  <w:style w:type="paragraph" w:customStyle="1" w:styleId="LineTop">
    <w:name w:val="LineTop"/>
    <w:next w:val="SessionDocument"/>
    <w:qFormat/>
    <w:rsid w:val="00884286"/>
    <w:pPr>
      <w:pBdr>
        <w:top w:val="single" w:sz="4" w:space="1" w:color="auto"/>
      </w:pBdr>
    </w:pPr>
    <w:rPr>
      <w:rFonts w:ascii="Arial" w:hAnsi="Arial"/>
      <w:sz w:val="16"/>
    </w:rPr>
  </w:style>
  <w:style w:type="paragraph" w:customStyle="1" w:styleId="EPLogo">
    <w:name w:val="EPLogo"/>
    <w:basedOn w:val="Normal"/>
    <w:qFormat/>
    <w:rsid w:val="00A05278"/>
    <w:pPr>
      <w:jc w:val="right"/>
    </w:pPr>
  </w:style>
  <w:style w:type="paragraph" w:customStyle="1" w:styleId="EPName">
    <w:name w:val="EPName"/>
    <w:basedOn w:val="Normal"/>
    <w:qFormat/>
    <w:rsid w:val="00475435"/>
    <w:pPr>
      <w:spacing w:before="80" w:after="80"/>
    </w:pPr>
    <w:rPr>
      <w:rFonts w:ascii="Arial Narrow" w:hAnsi="Arial Narrow"/>
      <w:b/>
      <w:color w:val="000000" w:themeColor="text1"/>
      <w:sz w:val="32"/>
    </w:rPr>
  </w:style>
  <w:style w:type="paragraph" w:customStyle="1" w:styleId="EPTerm">
    <w:name w:val="EPTerm"/>
    <w:basedOn w:val="Normal"/>
    <w:next w:val="Normal"/>
    <w:qFormat/>
    <w:rsid w:val="00475435"/>
    <w:pPr>
      <w:spacing w:after="80"/>
    </w:pPr>
  </w:style>
  <w:style w:type="paragraph" w:customStyle="1" w:styleId="Arial10Date">
    <w:name w:val="Arial10Date"/>
    <w:basedOn w:val="Arial10"/>
    <w:qFormat/>
    <w:rsid w:val="00E258AE"/>
    <w:pPr>
      <w:tabs>
        <w:tab w:val="left" w:pos="0"/>
        <w:tab w:val="right" w:pos="9072"/>
      </w:tabs>
      <w:spacing w:after="400"/>
    </w:pPr>
  </w:style>
  <w:style w:type="character" w:customStyle="1" w:styleId="HideTWBExt">
    <w:name w:val="HideTWBExt"/>
    <w:uiPriority w:val="1"/>
    <w:qFormat/>
    <w:rsid w:val="00DC6131"/>
    <w:rPr>
      <w:rFonts w:ascii="Arial" w:hAnsi="Arial"/>
      <w:vanish/>
      <w:color w:val="1F497D" w:themeColor="text2"/>
      <w:sz w:val="20"/>
    </w:rPr>
  </w:style>
  <w:style w:type="character" w:customStyle="1" w:styleId="Italic">
    <w:name w:val="Italic"/>
    <w:uiPriority w:val="1"/>
    <w:qFormat/>
    <w:rsid w:val="00644428"/>
    <w:rPr>
      <w:i/>
    </w:rPr>
  </w:style>
  <w:style w:type="character" w:customStyle="1" w:styleId="Sub">
    <w:name w:val="Sub"/>
    <w:uiPriority w:val="1"/>
    <w:qFormat/>
    <w:rsid w:val="00776240"/>
    <w:rPr>
      <w:vertAlign w:val="subscript"/>
    </w:rPr>
  </w:style>
  <w:style w:type="character" w:customStyle="1" w:styleId="Sup">
    <w:name w:val="Sup"/>
    <w:uiPriority w:val="1"/>
    <w:qFormat/>
    <w:rsid w:val="00776240"/>
    <w:rPr>
      <w:vertAlign w:val="superscript"/>
    </w:rPr>
  </w:style>
  <w:style w:type="character" w:customStyle="1" w:styleId="ItalicSub">
    <w:name w:val="ItalicSub"/>
    <w:uiPriority w:val="1"/>
    <w:qFormat/>
    <w:rsid w:val="00776240"/>
    <w:rPr>
      <w:i/>
      <w:vertAlign w:val="subscript"/>
    </w:rPr>
  </w:style>
  <w:style w:type="character" w:customStyle="1" w:styleId="ItalicSup">
    <w:name w:val="ItalicSup"/>
    <w:uiPriority w:val="1"/>
    <w:qFormat/>
    <w:rsid w:val="00776240"/>
    <w:rPr>
      <w:i/>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 prioritaire avec demande de réponse écrite</dc:title>
  <dc:creator>e-Parliament@europarl.europa.eu</dc:creator>
  <cp:lastModifiedBy>e-Parliament@europarl.europa.eu</cp:lastModifiedBy>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XMLUID">
    <vt:lpwstr>20201005-124737-130320-599123</vt:lpwstr>
  </property>
</Properties>
</file>