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Kirjallisesti vastattava ensisijainen kysymys  P-006194/2020</w:t>
      </w:r>
    </w:p>
    <w:p>
      <w:pPr>
        <w:pStyle w:val="Arial10"/>
      </w:pPr>
      <w:r>
        <w:rPr>
          <w:rStyle w:val="Bold"/>
        </w:rPr>
        <w:t xml:space="preserve">komissiolle </w:t>
      </w:r>
    </w:p>
    <w:p>
      <w:pPr>
        <w:pStyle w:val="Arial10"/>
      </w:pPr>
      <w:r>
        <w:t>työjärjestyksen 138 artikla</w:t>
      </w:r>
    </w:p>
    <w:p>
      <w:pPr>
        <w:pStyle w:val="Arial10After10"/>
      </w:pPr>
      <w:r>
        <w:rPr>
          <w:rStyle w:val="Bold"/>
        </w:rPr>
        <w:t>Pär Holmgren</w:t>
      </w:r>
      <w:r>
        <w:t xml:space="preserve"> (</w:t>
      </w:r>
      <w:r>
        <w:t>Verts/ALE</w:t>
      </w:r>
      <w:r>
        <w:t xml:space="preserve">), </w:t>
      </w:r>
      <w:r>
        <w:rPr>
          <w:rStyle w:val="Bold"/>
        </w:rPr>
        <w:t>Marie Toussaint</w:t>
      </w:r>
      <w:r>
        <w:t xml:space="preserve"> (</w:t>
      </w:r>
      <w:r>
        <w:t>Verts/ALE</w:t>
      </w:r>
      <w:r>
        <w:t xml:space="preserve">), </w:t>
      </w:r>
      <w:r>
        <w:rPr>
          <w:rStyle w:val="Bold"/>
        </w:rPr>
        <w:t>Martin Häusling</w:t>
      </w:r>
      <w:r>
        <w:t xml:space="preserve"> (</w:t>
      </w:r>
      <w:r>
        <w:t>Verts/ALE</w:t>
      </w:r>
      <w:r>
        <w:t xml:space="preserve">), </w:t>
      </w:r>
      <w:r>
        <w:rPr>
          <w:rStyle w:val="Bold"/>
        </w:rPr>
        <w:t>Mounir Satouri</w:t>
      </w:r>
      <w:r>
        <w:t xml:space="preserve"> (</w:t>
      </w:r>
      <w:r>
        <w:t>Verts/ALE</w:t>
      </w:r>
      <w:r>
        <w:t xml:space="preserve">), </w:t>
      </w:r>
      <w:r>
        <w:rPr>
          <w:rStyle w:val="Bold"/>
        </w:rPr>
        <w:t>Sylwia Spurek</w:t>
      </w:r>
      <w:r>
        <w:t xml:space="preserve"> (</w:t>
      </w:r>
      <w:r>
        <w:t>Verts/ALE</w:t>
      </w:r>
      <w:r>
        <w:t xml:space="preserve">), </w:t>
      </w:r>
      <w:r>
        <w:rPr>
          <w:rStyle w:val="Bold"/>
        </w:rPr>
        <w:t>Alice Kuhnke</w:t>
      </w:r>
      <w:r>
        <w:t xml:space="preserve"> (</w:t>
      </w:r>
      <w:r>
        <w:t>Verts/ALE</w:t>
      </w:r>
      <w:r>
        <w:t xml:space="preserve">), </w:t>
      </w:r>
      <w:r>
        <w:rPr>
          <w:rStyle w:val="Bold"/>
        </w:rPr>
        <w:t>Thomas Waitz</w:t>
      </w:r>
      <w:r>
        <w:t xml:space="preserve"> (</w:t>
      </w:r>
      <w:r>
        <w:t>Verts/ALE</w:t>
      </w:r>
      <w:r>
        <w:t xml:space="preserve">), </w:t>
      </w:r>
      <w:r>
        <w:rPr>
          <w:rStyle w:val="Bold"/>
        </w:rPr>
        <w:t>Manuela Ripa</w:t>
      </w:r>
      <w:r>
        <w:t xml:space="preserve"> (</w:t>
      </w:r>
      <w:r>
        <w:t>Verts/ALE</w:t>
      </w:r>
      <w:r>
        <w:t xml:space="preserve">), </w:t>
      </w:r>
      <w:r>
        <w:rPr>
          <w:rStyle w:val="Bold"/>
        </w:rPr>
        <w:t>Grace O'Sullivan</w:t>
      </w:r>
      <w:r>
        <w:t xml:space="preserve"> (</w:t>
      </w:r>
      <w:r>
        <w:t>Verts/ALE</w:t>
      </w:r>
      <w:r>
        <w:t xml:space="preserve">), </w:t>
      </w:r>
      <w:r>
        <w:rPr>
          <w:rStyle w:val="Bold"/>
        </w:rPr>
        <w:t>Ville Niinistö</w:t>
      </w:r>
      <w:r>
        <w:t xml:space="preserve"> (</w:t>
      </w:r>
      <w:r>
        <w:t>Verts/ALE</w:t>
      </w:r>
      <w:r>
        <w:t xml:space="preserve">), </w:t>
      </w:r>
      <w:r>
        <w:rPr>
          <w:rStyle w:val="Bold"/>
        </w:rPr>
        <w:t>Claude Gruffat</w:t>
      </w:r>
      <w:r>
        <w:t xml:space="preserve"> (</w:t>
      </w:r>
      <w:r>
        <w:t>Verts/ALE</w:t>
      </w:r>
      <w:r>
        <w:t>)</w:t>
      </w:r>
    </w:p>
    <w:p>
      <w:pPr>
        <w:pStyle w:val="Subject"/>
      </w:pPr>
      <w:r>
        <w:t>Aihe</w:t>
      </w:r>
      <w:r>
        <w:t>:</w:t>
      </w:r>
      <w:r>
        <w:tab/>
      </w:r>
      <w:r>
        <w:t>Uudet covid-19-viruskannat ja tarve lakkauttaa lopullisesti minkkitarhaus EU:ssa</w:t>
      </w:r>
    </w:p>
    <w:p>
      <w:pPr>
        <w:pStyle w:val="Body"/>
      </w:pPr>
      <w:r>
        <w:t>Euroopassa tuotetaan noin 39 miljoonaa minkkiä, ja sen osuus maailman minkinnahkojen viennistä on 70–80 prosenttia. Toukokuussa covid-19-tartunnat levisivät minkkeihin Alankomaissa. Komission puolesta 3. elokuuta 2020 antamassaan kirjallisessa vastauksessa komission jäsen Kyriakides totesi, että turkistarhauksen kieltäminen covid-19-pandemian yhteydessä ei olisi perusteltu ja oikeasuhteinen toimenpide.</w:t>
      </w:r>
    </w:p>
    <w:p>
      <w:pPr>
        <w:pStyle w:val="Body"/>
      </w:pPr>
      <w:r>
        <w:t>Tämän jälkeen viisi EU-maata on ilmoittanut covid-19-taudin esiintymisestä minkkitarhoilla, ja tanskalaisilla minkkitarhoilla on kehittynyt uusia viruskantoja, jotka uhkaavat tulevien rokotteiden toimivuutta.</w:t>
      </w:r>
    </w:p>
    <w:p>
      <w:pPr>
        <w:pStyle w:val="Body"/>
      </w:pPr>
      <w:r>
        <w:t>Kun otetaan huomioon näiden tapahtumien mahdollisesti tuhoisat maailmanlaajuiset seuraukset, katsooko komissio edelleen, että turkistarhauksen kieltäminen on kohtuutonta ja perusteetonta?</w:t>
      </w:r>
    </w:p>
    <w:p>
      <w:pPr>
        <w:pStyle w:val="Body"/>
      </w:pPr>
      <w:r>
        <w:t>Entä miten sääntelyn toimivuutta ja tuloksellisuutta koskevan ohjelman (REFIT) puitteissa toteutettavassa vuosille 2012–2015 laaditun eläinten hyvinvointia koskevan strategian arvioinnissa otetaan huomioon paitsi tehoviljelystä aiheutuvat mikrobilääkeresistenssiriskit myös zoonoosien riski?</w:t>
      </w:r>
    </w:p>
    <w:p>
      <w:pPr>
        <w:pStyle w:val="Body"/>
      </w:pPr>
      <w:r>
        <w:t>Monissa jäsenvaltioissa on jo aloitettu minkkitarhauksen lakkauttaminen vaiheittain tai niissä harkitaan tätä koskevaa lainsäädäntöä. Esitetäänkö seuraavassa EU:n laajuisessa eläinten hyvinvointia koskevassa strategiassa suunnitelma ja harmonisointitoimet häkkikasvatuksen ja turkistarhauksen vaiheittaista lakkauttamista varten, mikä paitsi edistäisi eläinten hyvinvointia myös auttaisi ennakoimaan ja ehkäisemään zoonooseja ja terveyskriisejä sekä varmistaisi tasapuoliset toimintaedellytykset?</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PE661.319v01-00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PE661.319v01-00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PE661.319v01-00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Kirjallisesti vastattava ensisijainen kysymys</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20201118-162144-185790-208069</vt:lpwstr>
  </property>
</Properties>
</file>