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Priority question for written answer P-000253/2023</w:t>
      </w:r>
    </w:p>
    <w:p>
      <w:pPr>
        <w:pStyle w:val="Arial10"/>
      </w:pPr>
      <w:r>
        <w:rPr>
          <w:rStyle w:val="Bold"/>
        </w:rPr>
        <w:t>to the Commission</w:t>
      </w:r>
    </w:p>
    <w:p>
      <w:pPr>
        <w:pStyle w:val="Arial10"/>
      </w:pPr>
      <w:r>
        <w:t>Rule 138</w:t>
      </w:r>
    </w:p>
    <w:p>
      <w:pPr>
        <w:pStyle w:val="Arial10After10"/>
      </w:pPr>
      <w:r>
        <w:rPr>
          <w:rStyle w:val="Bold"/>
        </w:rPr>
        <w:t>Simona Baldassarre</w:t>
      </w:r>
      <w:r>
        <w:t xml:space="preserve"> (</w:t>
      </w:r>
      <w:r>
        <w:t>ID</w:t>
      </w:r>
      <w:r>
        <w:t xml:space="preserve">), </w:t>
      </w:r>
      <w:r>
        <w:rPr>
          <w:rStyle w:val="Bold"/>
        </w:rPr>
        <w:t>Silvia Sardone</w:t>
      </w:r>
      <w:r>
        <w:t xml:space="preserve"> (</w:t>
      </w:r>
      <w:r>
        <w:t>ID</w:t>
      </w:r>
      <w:r>
        <w:t xml:space="preserve">), </w:t>
      </w:r>
      <w:r>
        <w:rPr>
          <w:rStyle w:val="Bold"/>
        </w:rPr>
        <w:t>Gianantonio Da Re</w:t>
      </w:r>
      <w:r>
        <w:t xml:space="preserve"> (</w:t>
      </w:r>
      <w:r>
        <w:t>ID</w:t>
      </w:r>
      <w:r>
        <w:t xml:space="preserve">), </w:t>
      </w:r>
      <w:r>
        <w:rPr>
          <w:rStyle w:val="Bold"/>
        </w:rPr>
        <w:t>Isabella Tovaglieri</w:t>
      </w:r>
      <w:r>
        <w:t xml:space="preserve"> (</w:t>
      </w:r>
      <w:r>
        <w:t>ID</w:t>
      </w:r>
      <w:r>
        <w:t xml:space="preserve">), </w:t>
      </w:r>
      <w:r>
        <w:rPr>
          <w:rStyle w:val="Bold"/>
        </w:rPr>
        <w:t>Paolo Borchia</w:t>
      </w:r>
      <w:r>
        <w:t xml:space="preserve"> (</w:t>
      </w:r>
      <w:r>
        <w:t>ID</w:t>
      </w:r>
      <w:r>
        <w:t xml:space="preserve">), </w:t>
      </w:r>
      <w:r>
        <w:rPr>
          <w:rStyle w:val="Bold"/>
        </w:rPr>
        <w:t>Valentino Grant</w:t>
      </w:r>
      <w:r>
        <w:t xml:space="preserve"> (</w:t>
      </w:r>
      <w:r>
        <w:t>ID</w:t>
      </w:r>
      <w:r>
        <w:t>)</w:t>
      </w:r>
    </w:p>
    <w:p>
      <w:pPr>
        <w:pStyle w:val="Subject"/>
      </w:pPr>
      <w:r>
        <w:t>Subject</w:t>
      </w:r>
      <w:r>
        <w:t>:</w:t>
      </w:r>
      <w:r>
        <w:tab/>
      </w:r>
      <w:r>
        <w:t>Negative impact of the Commission’s proposal for a revision of the Energy Performance of Buildings Directive</w:t>
      </w:r>
    </w:p>
    <w:p>
      <w:pPr>
        <w:pStyle w:val="Body"/>
      </w:pPr>
      <w:r>
        <w:t>According to the Commission’s proposal for a revision of the Energy Performance of Buildings Directive, residential buildings should be renovated to energy performance level F by 2030 and at least level E by 2033, in line with the target of achieving zero-emission building stock by 2050.</w:t>
      </w:r>
    </w:p>
    <w:p>
      <w:pPr>
        <w:pStyle w:val="Body"/>
      </w:pPr>
      <w:r>
        <w:t>However, in Italy alone, more than 9 million of its 12.2 million buildings would not meet these standards. Some 74% of buildings were built before the entry into force of the comprehensive legislation on energy saving and seismic safety, and 35.3% of buildings have a G rating. The costs would therefore be enormous, even without taking into account the current state of the European economy as a result of the pandemic and the war in Ukraine.</w:t>
      </w:r>
    </w:p>
    <w:p>
      <w:pPr>
        <w:pStyle w:val="Body"/>
      </w:pPr>
      <w:r>
        <w:t>In view of the above:</w:t>
      </w:r>
    </w:p>
    <w:p>
      <w:pPr>
        <w:pStyle w:val="itemList"/>
      </w:pPr>
      <w:r>
        <w:t>1.</w:t>
      </w:r>
      <w:r>
        <w:tab/>
      </w:r>
      <w:r>
        <w:t>What funding does the Commission intend to provide to cover the necessary costs of the energy renovation of residential buildings and what financial instruments could be put in place to safeguard citizens’ portfolios?</w:t>
      </w:r>
    </w:p>
    <w:p>
      <w:pPr>
        <w:pStyle w:val="itemList"/>
      </w:pPr>
      <w:r>
        <w:t>2.</w:t>
      </w:r>
      <w:r>
        <w:tab/>
      </w:r>
      <w:r>
        <w:t>How will it protect the property market from the adverse effects of the fall in property values following implementation of the Directive?</w:t>
      </w:r>
    </w:p>
    <w:p>
      <w:pPr>
        <w:pStyle w:val="Supporter"/>
      </w:pPr>
      <w:r>
        <w:rPr>
          <w:rStyle w:val="Bold"/>
        </w:rPr>
        <w:t>Supporter</w:t>
      </w:r>
      <w:r>
        <w:rPr>
          <w:rStyle w:val="FootnoteReference"/>
        </w:rPr>
        <w:footnoteReference w:id="0"/>
      </w:r>
    </w:p>
    <w:p>
      <w:pPr>
        <w:pStyle w:val="Body"/>
      </w:pPr>
      <w:r>
        <w:t>Submitted: 27.1.2023</w:t>
      </w:r>
    </w:p>
    <w:sectPr>
      <w:footerReference w:type="even" r:id="rId5"/>
      <w:footerReference w:type="default" r:id="rId6"/>
      <w:footerReference w:type="first" r:id="rId7"/>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PE742.150v01-00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PE742.150v01-00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PE742.150v01-00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t>This question is supported by a Member other than the authors: Elena Lizzi (ID)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20230131-103124-093809-128767</vt:lpwstr>
  </property>
</Properties>
</file>