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762743" w:rsidRPr="00EC02A4" w:rsidP="00DE5707">
      <w:pPr>
        <w:pStyle w:val="ANNEXTITLE"/>
        <w:tabs>
          <w:tab w:val="left" w:pos="567"/>
        </w:tabs>
      </w:pPr>
      <w:r w:rsidR="00B81334">
        <w:t>ANLAGE</w:t>
      </w:r>
    </w:p>
    <w:p w:rsidR="00762743" w:rsidRPr="00EC02A4" w:rsidP="00DE5707">
      <w:pPr>
        <w:pStyle w:val="STYTAB"/>
        <w:tabs>
          <w:tab w:val="left" w:pos="567"/>
        </w:tabs>
      </w:pPr>
    </w:p>
    <w:p w:rsidR="00762743" w:rsidRPr="00EC02A4" w:rsidP="00DE5707">
      <w:pPr>
        <w:pStyle w:val="VOTERESULT"/>
        <w:tabs>
          <w:tab w:val="left" w:pos="567"/>
        </w:tabs>
      </w:pPr>
      <w:r w:rsidR="00B81334">
        <w:t>ERGEBNISSE DER ABSTIMMUNGEN</w:t>
      </w:r>
    </w:p>
    <w:tbl>
      <w:tblPr>
        <w:tblStyle w:val="TableNormal"/>
        <w:tblW w:w="8377" w:type="dxa"/>
        <w:tblInd w:w="421" w:type="dxa"/>
        <w:tblLayout w:type="fixed"/>
        <w:tblCellMar>
          <w:left w:w="10" w:type="dxa"/>
          <w:right w:w="10" w:type="dxa"/>
        </w:tblCellMar>
        <w:tblLook w:val="04A0"/>
      </w:tblPr>
      <w:tblGrid>
        <w:gridCol w:w="2550"/>
        <w:gridCol w:w="5827"/>
      </w:tblGrid>
      <w:tr>
        <w:tblPrEx>
          <w:tblW w:w="8377" w:type="dxa"/>
          <w:tblInd w:w="421" w:type="dxa"/>
          <w:tblLayout w:type="fixed"/>
          <w:tblCellMar>
            <w:left w:w="10" w:type="dxa"/>
            <w:right w:w="10" w:type="dxa"/>
          </w:tblCellMar>
          <w:tblLook w:val="04A0"/>
        </w:tblPrEx>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62743" w:rsidRPr="00EC02A4" w:rsidP="00DE5707">
            <w:pPr>
              <w:pStyle w:val="SIGNIFICATIONTITLE"/>
              <w:tabs>
                <w:tab w:val="left" w:pos="567"/>
              </w:tabs>
              <w:snapToGrid w:val="0"/>
            </w:pPr>
            <w:r w:rsidR="00B81334">
              <w:t>Erklärung der Abkürzungen und Symbole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angenommen</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abgelehnt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hinfällig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Z</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zurückgezogen</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NA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namentliche Abstimmung (Ja-Stimmen, Nein-Stimmen, Enthaltungen)</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EA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elektronische Abstimm</w:t>
            </w:r>
            <w:r w:rsidR="00B81334">
              <w:t>ung (Ja-Stimmen, Nein-Stimmen, Enthaltungen)</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getr.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getrennte Abstimmung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ges.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gesonderte Abstimmung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Änd.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Änderungsantrag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K</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Kompromissänderungsantrag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entspr.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entsprechender Teil</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Streichung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identische Änderungsanträge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Absatz/Ziffer/Nummer</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Artikel</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Erw.</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Erwägung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Entschl.antr.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Entschließungsantrag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gem. Entschl.antr.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gemeinsamer Entschließungsantrag</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762743" w:rsidRPr="00EC02A4" w:rsidP="00DE5707">
            <w:pPr>
              <w:pStyle w:val="SIGNIFICATIONABR"/>
              <w:tabs>
                <w:tab w:val="left" w:pos="567"/>
              </w:tabs>
            </w:pPr>
            <w:r w:rsidR="00B81334">
              <w:t>geh.</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762743" w:rsidRPr="00EC02A4" w:rsidP="00DE5707">
            <w:pPr>
              <w:pStyle w:val="SIGNIFICATIONDESC"/>
              <w:tabs>
                <w:tab w:val="left" w:pos="567"/>
              </w:tabs>
            </w:pPr>
            <w:r w:rsidR="00B81334">
              <w:t>geheime Abstimmung</w:t>
            </w:r>
          </w:p>
        </w:tc>
      </w:tr>
    </w:tbl>
    <w:p w:rsidR="00762743" w:rsidRPr="00EC02A4" w:rsidP="00DE5707">
      <w:pPr>
        <w:tabs>
          <w:tab w:val="left" w:pos="567"/>
        </w:tabs>
      </w:pPr>
    </w:p>
    <w:p w:rsidR="00762743" w:rsidRPr="00EC02A4" w:rsidP="00DE5707">
      <w:pPr>
        <w:pStyle w:val="VOTEFIRSTTITLE"/>
        <w:tabs>
          <w:tab w:val="left" w:pos="567"/>
        </w:tabs>
        <w:outlineLvl w:val="9"/>
      </w:pPr>
      <w:r w:rsidR="00B81334">
        <w:t>Antrag auf Aufhebung der Immunität von Czesław Adam Siekierski</w:t>
      </w:r>
    </w:p>
    <w:p w:rsidR="00762743" w:rsidRPr="00EC02A4" w:rsidP="00DE5707">
      <w:pPr>
        <w:pStyle w:val="VOTEREPORTTITLE"/>
        <w:tabs>
          <w:tab w:val="left" w:pos="567"/>
        </w:tabs>
      </w:pPr>
      <w:r w:rsidR="00B81334">
        <w:t>Bericht: Heidi Hautala (A8-0004/2016)</w:t>
      </w:r>
    </w:p>
    <w:tbl>
      <w:tblPr>
        <w:tblStyle w:val="TableNormal"/>
        <w:tblW w:w="9071" w:type="dxa"/>
        <w:tblInd w:w="108" w:type="dxa"/>
        <w:tblLayout w:type="fixed"/>
        <w:tblCellMar>
          <w:left w:w="10" w:type="dxa"/>
          <w:right w:w="10" w:type="dxa"/>
        </w:tblCellMar>
        <w:tblLook w:val="04A0"/>
      </w:tblPr>
      <w:tblGrid>
        <w:gridCol w:w="3260"/>
        <w:gridCol w:w="2409"/>
        <w:gridCol w:w="1440"/>
        <w:gridCol w:w="1962"/>
      </w:tblGrid>
      <w:tr>
        <w:tblPrEx>
          <w:tblW w:w="9071" w:type="dxa"/>
          <w:tblInd w:w="108"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Vorschlag für einen Beschluss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Antrag auf Aufhebung der Immunität von Czesław Adam Si</w:t>
      </w:r>
      <w:r w:rsidR="00B81334">
        <w:t>ekierski</w:t>
      </w:r>
    </w:p>
    <w:p w:rsidR="00762743" w:rsidRPr="00EC02A4" w:rsidP="00DE5707">
      <w:pPr>
        <w:pStyle w:val="VOTEREPORTTITLE"/>
        <w:tabs>
          <w:tab w:val="left" w:pos="567"/>
        </w:tabs>
      </w:pPr>
      <w:r w:rsidR="00B81334">
        <w:t>Bericht: Heidi Hautala (A8-0005/2016)</w:t>
      </w:r>
    </w:p>
    <w:tbl>
      <w:tblPr>
        <w:tblStyle w:val="TableNormal"/>
        <w:tblW w:w="9071" w:type="dxa"/>
        <w:tblInd w:w="108" w:type="dxa"/>
        <w:tblLayout w:type="fixed"/>
        <w:tblCellMar>
          <w:left w:w="10" w:type="dxa"/>
          <w:right w:w="10" w:type="dxa"/>
        </w:tblCellMar>
        <w:tblLook w:val="04A0"/>
      </w:tblPr>
      <w:tblGrid>
        <w:gridCol w:w="3260"/>
        <w:gridCol w:w="2409"/>
        <w:gridCol w:w="1440"/>
        <w:gridCol w:w="1962"/>
      </w:tblGrid>
      <w:tr>
        <w:tblPrEx>
          <w:tblW w:w="9071" w:type="dxa"/>
          <w:tblInd w:w="108"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Vorschlag für einen Beschluss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Mehrjähriger Wiederauffüllungsplan für Roten Thun im Ostatlantik und im Mittelmeer ***I</w:t>
      </w:r>
    </w:p>
    <w:p w:rsidR="00762743" w:rsidRPr="00EC02A4" w:rsidP="00DE5707">
      <w:pPr>
        <w:pStyle w:val="VOTEREPORTTITLE"/>
        <w:tabs>
          <w:tab w:val="left" w:pos="567"/>
        </w:tabs>
      </w:pPr>
      <w:r w:rsidR="00B81334">
        <w:t>Bericht: Gabriel Mato (A8-0367/2015)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Änderungsanträge des federführenden Ausschusses – Abstimmung en bloc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Artikel 8, nach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614, 11, 72</w:t>
            </w: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Vorschlag der Kommission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legislative Entschließung</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CE4719">
            <w:pPr>
              <w:pStyle w:val="VOTINGTABLECELLVOTE"/>
              <w:tabs>
                <w:tab w:val="left" w:pos="567"/>
              </w:tabs>
            </w:pPr>
            <w:r w:rsidR="00CE4719">
              <w:t>Abstimmung vertagt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4858E3">
            <w:pPr>
              <w:pStyle w:val="VOTINGTABLECELLREMARK"/>
              <w:tabs>
                <w:tab w:val="left" w:pos="567"/>
              </w:tabs>
            </w:pPr>
            <w:r w:rsidR="00B81334">
              <w:t>(Artikel 61 Absatz</w:t>
            </w:r>
            <w:r w:rsidR="004858E3">
              <w:t> </w:t>
            </w:r>
            <w:r w:rsidR="00B81334">
              <w:t>2 GO)</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namentliche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S&amp;D:</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Änderungsantrag 41</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Jahresbericht über die EU-Wettbewerbspolitik</w:t>
      </w:r>
    </w:p>
    <w:p w:rsidR="00762743" w:rsidRPr="00EC02A4" w:rsidP="00DE5707">
      <w:pPr>
        <w:pStyle w:val="VOTEREPORTTITLE"/>
        <w:tabs>
          <w:tab w:val="left" w:pos="567"/>
        </w:tabs>
      </w:pPr>
      <w:r w:rsidR="00B81334">
        <w:t>Bericht: Werner Langen (A8-0368/2015)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339, 356, 5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315, 340, 50</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mehr als 40 Mitglieder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43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390, 296, 23</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46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503, 179, 28</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221, 466, 23</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73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75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224, 312, 176</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76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3/NA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533, 140, 37</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78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81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562, 124, 25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84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3/EA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385, 317, 9</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86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210, 472, 29</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87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367, 320, 19</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88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89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546, 128, 33</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nach § 89, neue Zwischenüberschrift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94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99, neue Zwischenüberschrift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401, 295, 15</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340, 330, 38</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Bezugsvermerk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P</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422, 267, 22</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Erwägung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305, 354, 50</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500, 137, 73</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namentliche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63 (2. Teil), 76 (3. Teil), 81 (2. Teil), 89</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gesonderte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73, 78, 88, 111, 112, 113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PPE:</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5, 9, 21, 41, 75, 86, 87, 104, 105, 106, 107, Erwägung P</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GUE/NGL: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§§14, 54, 65, 94, Erwägung H</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„bei der Frage der Marktdefinition zu oft eine eingeengte nationale Perspektive gewählt wird, die“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„wenn die Bankenunion vollendet werden soll“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„spätestens mit der Vollendung der Bankenunion“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„ist der Ansicht, dass die EU angesichts ihres Integrationsgrades in den Fragen der Koordination und Konvergenz, mit der alle Formen schädlichen Steuerwettbewerbs im Binnenmarkt unterbunden werden sollten, über die Vorschläge hinausgehen muss, die im OECD-Projekt zum Thema Erosion der Besteuerungsgrundlagen und Verlagerung von Gewinnen (Base Erosion and Profit Shifting - BEPS) vorgestellt werden; betont jedoch, dass der Ansatz der OECD nach wie vor auf nicht zwingenden Vorschriften beruht und die Maßnahmen der OECD aufgrund der Anforderungen des Binnenmarkts auf EU-Ebene durch einen entsprechenden Rechtsrahmen ergänzt werden müssen, indem beispielsweise eine Anti-BEPS-Richtlinie erlassen wird, die in den Bereichen, die nur unzureichend abgedeckt sind, über die BEPS-Initiative der OECD hinausgeht;“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„die marktbeherrschende Stellung von Google im Bereich der Direktbuchungen von Hotels detailliert zu untersuchen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das Wort „veröffentlichen“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dieses Wort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Kommission auf, Sozialdumping zu unterbinden und betont, dass bei wettbewerbspolitischen Entscheidungen den sozialen Auswirkungen besonders Rechnung getragen werden muss;“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abgelegenen oder isolierten Regionen“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46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„bekräftigt, dass die EU-Strukturfonds nicht auf eine Weise verwendet werden dürfen, durch die die Verlagerung von Produktion oder Dienstleistungen in einen anderen Mitgliedstaat direkt oder indirekt begünstigt wird, zum Beispiel durch eine Wartefrist für Unternehmen, die solche Fonds in Anspruch nehmen; betont, dass staatliche Beihilfen manchmal notwendig sind, um die Erbringung von Dienstleistungen von allgemeinem wirtschaftlichen Interesse sicherzustellen, etwa in den Bereichen Energie, Verkehr und Telekommunikation; betont, dass staatliche Eingriffe oft das wirksamste Politikinstrument sind, um Dienstleistungen sicherzustellen, die für die Unterstützung der wirtschaftlichen und sozialen Bedingungen lebenswichtig sind;“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isolierten, abgelegenen oder an der Peripherie gelegenen Regionen und Inseln in der Union“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„der Verbraucher und“ und „und nicht der heutige Nutzen einzelner Unternehmen oder öffentlicher Einrichtungen;“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„der Verbraucher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nicht der heutige Nutzen einzelner Unternehmen oder öffentlicher Einrichtungen;“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 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der Ansicht, dass ein fairer Steuerwettbewerb zu den konstitutiven Elementen des Binnenmarktes gehört, dass aber, unbeschadet der primären Zuständigkeit der Mitgliedstaaten, ein unfairer Steuerwettbewerb verhindert werden muss,“</w:t>
              <w:br/>
              <w:t>ohne die Worte „ein fairer Steuerwettbewerb zu den konstitutiven Elementen des Binnenmarktes gehört, dass aber, unbeschadet der primären Zuständigkeit der Mitgliedstaaten,“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„ein fairer Steuerwettbewerb zu den konstitutiven Elementen des Binnenmarktes gehört, dass aber, unbeschadet der primären Zuständigkeit der Mitgliedstaaten,“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„zum Beispiel durch harmonisierte Bemessungsgrundlagen, einen Informationsaustausch zwischen den Steuerbehörden und eine ausdrückliche rechtliche Möglichkeit, Kapitalbewegungen zu kontrollieren, wenn dies für die ordnungsgemäße Funktion der Steuersysteme innerhalb der Union erforderlich ist; vertritt die Auffassung, dass die Einführung einer gemeinsamen Körperschaftsteuer-Bemessungsgrundlage dazu beitragen würde, das System transparenter zu machen; weist darauf hin, dass die Konsolidierung zu einem späteren Zeitpunkt erfolgen kann und kein Hindernis für eine schnelle Verabschiedung der gemeinsamen Körperschaftsteuer-Bemessungsgrundlage darstellen darf;“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 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„begrüßt die Absicht der Wettbewerbskommissarin, die Kontrolle staatlicher Beihilfe im Sinne einer gerechten Steuerbelastung für alle umzugestalten; erwartet, dass vor dieser Umgestaltung eine vorbehaltlose und vollständige Bestandsaufnahme vorgenommen wird,“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fordert die Mitgliedstaaten auf, dem Parlament alle angeforderten Unterlagen zur Verfügung zu stellen und ihre bisherige Blockadehaltung aufzugeben, durch die Fortschritte in diesem Bereich verhindert werden, wobei zu berücksichtigen ist, dass die einzelnen Mitgliedstaaten abhängig von ihrer Lage, Größe, physischen und sonstigen Ausstattung sowie des Stands ihrer wirtschaftlichen und sozialen Entwicklung auf unterschiedliche politische Zwänge reagieren müssen;“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ferner eine Überarbeitung der Beihilfeleitlinien für den Steuerbereich, damit Fälle unfairen Wettbewerbs, die über Steuervorbescheide und Verrechnungspreise hinausgehen, erfasst werden können;“</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812668">
      <w:pPr>
        <w:pStyle w:val="VOTETITLE"/>
        <w:keepLines/>
        <w:tabs>
          <w:tab w:val="left" w:pos="567"/>
        </w:tabs>
        <w:outlineLvl w:val="9"/>
      </w:pPr>
      <w:r w:rsidR="00B81334">
        <w:t>Die Rolle des interkulturellen Dialogs, der kulturellen Vielfalt und der Bildung bei der Förderung der Grundwerte der EU</w:t>
      </w:r>
    </w:p>
    <w:p w:rsidR="00762743" w:rsidRPr="00EC02A4" w:rsidP="00812668">
      <w:pPr>
        <w:pStyle w:val="VOTEREPORTTITLE"/>
        <w:keepLines/>
        <w:tabs>
          <w:tab w:val="left" w:pos="567"/>
        </w:tabs>
      </w:pPr>
      <w:r w:rsidR="00B81334">
        <w:t>Bericht: Julie Ward (A8-0373/2015)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Alternativer Entschließungsantrag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75, 558, 69</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315, 396, 1</w:t>
            </w: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xml:space="preserve">Abstimmung: Entschließung (gesamter Text) </w:t>
              <w:br/>
              <w:t>(CULT-Ausschuss)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554, 147, 12</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S&amp;D: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„unterstreicht die Bedeutung der zeitnahen Integration und Ausbildung isolierter Gemeinschaften,“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„deren Verhalten den europäischen Grundwerten zuwiderläuft;“</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EU-Vorschriften für den Finanzdienstleistungssektor – Bilanz und Herausforderungen</w:t>
      </w:r>
    </w:p>
    <w:p w:rsidR="00762743" w:rsidRPr="00EC02A4" w:rsidP="00DE5707">
      <w:pPr>
        <w:pStyle w:val="VOTEREPORTTITLE"/>
        <w:tabs>
          <w:tab w:val="left" w:pos="567"/>
        </w:tabs>
      </w:pPr>
      <w:r w:rsidR="00B81334">
        <w:t>Bericht: Burkhard Balz (A8-0360/2015)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26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Erwägung A</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575, 106, 32</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gesonderte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GUE/NGL: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2, 6, 22, 46</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Erwägung 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das Wort „Anwendung“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dieses Wort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24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„nimmt die Ergebnisse in Bezug auf die Schaffung einer Bankenunion zur Kenntnis und betont, dass ihr eine entscheidende Bedeutung zukommt, wenn die Verflechtung zwischen dem Staat und dem mit den Banken verbundenen Risiko abgebaut und die systemischen Risiken durch gemeinsames Handeln gemindert werden sollen; nimmt zur Kenntnis, dass die Bankenunion Schritt für Schritt vollendet wird; betont, dass die bestehenden Rechtsvorschriften vollständig und fristgerecht umsetzt werden müssen;“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„nimmt die Debatten über ein europäisches Einlagensicherungssystem zur Kenntnis, zu dem sich das Parlament als gesetzgebendes Organ äußern wird; betont, dass das Ziel darin besteht, moralische Risiken zu verhindern und das Haftungsprinzip als Grundprinzip durchzusetzen; kritisiert die mangelnde Risikosensibilität bei der Berechnung der Beiträge zum Einheitlichen Abwicklungsfonds; nimmt die Bemühungen zur Kenntnis, die unternommen werden, um die Verordnung über die Bankstrukturreform zum Abschluss zu bringen;“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26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„weist erneut darauf hin, dass innerhalb der EU für einheitliche Wettbewerbsbedingungen gesorgt werden muss, und zwar auch in Bezug auf Banken, die dem Einheitlichen Aufsichtsmechanismus unterliegen, sowie Banken aus nicht teilnehmenden Mitgliedstaaten, und fordert, dass auch die Mitgliedstaaten, die nicht dem Euroraum angehören, umfassend in die Bankenunion einbezogen werden, wobei einzuräumen wäre, dass die Beteiligung an bestimmten Elementen derzeit freiwillig ist; fordert die Kommission auf, dafür zu sorgen, dass der Binnenmarkt ausgebaut, dabei allerdings den einzelstaatlichen Besonderheiten Rechnung getragen wird;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Kommission auf, darüber hinaus ein solides Konzept für die Regulierung des „parallelen Bankensystems“ bzw. des „Schattenbankensystems“ mit dem Ziel vorzulegen, die systemischen Risiken zu mindern und die Transparenz zu verbessern; begrüßt die wesentlichen Fortschritte, die bei der Regulierung des europäischen Versicherungswesens angesichts der Tatsache gemacht worden sind, dass die Vorschriften im Rahmen von „Solvency II“ (Solvabilität II) ab dem 1. Januar 2016 angewendet werden, wobei diese bewertet und im Zusammenhang mit dem internationalen Rahmen für global systemrelevante Versicherungsunternehmen möglicherweise weiterentwickelt werden müssen;“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„betont, dass für alle zukünftigen Rechtsvorschriften detaillierte Folgenabschätzungen und Kosten-Nutzen-Bewertungen vorgenommen werden müssen, um den Mehrwert der Vorschriften nachzuweisen, besonders in Fragen des Wirtschaftswachstums und der Schaffung von Arbeitsplätzen; betont, dass die Folgenabschätzungen und Kosten-Nutzen-Bewertungen eine gründliche Prüfung der Auswirkung von Maßnahmen der Ebene 2 beinhalten sollten, die einen wesentlichen Teil des EU-Finanzregulierungsrahmens darstellen;“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Externe Faktoren, die Hindernisse für weibliches Unternehmertum darstellen</w:t>
      </w:r>
    </w:p>
    <w:p w:rsidR="00762743" w:rsidRPr="00EC02A4" w:rsidP="00DE5707">
      <w:pPr>
        <w:pStyle w:val="VOTEREPORTTITLE"/>
        <w:tabs>
          <w:tab w:val="left" w:pos="567"/>
        </w:tabs>
      </w:pPr>
      <w:r w:rsidR="00B81334">
        <w:t>Bericht: Barbara Matera (A8-0369/2015)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367, 289, 56</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39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Erwägung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Erwägung L</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X</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Z</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532, 100, 80</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namentliche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22</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gesonderte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PPE:</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11, 29, 39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Erwägungen D, X, Z, §§ 5, 9, 30</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Erwägung 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der Erwägung, dass die Übernahme von Pflichten in den Bereichen Familie und Pflege sowohl von Männern als auch von Frauen Auswirkungen auf weibliches Unternehmertum sowie auf die Beteiligung von Frauen am Arbeitsmarkt hat, und dass die Erreichung der Vereinbarkeit von Arbeits- und Privatleben die Voraussetzung dafür ist, dass Frauen wirtschaftlich unabhängig werden;“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der Erwägung, dass in einem Viertel der Mitgliedstaaten kein Vaterschaftsurlaub vorgesehen ist;“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„empfiehlt den Mitgliedstaaten, den Wert weiblichen Unternehmertums für ihre Volkswirtschaften anzuerkennen und die Hindernisse zur Kenntnis zu nehmen, die ausgeräumt werden müssen; fordert die Mitgliedstaaten und Regionen auf, konkrete Strategien vorzulegen, um die Kultur des Unternehmertums von Frauen unter Berücksichtigung der Arbeiten zu fördern, die derzeit zu den Anforderungen, Motivationen und Bedingungen in Bezug auf den Abbau geschlechtsspezifischer Stereotypen, durchgeführt werden;“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„auf verschiedene Management- und Führungsstile sowie auf neue Formen der Organisation und Führung von Unternehmen“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Mitgliedstaaten auf, auf regionaler Ebene nach Geschlecht aufgeschlüsselte Daten zu erheben, einschließlich zu den verschiedenen Bereichen des weiblichen Unternehmertums, dessen Beitrag im sozialen Bereich anzuerkennen und regelmäßig über die</w:t>
            </w:r>
            <w:r w:rsidR="00B81334">
              <w:t xml:space="preserve"> Anzahl von Unternehmerinnen Bericht zu erstatten; empfiehlt, Daten zu erheben und auf europäischer Ebene mit Unterstützung des Europäischen Instituts für Gleichstellungsfragen und Eurostat zu konsolidieren; empfiehlt, dass die Gleichberechtigung von Männern und Frauen durch einen qualifizierten Experten für Gleichstellungsfragen in die Methodik jeglicher Forschung, die auf dem Gebiet des Unternehmertums, der sozialen Wirtschaft und der Unternehmen der Sozialwirtschaft eingeleitet wird, integriert wird,“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dass besonderes Augenmerk auf die Erfahrungen von Frauen, die von Mehrfachausgrenzung betroffen sind, gelegt wird;“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„weist erneut darauf hin, dass der Eltern- und Vaterschaftsurlaub positive Auswirkungen auf die Erwerbsbeteiligung von Frauen haben kann, und empfiehlt den Mitgliedstaaten, die Einführung eines Vaterschaftsurlaubs in Erwägung zu ziehen, falls sie dies noch nicht getan haben;“ und „einschließlich Gesetzgebungsvorschlägen“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Erwägung J</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der Erwägung, dass die Entscheidung für die Selbstständigkeit ein Akt der Selbstverwirklichung ist, aber auch ein hohes eigenes Engagement erfordert und die Arbeit an sich sowie die hohe Personalverantwortung zu besonders langen Arbeitszeiten führt, eine Selbstständigkeit daher nicht als Zusatzeinkommen betrachtet werden sollte;“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der Erwägung, dass die Vereinbarkeit von Familie und Beruf für Unternehmerinnen nur zu leisten ist, wenn die Rahmenbedingungen stimmen, sprich geeignete Betreuungsmöglichkeiten existieren und sich auch Väter aktiv in die Betreuungs-, Haus- und Pflegearbeit einbringen;“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„und dabei eine stärkere Beteiligung der Männer an den Arbeiten im Haushalt und der Betreuung von Familienangehörigen zu fördern“ und „obligatorischem“</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dabei eine stärkere Beteiligung der Männer an den Arbeiten im Haushalt und der Betreuung von Familienangehörigen zu fördern“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„obligatorischem“</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„stellt mit Besorgnis fest, dass Frauen häufig ein negatives Bild ihrer Fähigkeiten haben, was wahrscheinlich auf die in der Gesellschaft verankerten Stereotypen zurückzuführen ist, und öfter als Männer eingestehen, dass es ihnen an unternehmerischen Fähigkeiten, Selbstvertrauen, Durchsetzungsvermögen und Bereitschaft, bei der Gründung eines Unternehmens Risiken einzugehen, mangelt,“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„weshalb Unternehmerinnen Programme zur Motivation und psychologischen Betreuung zur Verfügung stehen müssen, die ihnen dabei helfen, das Vertrauen in sich selbst zu stärken;“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PPE, 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„finanzielle und steuerliche Unterstützung leisten“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„finanzielle und steuerliche Unterstützung leisten“ ohne die Worte „finanzielle und steuerliche“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„finanzielle und steuerliche“</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812668">
      <w:pPr>
        <w:pStyle w:val="VOTETITLE"/>
        <w:keepLines/>
        <w:tabs>
          <w:tab w:val="left" w:pos="567"/>
        </w:tabs>
        <w:outlineLvl w:val="9"/>
      </w:pPr>
      <w:r w:rsidR="00B81334">
        <w:t>Bildungs- und ausbildungspolitische Maßnahmen zum Abbau der Jugendarbeitslosigkeit</w:t>
      </w:r>
    </w:p>
    <w:p w:rsidR="00762743" w:rsidRPr="00EC02A4" w:rsidP="00812668">
      <w:pPr>
        <w:pStyle w:val="VOTEREPORTTITLE"/>
        <w:keepLines/>
        <w:tabs>
          <w:tab w:val="left" w:pos="567"/>
        </w:tabs>
      </w:pPr>
      <w:r w:rsidR="00B81334">
        <w:t>Bericht: Marek Plura (A8-0366/2015)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812668">
            <w:pPr>
              <w:pStyle w:val="VOTINGTABLEHEADER"/>
              <w:keepNext/>
              <w:keepLines/>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352, 355, 4</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21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33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34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43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49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50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51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60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62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r w:rsidR="00B81334">
              <w:t>340, 312, 56</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68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69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 70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 75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Erwägung 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OBJECT"/>
              <w:tabs>
                <w:tab w:val="left" w:pos="567"/>
              </w:tabs>
            </w:pPr>
            <w:r w:rsidR="00B81334">
              <w:t>Erwägung M</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812668">
            <w:pPr>
              <w:keepNext/>
              <w:keepLines/>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Erwägung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Erwägung R</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SIMPLEOBJECT"/>
              <w:tabs>
                <w:tab w:val="left" w:pos="567"/>
              </w:tabs>
            </w:pPr>
            <w:r w:rsidR="00B81334">
              <w:t>Erwägung 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812668">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604, 67, 44</w:t>
            </w:r>
          </w:p>
        </w:tc>
      </w:tr>
    </w:tbl>
    <w:p w:rsidR="00762743" w:rsidRPr="00EC02A4" w:rsidP="00DE5707">
      <w:pPr>
        <w:pStyle w:val="STYTAB"/>
        <w:tabs>
          <w:tab w:val="left" w:pos="567"/>
        </w:tabs>
      </w:pPr>
    </w:p>
    <w:tbl>
      <w:tblPr>
        <w:tblStyle w:val="TableNormal"/>
        <w:tblW w:w="9338" w:type="dxa"/>
        <w:tblLayout w:type="fixed"/>
        <w:tblCellMar>
          <w:left w:w="10" w:type="dxa"/>
          <w:right w:w="10" w:type="dxa"/>
        </w:tblCellMar>
        <w:tblLook w:val="04A0"/>
      </w:tblPr>
      <w:tblGrid>
        <w:gridCol w:w="1843"/>
        <w:gridCol w:w="7495"/>
      </w:tblGrid>
      <w:tr w:rsidTr="00CE4719">
        <w:tblPrEx>
          <w:tblW w:w="9338" w:type="dxa"/>
          <w:tblLayout w:type="fixed"/>
          <w:tblCellMar>
            <w:left w:w="10" w:type="dxa"/>
            <w:right w:w="10" w:type="dxa"/>
          </w:tblCellMar>
          <w:tblLook w:val="04A0"/>
        </w:tblPrEx>
        <w:trPr>
          <w:cantSplit/>
        </w:trPr>
        <w:tc>
          <w:tcPr>
            <w:tcW w:w="9338"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gesonderte Abstimmung</w:t>
            </w:r>
          </w:p>
        </w:tc>
      </w:tr>
      <w:tr w:rsidTr="00CE4719">
        <w:tblPrEx>
          <w:tblW w:w="9338" w:type="dxa"/>
          <w:tblLayout w:type="fixed"/>
          <w:tblCellMar>
            <w:left w:w="10" w:type="dxa"/>
            <w:right w:w="10" w:type="dxa"/>
          </w:tblCellMar>
          <w:tblLook w:val="04A0"/>
        </w:tblPrEx>
        <w:trPr>
          <w:cantSplit/>
        </w:trPr>
        <w:tc>
          <w:tcPr>
            <w:tcW w:w="1843" w:type="dxa"/>
            <w:tcMar>
              <w:top w:w="0" w:type="dxa"/>
              <w:left w:w="0" w:type="dxa"/>
              <w:bottom w:w="0" w:type="dxa"/>
              <w:right w:w="0" w:type="dxa"/>
            </w:tcMar>
          </w:tcPr>
          <w:p w:rsidR="00762743" w:rsidRPr="00EC02A4" w:rsidP="00DE5707">
            <w:pPr>
              <w:pStyle w:val="REMARKTABLECELLSIMPLE"/>
              <w:tabs>
                <w:tab w:val="left" w:pos="567"/>
              </w:tabs>
            </w:pPr>
            <w:r w:rsidR="00B81334">
              <w:t>GUE/NGL:</w:t>
            </w:r>
          </w:p>
        </w:tc>
        <w:tc>
          <w:tcPr>
            <w:tcW w:w="7495" w:type="dxa"/>
            <w:tcMar>
              <w:top w:w="0" w:type="dxa"/>
              <w:left w:w="0" w:type="dxa"/>
              <w:bottom w:w="0" w:type="dxa"/>
              <w:right w:w="0" w:type="dxa"/>
            </w:tcMar>
          </w:tcPr>
          <w:p w:rsidR="00762743" w:rsidRPr="00EC02A4" w:rsidP="00CE4719">
            <w:pPr>
              <w:pStyle w:val="REMARKTABLECELLSIMPLE"/>
              <w:tabs>
                <w:tab w:val="left" w:pos="567"/>
              </w:tabs>
              <w:ind w:left="142"/>
            </w:pPr>
            <w:r w:rsidR="00B81334">
              <w:t>§§ 18, 19</w:t>
            </w:r>
          </w:p>
        </w:tc>
      </w:tr>
      <w:tr w:rsidTr="00CE4719">
        <w:tblPrEx>
          <w:tblW w:w="9338" w:type="dxa"/>
          <w:tblLayout w:type="fixed"/>
          <w:tblCellMar>
            <w:left w:w="10" w:type="dxa"/>
            <w:right w:w="10" w:type="dxa"/>
          </w:tblCellMar>
          <w:tblLook w:val="04A0"/>
        </w:tblPrEx>
        <w:trPr>
          <w:cantSplit/>
        </w:trPr>
        <w:tc>
          <w:tcPr>
            <w:tcW w:w="1843" w:type="dxa"/>
            <w:tcMar>
              <w:top w:w="0" w:type="dxa"/>
              <w:left w:w="0" w:type="dxa"/>
              <w:bottom w:w="0" w:type="dxa"/>
              <w:right w:w="0" w:type="dxa"/>
            </w:tcMar>
          </w:tcPr>
          <w:p w:rsidR="00762743" w:rsidRPr="00EC02A4" w:rsidP="00DE5707">
            <w:pPr>
              <w:pStyle w:val="REMARKTABLECELLSIMPLE"/>
              <w:tabs>
                <w:tab w:val="left" w:pos="567"/>
              </w:tabs>
            </w:pPr>
            <w:r w:rsidR="00B81334">
              <w:t>ENF:</w:t>
            </w:r>
          </w:p>
        </w:tc>
        <w:tc>
          <w:tcPr>
            <w:tcW w:w="7495" w:type="dxa"/>
            <w:tcMar>
              <w:top w:w="0" w:type="dxa"/>
              <w:left w:w="0" w:type="dxa"/>
              <w:bottom w:w="0" w:type="dxa"/>
              <w:right w:w="0" w:type="dxa"/>
            </w:tcMar>
          </w:tcPr>
          <w:p w:rsidR="00762743" w:rsidRPr="00EC02A4" w:rsidP="00CE4719">
            <w:pPr>
              <w:pStyle w:val="REMARKTABLECELLSIMPLE"/>
              <w:tabs>
                <w:tab w:val="left" w:pos="567"/>
              </w:tabs>
              <w:ind w:left="142"/>
            </w:pPr>
            <w:r w:rsidR="00B81334">
              <w:t>Erwägungen J, Q, R, S, §§ 2, 9, 14, 17, 18, 25, 28, 35, 37, 38, 43, 44, 54, 62, 63, 64, 65, 66, 67, 68, 75</w:t>
            </w:r>
          </w:p>
        </w:tc>
      </w:tr>
      <w:tr w:rsidTr="00CE4719">
        <w:tblPrEx>
          <w:tblW w:w="9338" w:type="dxa"/>
          <w:tblLayout w:type="fixed"/>
          <w:tblCellMar>
            <w:left w:w="10" w:type="dxa"/>
            <w:right w:w="10" w:type="dxa"/>
          </w:tblCellMar>
          <w:tblLook w:val="04A0"/>
        </w:tblPrEx>
        <w:trPr>
          <w:cantSplit/>
        </w:trPr>
        <w:tc>
          <w:tcPr>
            <w:tcW w:w="1843" w:type="dxa"/>
            <w:tcMar>
              <w:top w:w="0" w:type="dxa"/>
              <w:left w:w="0" w:type="dxa"/>
              <w:bottom w:w="0" w:type="dxa"/>
              <w:right w:w="0" w:type="dxa"/>
            </w:tcMar>
          </w:tcPr>
          <w:p w:rsidR="00762743" w:rsidRPr="00EC02A4" w:rsidP="00DE5707">
            <w:pPr>
              <w:pStyle w:val="REMARKTABLECELLSIMPLE"/>
              <w:tabs>
                <w:tab w:val="left" w:pos="567"/>
              </w:tabs>
            </w:pPr>
            <w:r w:rsidR="00B81334">
              <w:t>PPE, ALDE, ECR:</w:t>
            </w:r>
          </w:p>
        </w:tc>
        <w:tc>
          <w:tcPr>
            <w:tcW w:w="7495" w:type="dxa"/>
            <w:tcMar>
              <w:top w:w="0" w:type="dxa"/>
              <w:left w:w="0" w:type="dxa"/>
              <w:bottom w:w="0" w:type="dxa"/>
              <w:right w:w="0" w:type="dxa"/>
            </w:tcMar>
          </w:tcPr>
          <w:p w:rsidR="00762743" w:rsidRPr="00EC02A4" w:rsidP="00CE4719">
            <w:pPr>
              <w:pStyle w:val="REMARKTABLECELLSIMPLE"/>
              <w:tabs>
                <w:tab w:val="left" w:pos="142"/>
              </w:tabs>
              <w:ind w:left="142"/>
            </w:pPr>
            <w:r w:rsidR="00B81334">
              <w:t>§ 20</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„warnt vor Qualitätsmängeln bei der Laufbahnberatung in den Mitgliedstaaten;“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die Qualität der Laufbahnberatung an den Schulen unbedingt verbessert werden muss und dass die Laufbahnberater ständig geschult werden müssen, sodass sie in der Lage sind, Schülern und Studenten bei der Auswahl ihres Berufswegs fachkundig zu helfen;“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„die Wettbewerbsfähigkeit der EU gefördert“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22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„vertritt die Auffassung, dass die Förderung des unternehmerischen Denkens Aufgabe von staatlichen Stellen, Bildungswesen, Unternehmen und Zivilgesellschaft ist; weist erneut darauf hin, dass die unternehmensinterne Mobilität ausgebaut werden muss;“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„weist vor diesem Hintergrund darauf hin, dass die Mobilität der Arbeitnehmer für einen wettbewerbsfähigen Arbeitsmarkt wichtig ist,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„fest in den Lehrplänen verankert sein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Erwägung M</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der Erwägung, dass die Finanzkrise des Jahres 2008 jungen Menschen den Zugang zum Arbeitsmarkt weiter erschwerte,“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„da die Jugendarbeitslosigkeit stärker mit der Konjunkturlage in Zusammenhang steht als die Arbeitslosigkeit insgesamt, was darauf zurückzuführen ist, dass junge Menschen im Allgemeinen über weniger Berufserfahrung verfügen;“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„begrüßt die von der Kommission in Bezug auf den Qualifikationserwerb und Qualifikationsbedarfsprognosen vorgeschlagenen Maßnahmen;“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die MINT-Qualifikationen im Rahmen des Qualifikationserwerbs gefördert werden sollten, da sie in der Wirtschaft breit einsetzbar sind; hebt jedoch hervor, dass ehrgeizigere Maßnahmen und Investitionen notwendig sind; ist der Auffassung, dass alle Interessenträger am Arbeitsmarkt auf allen Ebenen umfassend einbezogen werden müssen, damit der künftige Qualifikationsbedarf prognostiziert werden kann;“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„wozu unternehmerische und IKT-Kompetenzen zählen, durch die Förderung des Gruppenlernens, den Austausch bewährter Verfahren, einfacheren Zugang zu Schulungen“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24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„betont, dass Mikrofinanzierung und das Programm der Europäischen Union für Beschäftigung und soziale Innovation (EaSI) sowie die Investitionsoffensive für Europa von entscheidender Bedeutung für die Verwirklichung dieser Ziele sind;“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49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besorgt über die in bestimmten Mitgliedstaaten der Europäischen Union rückläufigen Ergebnisse der letzten PISA-Studie (Programm zur internationalen Schülerbewertung);“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Mitgliedstaaten auf, der Bildung besonderen Vorrang einzuräumen, damit die Ziele der Strategie Europa 2020 erreicht werden;“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„vertritt die Ansicht, dass der Austausch bewährter Verfahren in diesem Bereich zum Abbau der Jugendarbeitslosigkeit beitragen dürfte;“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„die Kommission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Mitgliedstaaten auf, dringend neue Technologien in die Lernprozesse einzubinden und auf allen Ebenen und bei allen Arten der Bildung und Ausbildung IKT-Kompetenzen und digitale Kompetenzen intensiver und besser zu vermitteln, und zwar auch in Bezug auf die Lehrkräfte, damit die Abschlüsse und Lehrpläne mehr auf die digitalen Anforderungen abgestimmt sind und junge Menschen dazu ermutigt werden, IKT zu studieren und eine Laufbahn in diesem Bereich anzustreben;“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die technologischen Grundlagen an Schulen und Hochschulen verbessert werden müssen und die notwendige Infrastruktur zur Verfügung gestellt werden muss; betont in diesem Zusammenhang ferner, dass freie Lern- und Lehrmaterialien (OER) wichtig sind, durch die allen der Zugang zu Bildung gewährleistet und die Vermittelbarkeit verbessert wird, indem das lebenslange Lernen unterstützt wird; weist erneut darauf hin, dass Mädchen und junge Frauen dazu ermutigt werden müssen, ein Studium im IKT-Bereich aufzunehmen;“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der Ausbau der Kompetenzen – sofern ihm ein integriertes Konzept zugrunde liegt – zu einem Verfahren werden könnte, das Chancengleichheit für Menschen“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„aus benachteiligten Gruppen und damit auch aus benachteiligten Minderheiten bewirkt und fördert, und zwar insbesondere für Kinder und junge Menschen aus von Armut betroffenen Familien, Langzeitarbeitslose, benachteiligte Einwanderer und Menschen mit Behinderungen; betont, dass Vorbeugung und lebenslange Unterstützung und Beratung vom frühestmöglichen Alter an für benachteiligte Bevölkerungsgruppen von größter Wichtigkeit sind, wenn für den Arbeitsmarkt produktive und hochqualifizierte Arbeitskräfte bereitstehen sollen; hebt ferner hervor, dass Arbeitgebern, Personalvermittlern und Personalleitern im Rahmen von Schulungen mit dem Schwerpunkt Integration benachteiligter Bevölkerungsgruppen in den Arbeitsmarkt Unterstützung und Möglichkeiten für den Erwerb von Kompetenzen geboten werden müssen; betont, dass die Inklusion der am stärksten benachteiligten Personen angemessene Schulungen von Arbeitgebern, Personalabteilungen und Lehrenden voraussetzt, damit die gesellschaftlich am stärksten Benachteiligten optimal unterstützt und in der Folge möglichst wirksam integriert werden; bekräftigt, dass es wichtig ist, dass alle Zugang zu Bildung erhalten;“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"bzw. benachteiligten"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GUE/NGL,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7C2C94">
            <w:pPr>
              <w:pStyle w:val="REMARKTABLECELLSIMPLE"/>
              <w:tabs>
                <w:tab w:val="left" w:pos="567"/>
              </w:tabs>
            </w:pPr>
            <w:r w:rsidR="00B81334">
              <w:t xml:space="preserve">„weist darauf hin, dass Europa einerseits 24 Millionen Arbeitslose hat, darunter 7,5 Millionen Jugendliche, die weder in Arbeit noch in Ausbildung sind, dass es aber andererseits 2 Millionen freie Stellen in der EU gibt; stellt fest, dass es viele überqualifizierte junge Arbeitslose gibt, deren Qualifikationen nicht der Nachfrage am Arbeitsmarkt entsprechen; betont, dass starke Partnerschaften zwischen lokalen Gebietskörperschaften, dem Bildungswesen und sowohl allgemeinen als auch spezialisierten Arbeitsvermittlungsdiensten sowie den Sozialpartnern und den Unternehmen aufgebaut werden müssen, um die Schaffung, Durchführung und Überwachung von kurz- und mittelfristigen Beschäftigungsstrategien und -aktionsplänen zu fördern, die tragfähig, integrativ und hochwertig sind;“ </w:t>
              <w:br/>
              <w:t>ohne die Worte „dass es aber andererseits 2 Millionen freie Stellen in der EU gibt“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„dass es aber andererseits 2 Millionen freie Stellen in der EU gibt“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im Interesse einer besseren Abstimmung des Qualifikationsangebots auf die Nachfrage am Arbeitsmarkt eine intensivere strukturelle Zusammenarbeit und Wechselwirkung zwischen Einrichtungen der Schul- und Berufsbildung, Behörden, Unternehmen und der Zivilgesellschaft, insbesondere Studierenden- und Jugendorganisationen, indem unter anderem die Möglichkeiten des zweiten Bildungswegs ausgeschöpft werden;“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4.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„hebt hervor, dass diese verbesserte Zusammenarbeit auch für die wirksame Umsetzung der Jugendgarantie ausschlaggebend ist;“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21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„betont, dass jungen Menschen eine Bildung zuteilwerden muss, mit der sie in möglichst allgemeiner Form darauf vorbereitet werden, unternehmerischen Mut an den Tag zu legen;“ und „in den Lehrplänen“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jungen Menschen eine Bildung zuteilwerden muss, mit der sie in möglichst allgemeiner Form darauf vorbereitet werden, unternehmerischen Mut an den Tag zu legen;“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den Lehrplänen“</w:t>
            </w:r>
          </w:p>
        </w:tc>
      </w:tr>
    </w:tbl>
    <w:p w:rsidR="00762743" w:rsidRPr="00EC02A4" w:rsidP="00DE5707">
      <w:pPr>
        <w:pStyle w:val="STYTAB"/>
        <w:tabs>
          <w:tab w:val="left" w:pos="567"/>
        </w:tabs>
      </w:pPr>
    </w:p>
    <w:p w:rsidR="00762743" w:rsidRPr="00EC02A4" w:rsidP="00DE5707">
      <w:pPr>
        <w:pStyle w:val="STYTAB"/>
        <w:tabs>
          <w:tab w:val="left" w:pos="567"/>
        </w:tabs>
      </w:pPr>
    </w:p>
    <w:p w:rsidR="00762743" w:rsidRPr="00EC02A4" w:rsidP="00DE5707">
      <w:pPr>
        <w:pStyle w:val="VOTETITLE"/>
        <w:tabs>
          <w:tab w:val="left" w:pos="567"/>
        </w:tabs>
        <w:outlineLvl w:val="9"/>
      </w:pPr>
      <w:r w:rsidR="00B81334">
        <w:t>Auf dem Weg zu einer Akte zum digitalen Binnenmarkt</w:t>
      </w:r>
    </w:p>
    <w:p w:rsidR="00762743" w:rsidRPr="00EC02A4" w:rsidP="00DE5707">
      <w:pPr>
        <w:pStyle w:val="VOTEREPORTTITLE"/>
        <w:tabs>
          <w:tab w:val="left" w:pos="567"/>
        </w:tabs>
      </w:pPr>
      <w:r w:rsidR="00B81334">
        <w:t>Bericht: Kaja Kallas und Evelyne Gebhardt (A8-0371/2015)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762743" w:rsidRPr="00EC02A4" w:rsidP="00DE5707">
            <w:pPr>
              <w:pStyle w:val="VOTINGTABLEHEADER"/>
              <w:tabs>
                <w:tab w:val="left" w:pos="567"/>
              </w:tabs>
            </w:pPr>
            <w:r w:rsidR="00B81334">
              <w:t>NA/EA – Bemerkungen</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318, 391, 5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16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431, 279, 2</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623, 83, 9</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383, 325, 6</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47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541, 149, 24</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445, 238, 29</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56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523, 187, 5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58</w:t>
            </w:r>
            <w:r w:rsidR="00B81334">
              <w:t>4, 128, 1</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64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458, 244, 12</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234, 473, 5</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486, 120, 101</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67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569, 126, 6</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68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528, 130, 53</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71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73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76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81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82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87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88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271, 382, 51</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89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92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100, Zwischenüberschrift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109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 119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nach § 121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3=</w:t>
              <w:b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S&amp;D</w:t>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334" w:rsidRPr="00EC02A4" w:rsidP="00DE5707">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 127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72, 630, 5</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SIMPLEOBJECT"/>
              <w:tabs>
                <w:tab w:val="left" w:pos="567"/>
              </w:tabs>
            </w:pPr>
            <w:r w:rsidR="00B81334">
              <w:t>Erwägung F</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UTHOR"/>
              <w:tabs>
                <w:tab w:val="left" w:pos="567"/>
              </w:tabs>
            </w:pPr>
            <w:r w:rsidR="00B8133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OBJECT"/>
              <w:tabs>
                <w:tab w:val="left" w:pos="567"/>
              </w:tabs>
            </w:pPr>
            <w:r w:rsidR="00B81334">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AN"/>
              <w:tabs>
                <w:tab w:val="left" w:pos="567"/>
              </w:tabs>
            </w:pPr>
            <w:r w:rsidR="00B81334">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VOTE"/>
              <w:tabs>
                <w:tab w:val="left" w:pos="567"/>
              </w:tabs>
            </w:pPr>
            <w:r w:rsidR="00B8133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743" w:rsidRPr="00EC02A4" w:rsidP="00DE5707">
            <w:pPr>
              <w:pStyle w:val="VOTINGTABLECELLREMARK"/>
              <w:tabs>
                <w:tab w:val="left" w:pos="567"/>
              </w:tabs>
            </w:pPr>
            <w:r w:rsidR="00B81334">
              <w:t>551, 88, 39</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namentliche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47 (2. Teil), 59 (2. Teil), 64 (1. Teil), 68, Änderungsantrag 23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EFDD:</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34 (2. Teil), 53 (1. Teil), 62 (2. Teil), 65, 67, 68</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gesonderte Abstimmung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ECR:</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8, 19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PPE:</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110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ALDE:</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SIMPLE"/>
              <w:tabs>
                <w:tab w:val="left" w:pos="567"/>
              </w:tabs>
            </w:pPr>
            <w:r w:rsidR="00B81334">
              <w:t>GUE/NGL: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53</w:t>
            </w:r>
          </w:p>
        </w:tc>
      </w:tr>
    </w:tbl>
    <w:p w:rsidR="00762743" w:rsidRPr="00EC02A4" w:rsidP="00DE5707">
      <w:pPr>
        <w:pStyle w:val="STYTAB"/>
        <w:tabs>
          <w:tab w:val="left" w:pos="567"/>
        </w:tabs>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TITLE"/>
              <w:tabs>
                <w:tab w:val="left" w:pos="567"/>
              </w:tabs>
            </w:pPr>
            <w:r w:rsidR="00B81334">
              <w:t>Anträge auf getrennte Abstimmung</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die weitere Harmonisierung der Paketzustelldienste durch die Kommission nicht zu einer geringeren sozialen Absicherung und schlechteren Arbeitsbedingungen für Paketzusteller führen darf,“</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„unabhängig von der Art ihres jeweiligen Beschäftigungsverhältnisses; fordert die Kommission und die Mitgliedstaaten auf, dafür zu sorgen, dass die Arbeitnehmerrechte in Bezug auf den Zugang zu Sozialversicherungssystemen und das Recht auf Arbeitskampfmaßnahmen in diesem Wirtschaftszweig gewahrt bleiben;“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„hebt hervor, dass die soziale Sicherheit in die Zuständigkeit der Mitgliedstaaten fällt;“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47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„vertritt die Auffassung, dass unter gebührender Achtung der Zuständigkeiten in den Mitgliedstaaten mehr Koordinierung im Bereich Steuerpolitik erforderlich ist, um Marktverzerrungen, Steuervermeidung und Steuerhinterziehung vorzubeugen und einen echten europäischen digitalen Binnenmarkt zu schaffen,“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„wofür es unter anderem erforderlich ist, eine EU-weite gemeinsame konsolidierte Bemessungsgrundlage für die Körperschaftssteuer einzuführen;“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"harmonisierten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das in der AVMD-Richtlinie verankerte Ursprungslandprinzip eine notwendige Voraussetzung ist, um audiovisuelle Inhalte über territoriale Grenzen hinweg anbieten zu können und somit in Bezug auf die Schaffung eines gemeinsamen Dienstleistungsmarkts voranzukommen; hebt gleichzeitig hervor, dass dieses Prinzip weder der Verwirklichung gesellschaftlicher und kultureller Ziele noch der Umsetzung notwendiger Änderungen des Unionsrechts, die über die AVMD-Richtlinie hinausgehen, im Wege steht;“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das Ursprungsland, in dem die Werbeeinnahmen erzielt werden, sowie die Sprache des Diensts, des Zielpublikums der Werbung und des Inhalts als Teil der Kriterien zur Festlegung oder Anfechtung des Ursprungslands eines audiovisuellen Mediendiensts angesehen werden sollten, um die Praxis der Wahl des günstigsten Gerichtsstands einzudämmen;“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der Ansicht, dass die AVMD-Richtlinie für alle gelten sollte, auch für Anbieter von Online-Plattformen für audiovisuelle Medien und Nutzeroberflächen, sofern audiovisuelle Mediendienste betroffen sind;“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Vorschriften wichtig sind, die darauf abzielen, die Auffindbarkeit von legalen Inhalten und Informationen zu verbessern, um die Medienfreiheit, den Pluralismus und die unabhängige Forschung zu stärken und die Einhaltung des Grundsatzes der Nichtdiskriminierung zu garantieren, wodurch die sprachliche und kulturelle Vielfalt gewahrt wird; betont, dass die Mitgliedstaaten zur Wahrung der Auffindbarkeit audiovisueller Inhalte von öffentlichem Interesse besondere Vorschriften einführen dürfen, mit denen darauf abgezielt wird, die kulturelle und sprachliche Vielfalt und die Vielfalt an Informationen, Meinungen und Medien zu wahren sowie Kinder, Jugendliche oder Minderheiten und die Verbraucher im Allgemeinen zu schützen; fordert Maßnahmen, mit denen dafür gesorgt wird, dass audiovisuelle Mediendienste für benachteiligte und schutzbedürftige Gruppen zugänglich sind; fordert die Kommission mit Nachdruck auf, das legale Angebot von audiovisuellen Medieninhalten anzukurbeln, indem unabhängige europäische Werke begünstigt werden;“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Mitgliedstaaten auf, die Beschäftigungs- und Sozialpolitik an Innovationen und das Unternehmertum in der Digitalwirtschaft sowie an das Wachstum der Wirtschaft des Teilens und ihre möglicherweise flexibleren Beschäftigungsformen anzupassen, indem sie neue Formen der Beschäftigung ermitteln und prüfen, ob das Sozial- und Arbeitsrecht modernisiert werden muss,“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„damit die geltenden Arbeitnehmerrechte und die Systeme der sozialen Sicherung auch in der digitalen Arbeitsweit erhalten bleiben können;“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„hebt hervor, dass die soziale Sicherheit in die Zuständigkeit der Mitgliedstaaten fällt; fordert die Kommission auf, einschlägige bewährte Verfahren in der EU und auf internationaler Ebene zu ermitteln und den Austausch dieser Verfahren zu fördern;“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 xml:space="preserve">„vertritt die Auffassung, dass Softwareanbieter bei den Nutzern stärker für die Sicherheitsvorteile quelloffener Software und sicherheitsrelevanter Softwareaktualisierungen werben sollten;“ </w:t>
              <w:br/>
              <w:t>ohne die Worte „quelloffener Software“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„quelloffener Software“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„fordert die Kommission auf, als Mittel gegen die Ausnutzung von Sicherheitslücken in Software und die Verletzung des Schutzes personenbezogener Daten zu prüfen, ob ein EU-weites koordiniertes Programm zur Offenlegung von Schwachstellen durchgeführt werden sollte, in dessen Zuge auch bekannte Sicherheitslücken in Software geschlossen werden;“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119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„begrüßt die Schaffung der europaweiten großen Koalition für digitale Arbeitsplätze und legt Unternehmen nahe, sich dieser Koalition anzuschließen, und fordert die Kommission und die Mitgliedstaaten mit Nachdruck auf, die aktive Beteiligung von KMU zu erleichtern;“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„begrüßt die Überlegungen der Kommission zum Aufbau moderner Wissensspeicher durch zertifizierte und datenschutzrechtlich abgesicherte Cloud-Technologien und die gezielte Text- und Datensuche für den öffentlichen Sektor; vertritt die Auffassung, dass besondere Aus- und Weiterbildungsbemühungen in Berufszweigen des Bibliothekswesens, der Archivierung und Dokumentation erforderlich sind, damit diese Technologien genutzt werden können; regt an, dass digitale Formen der Gemeinschaftsarbeit und der kollaborativen Kommunikation – unter Nutzung und Weiterentwicklung von CC-Lizenzen – über Länder- und Sprachgrenzen hinweg in Bildung, Aus- und Weiterbildung sowie öffentlichen Forschungseinrichtungen gelehrt, angewendet und bei der Vergabe öffentlicher Aufträge gefördert werden;“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„stellt fest, dass der dualen Ausbildung entscheidende Bedeutung zukommt;“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16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der Ansicht, dass die Gefahr einer zunehmenden Diskrepanz zwischen den anwendbaren Rechtsnormen für Offline- und Online-Käufe von Verbrauchern in den Vorschlägen der Kommission für grenzübergreifende Vertragsbestimmungen für Verbraucher und Unternehmen vermieden werden sollte, und ist der Auffassung, dass Online- und Offline-Käufe kohärent und, auf der Grundlage des bestehenden hohen Niveaus des Verbraucherschutzes, gleich behandelt werden sollten, da unterschiedliche Rechtsnormen von den Verbrauchern als Verwehrung ihrer Rechte aufgefasst werden könnten; bekräftigt, dass bei sämtlichen neuen Vorschlägen Artikel 6 der Rom-I-Verordnung beachtet werden sollte,“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weist darauf hin, dass die Kommission plant, 2016 auf den gesamten Besitzstand im Verbraucherbereich das Programm REFIT anzuwenden; fordert die Kommission in diesem Zusammenhang auf zu überdenken, ob der geplante Vorschlag der Kommission für materielle Güter nicht gleichzeitig mit der Anwendung von REFIT vorgelegt werden sollte;“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„in einen bestimmten Mitgliedstaat“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„begrüßt die Initiative der Kommission, die Aufgaben von Online-Plattformen in der digitalen Wirtschaft als Teil der Strategie für den digitalen Binnenmarkt zu analysieren, da sich diese Initiative auf mehrere anstehende Legislativvorschläge auswirkt; vertritt die Auffassung, dass im Zuge dieser Analyse bekannte und genau bestimmte Probleme in spezifischen Geschäftsbereichen erkannt und mögliche Lücken im Verbraucherschutz aufgedeckt werden sollten sowie eine Unterscheidung zwischen Online-Diensten und Anbietern von Online-Diensten eingeführt werden sollte;“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dass Plattformen, die mit Kulturgütern und insbesondere audiovisuellen Medien zu tun haben, in einer Weise behandelt werden müssen, bei der das UNESCO-Übereinkommen zum Schutz und zur Förderung der Vielfalt kultureller Ausdrucksformen beachtet wird;“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S&amp;D: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der Auffassung, dass ehrgeizige, gezielte Maßnahmen erforderlich sind, um den Zugang zu Waren und Dienstleistungen zu verbessern, insbesondere, indem ungerechtfertigten Praktiken des Geoblockings und der unfairen Preisdiskriminierung auf der Grundlage der geographischen Lage oder der Nationalität, die oft dazu führen, dass Monopole gebildet werden, ein Ende gesetzt wird;“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Verbraucher auf illegale Inhalte zugreifen“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73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"zukunftssicher und"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„öffentlich-private Partnerschaften und den Dialog zwischen öffentlichen und privaten Einrichtungen im Einklang mit dem geltenden EU-Recht zu unterstützen,“ (Spiegelstrich 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87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„ist der Ansicht, dass mehr Ressourcen erforderlich sind, um Vertrauen in Digitaldienste, datengesteuerte Technologien, IT- und Zahlungssysteme, die kritische Infrastruktur und Online-Netze zu wahren und deren Sicherheit aufrechtzuerhalten;“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„dass die europäischen Cybersicherheitsunternehmen und der öffentliche und private Sektor – insbesondere durch Forschungskooperationen wie beispielsweise im Rahmen von Horizont 2020 – zusammenarbeiten müssen und dass öffentlich-private Partnerschaften notwendig sind, unterstützt den Austausch der bewährten Verfahren der Mitgliedstaaten, was öffentlich-private Partnerschaften in diesem Bereich betrifft;“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92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„weist darauf hin, dass Werkzeuge wie die Verschlüsselung ein nützliches Mittel für Bürger und Unternehmen zum Schutz ihrer Privatsphäre sind und immerhin für ein Mindestmaß an Kommunikationssicherheit sorgen;“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„missbilligt, dass diese Werkzeuge auch für kriminelle Zwecke genutzt werden können;“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EFDD: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34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gesamter Text ohne die Worte „prägnante Fallgruppen zu ermitteln und festzulegen, in denen eine Ungleichbehandlung gemäß Artikel 20 Absatz 2 der Dienstleistungsrichtlinie gerechtfertigt ist, um“</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diese Worte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53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„hält eine erfolgreiche Einführung des EFSI für sehr wichtig, damit möglichst hohe Investitionen getätigt werden, die auf Projekte mit höherem Risiko ausgerichtet sind und mit denen der Wirtschaftsaufschwung angekurbelt wird, das Wachstum gefördert wird und Anreize für private Investitionen gesetzt werden, beispielsweise für Mikrofinanzierung und Wagniskapital, um innovative Unternehmen in den unterschiedlichen Finanzierungsphasen ihrer Entwicklung zu unterstützen;“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„erachtet es in Fällen von Marktversagen als wichtig, die Mittel der öf</w:t>
            </w:r>
            <w:r w:rsidR="00B81334">
              <w:t xml:space="preserve">fentlichen Hand, die bereits für Investitionen in die Digitalwirtschaft zur Verfügung stehen, in vollem Umfang zu nutzen und Synergiewirkungen zwischen EU-Programmen wie Horizont 2020, der Fazilität „Connecting Europe“ und anderen einschlägigen Strukturfonds und weiteren Instrumenten zu erzielen, auch durch von örtlichen Gemeinschaften getragene Projekte und mit den Vorschriften für staatliche Beihilfen vereinbare staatliche Beihilfen, um öffentliche WLAN-Netze in größeren und kleineren Kommunen zu fördern, da sich in den Bereichen regionale, soziale und kulturelle Integration und in der Bildung die Bereitstellung dieser Netze als unbedingt notwendig erwiesen hat;“ </w:t>
              <w:br/>
              <w:t>ohne die Worte „in Fällen von Marktversagen“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3.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„in Fällen von Marktversagen“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B81334" w:rsidRPr="00EC02A4" w:rsidP="00DE5707">
            <w:pPr>
              <w:tabs>
                <w:tab w:val="left" w:pos="567"/>
              </w:tabs>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762743" w:rsidRPr="00EC02A4" w:rsidP="00DE5707">
            <w:pPr>
              <w:pStyle w:val="REMARKTABLECELLSIMPLE"/>
              <w:tabs>
                <w:tab w:val="left" w:pos="567"/>
              </w:tabs>
            </w:pPr>
            <w:r w:rsidR="00B81334">
              <w:t>§ 62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1.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„betont den Doppelcharakter audiovisueller Medien als Sozial-, Kultur- und Wirtschaftsgut; stellt fest, dass Mediendienste in der EU reguliert werden müssen, weil es gilt, die Vielfalt der audiovisuellen Medien zu sichern und zu fördern, strenge Normen für den Schutz von Minderjährigen, Verbrauchern und personenbezogenen Daten festzulegen, faire Wettbewerbsbedingungen zu schaffen“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762743" w:rsidRPr="00EC02A4" w:rsidP="00DE5707">
            <w:pPr>
              <w:pStyle w:val="REMARKTABLECELLITALIC"/>
              <w:tabs>
                <w:tab w:val="left" w:pos="567"/>
              </w:tabs>
            </w:pPr>
            <w:r w:rsidR="00B81334">
              <w:t>2. Teil</w:t>
            </w:r>
          </w:p>
        </w:tc>
        <w:tc>
          <w:tcPr>
            <w:tcW w:w="7495" w:type="dxa"/>
            <w:tcMar>
              <w:top w:w="0" w:type="dxa"/>
              <w:left w:w="0" w:type="dxa"/>
              <w:bottom w:w="0" w:type="dxa"/>
              <w:right w:w="0" w:type="dxa"/>
            </w:tcMar>
          </w:tcPr>
          <w:p w:rsidR="00762743" w:rsidRPr="00EC02A4" w:rsidP="00DE5707">
            <w:pPr>
              <w:pStyle w:val="REMARKTABLECELLSIMPLE"/>
              <w:tabs>
                <w:tab w:val="left" w:pos="567"/>
              </w:tabs>
            </w:pPr>
            <w:r w:rsidR="00B81334">
              <w:t>„und mehr Flexibilität bei den Bestimmungen über quantitative Vorgaben und die kommerzielle Kommunikation zu erreichen;“</w:t>
            </w:r>
          </w:p>
        </w:tc>
      </w:tr>
    </w:tbl>
    <w:p w:rsidR="00B81334" w:rsidRPr="00EC02A4" w:rsidP="00DE5707">
      <w:pPr>
        <w:tabs>
          <w:tab w:val="left" w:pos="567"/>
        </w:tabs>
      </w:pPr>
    </w:p>
    <w:sectPr>
      <w:footerReference w:type="default" r:id="rId4"/>
      <w:pgSz w:w="11905" w:h="16837"/>
      <w:pgMar w:top="1440" w:right="1418" w:bottom="1440" w:left="1418" w:header="720"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065" w:type="dxa"/>
      <w:tblInd w:w="10" w:type="dxa"/>
      <w:tblLayout w:type="fixed"/>
      <w:tblCellMar>
        <w:left w:w="10" w:type="dxa"/>
        <w:right w:w="10" w:type="dxa"/>
      </w:tblCellMar>
      <w:tblLook w:val="04A0"/>
    </w:tblPr>
    <w:tblGrid>
      <w:gridCol w:w="4121"/>
      <w:gridCol w:w="822"/>
      <w:gridCol w:w="4122"/>
    </w:tblGrid>
    <w:tr>
      <w:tblPrEx>
        <w:tblW w:w="9065" w:type="dxa"/>
        <w:tblInd w:w="10" w:type="dxa"/>
        <w:tblLayout w:type="fixed"/>
        <w:tblCellMar>
          <w:left w:w="10" w:type="dxa"/>
          <w:right w:w="10" w:type="dxa"/>
        </w:tblCellMar>
        <w:tblLook w:val="04A0"/>
      </w:tblPrEx>
      <w:tc>
        <w:tcPr>
          <w:tcW w:w="4122" w:type="dxa"/>
        </w:tcPr>
        <w:p w:rsidR="00B81334" w:rsidRPr="00EC02A4">
          <w:pPr>
            <w:pStyle w:val="FOOTERSTYLELEFTSTYLE"/>
          </w:pPr>
          <w:r w:rsidR="004858E3">
            <w:t>P8_PV</w:t>
          </w:r>
          <w:r>
            <w:t>(2016)01-19(VOT)_DE.doc</w:t>
          </w:r>
        </w:p>
      </w:tc>
      <w:tc>
        <w:tcPr>
          <w:tcW w:w="822" w:type="dxa"/>
        </w:tcPr>
        <w:p w:rsidR="00B81334">
          <w:pPr>
            <w:pStyle w:val="FOOTERSTYLECENTERSTYLE"/>
          </w:pPr>
          <w:r>
            <w:fldChar w:fldCharType="begin"/>
          </w:r>
          <w:r>
            <w:instrText xml:space="preserve"> PAGE </w:instrText>
          </w:r>
          <w:r>
            <w:fldChar w:fldCharType="separate"/>
          </w:r>
          <w:r w:rsidR="004858E3">
            <w:rPr>
              <w:noProof/>
            </w:rPr>
            <w:t>1</w:t>
          </w:r>
          <w:r>
            <w:fldChar w:fldCharType="end"/>
          </w:r>
        </w:p>
      </w:tc>
      <w:tc>
        <w:tcPr>
          <w:tcW w:w="4122" w:type="dxa"/>
        </w:tcPr>
        <w:p w:rsidR="00B81334">
          <w:pPr>
            <w:pStyle w:val="FOOTERSTYLERIGHTSTYLE"/>
          </w:pPr>
          <w:r>
            <w:t>PE 576.418</w:t>
          </w:r>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BA4"/>
    <w:multiLevelType w:val="multilevel"/>
    <w:tmpl w:val="5540F71C"/>
    <w:styleLink w:val="Numbering1"/>
    <w:lvl w:ilvl="0">
      <w:start w:val="1"/>
      <w:numFmt w:val="decimal"/>
      <w:pStyle w:val="VOTETITLE"/>
      <w:lvlText w:val="%1."/>
      <w:lvlJc w:val="left"/>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de-DE" w:eastAsia="de-DE" w:bidi="de-DE"/>
    </w:rPr>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lang w:val="de-DE" w:eastAsia="de-DE" w:bidi="de-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widowControl w:val="0"/>
      <w:suppressAutoHyphens/>
      <w:autoSpaceDN w:val="0"/>
      <w:spacing w:before="283" w:after="283"/>
      <w:jc w:val="center"/>
      <w:textAlignment w:val="baseline"/>
    </w:pPr>
    <w:rPr>
      <w:b/>
      <w:kern w:val="3"/>
      <w:sz w:val="32"/>
      <w:szCs w:val="24"/>
      <w:lang w:val="de-DE" w:eastAsia="de-DE" w:bidi="de-DE"/>
    </w:rPr>
  </w:style>
  <w:style w:type="paragraph" w:customStyle="1" w:styleId="SIGNIFICATIONABR">
    <w:name w:val="SIGNIFICATION ABR"/>
    <w:pPr>
      <w:widowControl w:val="0"/>
      <w:suppressAutoHyphens/>
      <w:autoSpaceDN w:val="0"/>
      <w:ind w:left="108"/>
      <w:textAlignment w:val="baseline"/>
    </w:pPr>
    <w:rPr>
      <w:kern w:val="3"/>
      <w:sz w:val="22"/>
      <w:szCs w:val="24"/>
      <w:lang w:val="de-DE" w:eastAsia="de-DE" w:bidi="de-DE"/>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widowControl w:val="0"/>
      <w:suppressAutoHyphens/>
      <w:autoSpaceDN w:val="0"/>
      <w:spacing w:after="227"/>
      <w:textAlignment w:val="baseline"/>
    </w:pPr>
    <w:rPr>
      <w:i/>
      <w:kern w:val="3"/>
      <w:sz w:val="22"/>
      <w:szCs w:val="24"/>
      <w:lang w:val="de-DE" w:eastAsia="de-DE" w:bidi="de-DE"/>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EC02A4"/>
    <w:rPr>
      <w:rFonts w:ascii="Tahoma" w:hAnsi="Tahoma" w:cs="Mangal"/>
      <w:sz w:val="16"/>
      <w:szCs w:val="14"/>
    </w:rPr>
  </w:style>
  <w:style w:type="character" w:customStyle="1" w:styleId="BalloonTextChar">
    <w:name w:val="Balloon Text Char"/>
    <w:link w:val="BalloonText"/>
    <w:uiPriority w:val="99"/>
    <w:semiHidden/>
    <w:rsid w:val="00EC02A4"/>
    <w:rPr>
      <w:rFonts w:ascii="Tahoma" w:hAnsi="Tahoma" w:cs="Mangal"/>
      <w:kern w:val="3"/>
      <w:sz w:val="16"/>
      <w:szCs w:val="14"/>
      <w:lang w:val="de-DE" w:eastAsia="de-DE" w:bidi="de-D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TotalTime>
  <Pages>30</Pages>
  <Words>6536</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SCHUETZ Sabine</cp:lastModifiedBy>
  <cp:revision>2</cp:revision>
  <cp:lastPrinted>2016-01-19T13:05:00Z</cp:lastPrinted>
  <dcterms:created xsi:type="dcterms:W3CDTF">2016-03-17T13:59:00Z</dcterms:created>
  <dcterms:modified xsi:type="dcterms:W3CDTF">2016-03-17T13:59:00Z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extension">
    <vt:lpwstr>.doc</vt:lpwstr>
  </property>
</Properties>
</file>