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C46F2D" w:rsidRPr="00683DD2">
      <w:pPr>
        <w:pStyle w:val="ANNEXTITLE"/>
        <w:rPr>
          <w:szCs w:val="24"/>
        </w:rPr>
      </w:pPr>
      <w:r w:rsidRPr="00683DD2">
        <w:rPr>
          <w:szCs w:val="24"/>
          <w:lang w:val="pt-PT"/>
        </w:rPr>
        <w:t>ANEXO</w:t>
      </w:r>
    </w:p>
    <w:p w:rsidR="00C46F2D" w:rsidRPr="00683DD2">
      <w:pPr>
        <w:pStyle w:val="STYTAB"/>
        <w:rPr>
          <w:szCs w:val="24"/>
        </w:rPr>
      </w:pPr>
    </w:p>
    <w:p w:rsidR="00C46F2D" w:rsidRPr="00683DD2">
      <w:pPr>
        <w:pStyle w:val="VOTERESULT"/>
        <w:rPr>
          <w:szCs w:val="24"/>
        </w:rPr>
      </w:pPr>
      <w:r w:rsidRPr="00683DD2">
        <w:rPr>
          <w:szCs w:val="24"/>
          <w:lang w:val="pt-PT"/>
        </w:rPr>
        <w:t>RESULTADOS DAS VOTAÇÕES</w:t>
      </w:r>
    </w:p>
    <w:tbl>
      <w:tblPr>
        <w:tblStyle w:val="TableNormal"/>
        <w:tblW w:w="8377" w:type="dxa"/>
        <w:tblInd w:w="421" w:type="dxa"/>
        <w:tblLayout w:type="fixed"/>
        <w:tblCellMar>
          <w:left w:w="10" w:type="dxa"/>
          <w:right w:w="10" w:type="dxa"/>
        </w:tblCellMar>
        <w:tblLook w:val="04A0"/>
      </w:tblPr>
      <w:tblGrid>
        <w:gridCol w:w="2550"/>
        <w:gridCol w:w="5827"/>
      </w:tblGrid>
      <w:tr>
        <w:tblPrEx>
          <w:tblW w:w="8377" w:type="dxa"/>
          <w:tblInd w:w="421" w:type="dxa"/>
          <w:tblLayout w:type="fixed"/>
          <w:tblCellMar>
            <w:left w:w="10" w:type="dxa"/>
            <w:right w:w="10" w:type="dxa"/>
          </w:tblCellMar>
          <w:tblLook w:val="04A0"/>
        </w:tblPrEx>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C46F2D" w:rsidRPr="00683DD2">
            <w:pPr>
              <w:pStyle w:val="SIGNIFICATIONTITLE"/>
              <w:snapToGrid w:val="0"/>
              <w:rPr>
                <w:lang w:val="pt-PT" w:bidi="ar-SA"/>
              </w:rPr>
            </w:pPr>
            <w:r w:rsidRPr="00683DD2">
              <w:rPr>
                <w:lang w:val="pt-PT" w:bidi="ar-SA"/>
              </w:rPr>
              <w:t>Significado das abreviaturas e dos símbolos</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bidi="ar-SA"/>
              </w:rP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aprovado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bidi="ar-SA"/>
              </w:rP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rejeitado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bidi="ar-SA"/>
              </w:rP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caduco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retirado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VN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val="pt-PT" w:bidi="ar-SA"/>
              </w:rPr>
            </w:pPr>
            <w:r w:rsidRPr="00683DD2">
              <w:rPr>
                <w:lang w:val="pt-PT" w:bidi="ar-SA"/>
              </w:rPr>
              <w:t>votação nominal (votos a favor, votos contra, abstenções)</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VE (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val="pt-PT" w:bidi="ar-SA"/>
              </w:rPr>
            </w:pPr>
            <w:r w:rsidRPr="00683DD2">
              <w:rPr>
                <w:lang w:val="pt-PT" w:bidi="ar-SA"/>
              </w:rPr>
              <w:t xml:space="preserve">votação eletrónica (votos a favor, </w:t>
            </w:r>
            <w:r w:rsidRPr="00683DD2">
              <w:rPr>
                <w:lang w:val="pt-PT" w:bidi="ar-SA"/>
              </w:rPr>
              <w:t>votos contra, abstenções)</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VP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votação por partes</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votação em separado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alt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alteração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AC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alteração de compromisso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parte correspondente</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alteração supressiva</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bidi="ar-SA"/>
              </w:rP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alterações idênticas</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bidi="ar-SA"/>
              </w:rP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n.º</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artigo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cons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considerando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proposta de resolução</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proposta de resolução comum</w:t>
            </w:r>
          </w:p>
        </w:tc>
      </w:tr>
      <w:tr>
        <w:tblPrEx>
          <w:tblW w:w="8377" w:type="dxa"/>
          <w:tblInd w:w="421" w:type="dxa"/>
          <w:tblLayout w:type="fixed"/>
          <w:tblCellMar>
            <w:left w:w="10" w:type="dxa"/>
            <w:right w:w="10" w:type="dxa"/>
          </w:tblCellMar>
          <w:tblLook w:val="04A0"/>
        </w:tblPrEx>
        <w:tc>
          <w:tcPr>
            <w:tcW w:w="2550" w:type="dxa"/>
            <w:tcBorders>
              <w:left w:val="single" w:sz="4" w:space="0" w:color="000000"/>
              <w:bottom w:val="single" w:sz="4" w:space="0" w:color="000000"/>
            </w:tcBorders>
            <w:tcMar>
              <w:top w:w="0" w:type="dxa"/>
              <w:left w:w="0" w:type="dxa"/>
              <w:bottom w:w="0" w:type="dxa"/>
              <w:right w:w="0" w:type="dxa"/>
            </w:tcMar>
          </w:tcPr>
          <w:p w:rsidR="00C46F2D" w:rsidRPr="00683DD2">
            <w:pPr>
              <w:pStyle w:val="SIGNIFICATIONABR"/>
              <w:rPr>
                <w:lang w:bidi="ar-SA"/>
              </w:rPr>
            </w:pPr>
            <w:r w:rsidRPr="00683DD2">
              <w:rPr>
                <w:lang w:val="pt-PT" w:bidi="ar-SA"/>
              </w:rPr>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C46F2D" w:rsidRPr="00683DD2">
            <w:pPr>
              <w:pStyle w:val="SIGNIFICATIONDESC"/>
              <w:rPr>
                <w:lang w:bidi="ar-SA"/>
              </w:rPr>
            </w:pPr>
            <w:r w:rsidRPr="00683DD2">
              <w:rPr>
                <w:lang w:val="pt-PT" w:bidi="ar-SA"/>
              </w:rPr>
              <w:t>votação por escrutínio secreto</w:t>
            </w:r>
          </w:p>
        </w:tc>
      </w:tr>
    </w:tbl>
    <w:p w:rsidR="00C46F2D" w:rsidRPr="00683DD2">
      <w:pPr>
        <w:rPr>
          <w:lang w:bidi="ar-SA"/>
        </w:rPr>
      </w:pPr>
    </w:p>
    <w:p w:rsidR="00C46F2D" w:rsidRPr="00683DD2" w:rsidP="002E15DD">
      <w:pPr>
        <w:pStyle w:val="VOTEFIRSTTITLE"/>
        <w:tabs>
          <w:tab w:val="left" w:pos="567"/>
          <w:tab w:val="clear" w:pos="1134"/>
        </w:tabs>
        <w:rPr>
          <w:szCs w:val="24"/>
          <w:lang w:val="pt-PT"/>
        </w:rPr>
      </w:pPr>
      <w:r w:rsidRPr="006E259B" w:rsidR="00DC4982">
        <w:rPr>
          <w:noProof/>
          <w:szCs w:val="24"/>
          <w:lang w:val="pt-PT"/>
        </w:rPr>
        <w:t>Acordo de Estabilização e de Associação UE-Kosovo</w:t>
      </w:r>
      <w:r w:rsidRPr="00683DD2">
        <w:rPr>
          <w:noProof/>
          <w:szCs w:val="24"/>
          <w:lang w:val="pt-PT"/>
        </w:rPr>
        <w:t>***</w:t>
      </w:r>
    </w:p>
    <w:p w:rsidR="00C46F2D" w:rsidRPr="006E259B" w:rsidP="00DC4982">
      <w:pPr>
        <w:pStyle w:val="VOTEREPORTTITLE"/>
        <w:spacing w:after="220"/>
        <w:rPr>
          <w:lang w:bidi="ar-SA"/>
        </w:rPr>
      </w:pPr>
      <w:r w:rsidRPr="006E259B" w:rsidR="00DC4982">
        <w:rPr>
          <w:lang w:val="pt-PT" w:bidi="ar-SA"/>
        </w:rPr>
        <w:t>Recomendação:</w:t>
      </w:r>
      <w:r w:rsidRPr="006E259B" w:rsidR="00DC4982">
        <w:rPr>
          <w:lang w:bidi="ar-SA"/>
        </w:rPr>
        <w:t xml:space="preserve"> </w:t>
      </w:r>
      <w:r w:rsidRPr="006E259B" w:rsidR="00DC4982">
        <w:rPr>
          <w:lang w:val="pt-PT" w:bidi="ar-SA"/>
        </w:rPr>
        <w:t>Ulrike Lunacek (A8-0372/2015)</w:t>
      </w:r>
    </w:p>
    <w:tbl>
      <w:tblPr>
        <w:tblStyle w:val="TableNormal"/>
        <w:tblW w:w="9071" w:type="dxa"/>
        <w:tblInd w:w="108" w:type="dxa"/>
        <w:tblLayout w:type="fixed"/>
        <w:tblCellMar>
          <w:left w:w="10" w:type="dxa"/>
          <w:right w:w="10" w:type="dxa"/>
        </w:tblCellMar>
        <w:tblLook w:val="04A0"/>
      </w:tblPr>
      <w:tblGrid>
        <w:gridCol w:w="3260"/>
        <w:gridCol w:w="2409"/>
        <w:gridCol w:w="1440"/>
        <w:gridCol w:w="1962"/>
      </w:tblGrid>
      <w:tr>
        <w:tblPrEx>
          <w:tblW w:w="9071" w:type="dxa"/>
          <w:tblInd w:w="108" w:type="dxa"/>
          <w:tblLayout w:type="fixed"/>
          <w:tblCellMar>
            <w:left w:w="10" w:type="dxa"/>
            <w:right w:w="10" w:type="dxa"/>
          </w:tblCellMar>
          <w:tblLook w:val="04A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Assunto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Votação</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lang w:val="pt-PT"/>
              </w:rPr>
            </w:pPr>
            <w:r w:rsidRPr="00683DD2">
              <w:rPr>
                <w:szCs w:val="24"/>
                <w:lang w:val="pt-PT"/>
              </w:rPr>
              <w:t>Votação por VN/VE - observações</w:t>
            </w:r>
          </w:p>
        </w:tc>
      </w:tr>
      <w:tr>
        <w:tblPrEx>
          <w:tblW w:w="9071" w:type="dxa"/>
          <w:tblInd w:w="108" w:type="dxa"/>
          <w:tblLayout w:type="fixed"/>
          <w:tblCellMar>
            <w:left w:w="10" w:type="dxa"/>
            <w:right w:w="10" w:type="dxa"/>
          </w:tblCellMar>
          <w:tblLook w:val="04A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lang w:val="pt-PT"/>
              </w:rPr>
              <w:t>votação:</w:t>
            </w:r>
            <w:r w:rsidRPr="00683DD2">
              <w:rPr>
                <w:szCs w:val="24"/>
              </w:rPr>
              <w:t xml:space="preserve"> </w:t>
            </w:r>
            <w:r w:rsidRPr="00683DD2">
              <w:rPr>
                <w:szCs w:val="24"/>
                <w:lang w:val="pt-PT"/>
              </w:rPr>
              <w:t>aprovação</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468, 102, 81</w:t>
            </w:r>
          </w:p>
        </w:tc>
      </w:tr>
    </w:tbl>
    <w:p w:rsidR="00C46F2D" w:rsidRPr="00683DD2">
      <w:pPr>
        <w:pStyle w:val="STYTAB"/>
        <w:rPr>
          <w:szCs w:val="24"/>
        </w:rPr>
      </w:pPr>
    </w:p>
    <w:p w:rsidR="00C46F2D" w:rsidRPr="00683DD2">
      <w:pPr>
        <w:pStyle w:val="STYTAB"/>
        <w:rPr>
          <w:szCs w:val="24"/>
        </w:rPr>
      </w:pPr>
    </w:p>
    <w:p w:rsidR="00C46F2D" w:rsidRPr="00683DD2">
      <w:pPr>
        <w:pStyle w:val="STYTAB"/>
        <w:rPr>
          <w:szCs w:val="24"/>
        </w:rPr>
      </w:pPr>
    </w:p>
    <w:p w:rsidR="00C46F2D" w:rsidRPr="00683DD2" w:rsidP="002E15DD">
      <w:pPr>
        <w:pStyle w:val="VOTETITLE"/>
        <w:tabs>
          <w:tab w:val="left" w:pos="567"/>
          <w:tab w:val="clear" w:pos="1134"/>
        </w:tabs>
        <w:rPr>
          <w:szCs w:val="24"/>
          <w:lang w:val="pt-PT"/>
        </w:rPr>
      </w:pPr>
      <w:r w:rsidRPr="006E259B" w:rsidR="00DC4982">
        <w:rPr>
          <w:noProof/>
          <w:szCs w:val="24"/>
          <w:lang w:val="pt-PT"/>
        </w:rPr>
        <w:t>Nomeação dos membros para a Comissão de Inquérito sobre a medição das emissões no setor automóvel</w:t>
      </w:r>
    </w:p>
    <w:p w:rsidR="00C46F2D" w:rsidRPr="00683DD2">
      <w:pPr>
        <w:pStyle w:val="VOTEREPORTTITLE"/>
        <w:rPr>
          <w:lang w:val="pt-PT" w:bidi="ar-SA"/>
        </w:rPr>
      </w:pPr>
      <w:r w:rsidRPr="00683DD2">
        <w:rPr>
          <w:lang w:val="pt-PT" w:bidi="ar-SA"/>
        </w:rPr>
        <w:t>Proposta da Conferência dos Presidentes</w:t>
      </w:r>
    </w:p>
    <w:tbl>
      <w:tblPr>
        <w:tblStyle w:val="TableNormal"/>
        <w:tblW w:w="9071" w:type="dxa"/>
        <w:tblInd w:w="108" w:type="dxa"/>
        <w:tblLayout w:type="fixed"/>
        <w:tblCellMar>
          <w:left w:w="10" w:type="dxa"/>
          <w:right w:w="10" w:type="dxa"/>
        </w:tblCellMar>
        <w:tblLook w:val="04A0"/>
      </w:tblPr>
      <w:tblGrid>
        <w:gridCol w:w="3260"/>
        <w:gridCol w:w="2409"/>
        <w:gridCol w:w="1440"/>
        <w:gridCol w:w="1962"/>
      </w:tblGrid>
      <w:tr>
        <w:tblPrEx>
          <w:tblW w:w="9071" w:type="dxa"/>
          <w:tblInd w:w="108" w:type="dxa"/>
          <w:tblLayout w:type="fixed"/>
          <w:tblCellMar>
            <w:left w:w="10" w:type="dxa"/>
            <w:right w:w="10" w:type="dxa"/>
          </w:tblCellMar>
          <w:tblLook w:val="04A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Assunto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Votação</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lang w:val="pt-PT"/>
              </w:rPr>
            </w:pPr>
            <w:r w:rsidRPr="00683DD2">
              <w:rPr>
                <w:szCs w:val="24"/>
                <w:lang w:val="pt-PT"/>
              </w:rPr>
              <w:t>Votação por VN/VE - observações</w:t>
            </w:r>
          </w:p>
        </w:tc>
      </w:tr>
      <w:tr>
        <w:tblPrEx>
          <w:tblW w:w="9071" w:type="dxa"/>
          <w:tblInd w:w="108" w:type="dxa"/>
          <w:tblLayout w:type="fixed"/>
          <w:tblCellMar>
            <w:left w:w="10" w:type="dxa"/>
            <w:right w:w="10" w:type="dxa"/>
          </w:tblCellMar>
          <w:tblLook w:val="04A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lang w:val="pt-PT"/>
              </w:rPr>
              <w:t>Aprovação sem votação</w:t>
            </w:r>
          </w:p>
        </w:tc>
      </w:tr>
    </w:tbl>
    <w:p w:rsidR="00C46F2D" w:rsidRPr="00683DD2">
      <w:pPr>
        <w:pStyle w:val="STYTAB"/>
        <w:rPr>
          <w:szCs w:val="24"/>
        </w:rPr>
      </w:pPr>
    </w:p>
    <w:p w:rsidR="00C46F2D" w:rsidRPr="00683DD2">
      <w:pPr>
        <w:pStyle w:val="STYTAB"/>
        <w:rPr>
          <w:szCs w:val="24"/>
        </w:rPr>
      </w:pPr>
    </w:p>
    <w:p w:rsidR="00C46F2D" w:rsidRPr="00683DD2" w:rsidP="002E15DD">
      <w:pPr>
        <w:pStyle w:val="VOTETITLE"/>
        <w:tabs>
          <w:tab w:val="left" w:pos="567"/>
          <w:tab w:val="clear" w:pos="1134"/>
        </w:tabs>
        <w:rPr>
          <w:szCs w:val="24"/>
          <w:lang w:val="pt-PT"/>
        </w:rPr>
      </w:pPr>
      <w:r w:rsidRPr="006E259B" w:rsidR="00DC4982">
        <w:rPr>
          <w:noProof/>
          <w:szCs w:val="24"/>
          <w:lang w:val="pt-PT"/>
        </w:rPr>
        <w:t>Acordos de Associação / Acordos de Comércio Livre Abrangentes e Aprofundados com a Geórgia, a Moldávia e a Ucrânia</w:t>
      </w:r>
    </w:p>
    <w:p w:rsidR="00C46F2D" w:rsidRPr="006E259B" w:rsidP="00DC4982">
      <w:pPr>
        <w:pStyle w:val="VOTEREPORTTITLE"/>
        <w:spacing w:after="220"/>
        <w:rPr>
          <w:lang w:val="pt-PT" w:bidi="ar-SA"/>
        </w:rPr>
      </w:pPr>
      <w:r w:rsidRPr="006E259B" w:rsidR="00DC4982">
        <w:rPr>
          <w:lang w:val="pt-PT" w:bidi="ar-SA"/>
        </w:rPr>
        <w:t xml:space="preserve">Propostas de resolução: </w:t>
      </w:r>
      <w:r w:rsidRPr="00F86993" w:rsidR="00F86993">
        <w:rPr>
          <w:lang w:val="pt-PT" w:bidi="ar-SA"/>
        </w:rPr>
        <w:t xml:space="preserve">B8-0068/2016, B8-0069/2016, B8-0077/2016, B8-0078/2016,  B8-0079/2016, B8-0080/2016 </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lang w:val="pt-PT"/>
              </w:rPr>
            </w:pPr>
            <w:r w:rsidRPr="00683DD2">
              <w:rPr>
                <w:szCs w:val="24"/>
                <w:lang w:val="pt-PT"/>
              </w:rPr>
              <w:t>Votação por VN/VE - observações</w:t>
            </w:r>
          </w:p>
        </w:tc>
      </w:tr>
      <w:tr>
        <w:tblPrEx>
          <w:tblW w:w="9071" w:type="dxa"/>
          <w:tblInd w:w="108"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4982" w:rsidRPr="006E259B" w:rsidP="00DC4982">
            <w:pPr>
              <w:pStyle w:val="VOTINGTABLECELLOBJECT"/>
              <w:rPr>
                <w:szCs w:val="24"/>
                <w:lang w:val="pt-PT"/>
              </w:rPr>
            </w:pPr>
            <w:r w:rsidRPr="006E259B">
              <w:rPr>
                <w:szCs w:val="24"/>
                <w:lang w:val="pt-PT"/>
              </w:rPr>
              <w:t xml:space="preserve">Proposta de resolução comum RC-B8-0068/2016 </w:t>
              <w:br/>
              <w:t>(PPE, S&amp;D, ECR, ALDE, Verts/ALE)</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Após o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240, 349, 73</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noProof/>
                <w:szCs w:val="24"/>
              </w:rPr>
              <w:t>10S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lang w:val="pt-PT"/>
              </w:rPr>
              <w:t>modificados oralmente</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Após o § 29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102, 488, 71</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31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3/VE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300, 349, 14</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Após o §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223, 283, 161</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39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noProof/>
                <w:szCs w:val="24"/>
              </w:rPr>
              <w:t>15S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Após o § 43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44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139, 510, 14</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2E15DD">
            <w:pPr>
              <w:pStyle w:val="VOTINGTABLECELLREMARK"/>
              <w:rPr>
                <w:szCs w:val="24"/>
              </w:rPr>
            </w:pPr>
            <w:r w:rsidRPr="00683DD2">
              <w:rPr>
                <w:noProof/>
                <w:szCs w:val="24"/>
              </w:rPr>
              <w:t xml:space="preserve">468, 166, 27 </w:t>
              <w:br/>
              <w:t>modifi</w:t>
            </w:r>
            <w:r w:rsidR="002E15DD">
              <w:rPr>
                <w:noProof/>
                <w:szCs w:val="24"/>
              </w:rPr>
              <w:t>cado</w:t>
            </w:r>
            <w:r w:rsidRPr="00683DD2">
              <w:rPr>
                <w:noProof/>
                <w:szCs w:val="24"/>
              </w:rPr>
              <w:t xml:space="preserve"> oralment</w:t>
            </w:r>
            <w:r w:rsidR="002E15DD">
              <w:rPr>
                <w:noProof/>
                <w:szCs w:val="24"/>
              </w:rPr>
              <w:t>e</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Após o considerando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Considerando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126, 505, 35</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Após o considerando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Após o considerando 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lang w:val="pt-PT"/>
              </w:rPr>
            </w:pPr>
            <w:r w:rsidRPr="00683DD2">
              <w:rPr>
                <w:szCs w:val="24"/>
                <w:lang w:val="pt-PT"/>
              </w:rPr>
              <w:t>votação: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lang w:val="pt-PT"/>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lang w:val="pt-PT"/>
              </w:rPr>
            </w:pPr>
            <w:r w:rsidRPr="00683DD2">
              <w:rPr>
                <w:szCs w:val="24"/>
                <w:lang w:val="pt-PT"/>
              </w:rPr>
              <w:t>Propostas de resolução dos grupos políticos</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4982" w:rsidRPr="006E259B" w:rsidP="00DC4982">
            <w:pPr>
              <w:pStyle w:val="VOTINGTABLECELLSIMPLEOBJECT"/>
              <w:rPr>
                <w:szCs w:val="24"/>
              </w:rPr>
            </w:pPr>
            <w:r w:rsidRPr="006E259B">
              <w:rPr>
                <w:szCs w:val="24"/>
                <w:lang w:val="pt-PT"/>
              </w:rPr>
              <w:t>B8-0068/2016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4982" w:rsidRPr="006E259B" w:rsidP="00DC4982">
            <w:pPr>
              <w:pStyle w:val="VOTINGTABLECELLSIMPLEOBJECT"/>
              <w:rPr>
                <w:szCs w:val="24"/>
              </w:rPr>
            </w:pPr>
            <w:r w:rsidRPr="006E259B">
              <w:rPr>
                <w:szCs w:val="24"/>
                <w:lang w:val="pt-PT"/>
              </w:rPr>
              <w:t>B8-0069/2016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4982" w:rsidRPr="006E259B" w:rsidP="00DC4982">
            <w:pPr>
              <w:pStyle w:val="VOTINGTABLECELLSIMPLEOBJECT"/>
              <w:rPr>
                <w:szCs w:val="24"/>
              </w:rPr>
            </w:pPr>
            <w:r w:rsidRPr="006E259B">
              <w:rPr>
                <w:szCs w:val="24"/>
                <w:lang w:val="pt-PT"/>
              </w:rPr>
              <w:t>B8-0077/2016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4982" w:rsidRPr="006E259B" w:rsidP="00DC4982">
            <w:pPr>
              <w:pStyle w:val="VOTINGTABLECELLSIMPLEOBJECT"/>
              <w:rPr>
                <w:szCs w:val="24"/>
              </w:rPr>
            </w:pPr>
            <w:r w:rsidRPr="006E259B">
              <w:rPr>
                <w:szCs w:val="24"/>
                <w:lang w:val="pt-PT"/>
              </w:rPr>
              <w:t>B8-0078/2016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4982" w:rsidRPr="006E259B" w:rsidP="00DC4982">
            <w:pPr>
              <w:pStyle w:val="VOTINGTABLECELLSIMPLEOBJECT"/>
              <w:rPr>
                <w:szCs w:val="24"/>
              </w:rPr>
            </w:pPr>
            <w:r w:rsidRPr="006E259B">
              <w:rPr>
                <w:szCs w:val="24"/>
                <w:lang w:val="pt-PT"/>
              </w:rPr>
              <w:t>B8-0079/2016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4982" w:rsidRPr="006E259B" w:rsidP="00DC4982">
            <w:pPr>
              <w:pStyle w:val="VOTINGTABLECELLSIMPLEOBJECT"/>
              <w:rPr>
                <w:szCs w:val="24"/>
              </w:rPr>
            </w:pPr>
            <w:r w:rsidRPr="006E259B">
              <w:rPr>
                <w:szCs w:val="24"/>
                <w:lang w:val="pt-PT"/>
              </w:rPr>
              <w:t>B8-0080/2016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fr-FR"/>
              </w:rPr>
            </w:pPr>
            <w:r w:rsidRPr="00683DD2">
              <w:rPr>
                <w:szCs w:val="24"/>
                <w:lang w:val="pt-PT"/>
              </w:rPr>
              <w:t>Pedidos de votação nominal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GUE/NGL:</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Alterações 2, 5, 14, 17</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ALDE: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rPr>
              <w:t>§ 44</w:t>
            </w: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pt-PT"/>
              </w:rPr>
            </w:pPr>
            <w:r w:rsidRPr="00683DD2">
              <w:rPr>
                <w:szCs w:val="24"/>
                <w:lang w:val="pt-PT"/>
              </w:rPr>
              <w:t>Pedidos de votação por partes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noProof/>
                <w:szCs w:val="24"/>
              </w:rPr>
              <w:t>S&amp;D, ALDE: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31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w:t>
            </w:r>
            <w:r w:rsidRPr="00683DD2">
              <w:rPr>
                <w:szCs w:val="24"/>
                <w:lang w:val="pt-PT"/>
              </w:rPr>
              <w:t>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027FEC">
              <w:rPr>
                <w:lang w:val="pt-PT"/>
              </w:rPr>
              <w:t>"Congratula-se com a entrada em vigor, em 1 de janeiro de 2016, da ZCLAA entre a UE e a Ucrânia; critica, no entanto, o facto de a Federação da Rússia ter suspenso unilateralmente o Acordo de Comércio Livre com a Ucrânia e introduzido pesadas restrições comerciais às exportações da Ucrânia para a Rússia e estar a impedir o trânsito de mercadorias de países terceiros, em violação dos acordos da OMC e de outros acordos de comércio bilaterais;"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027FEC">
              <w:rPr>
                <w:lang w:val="pt-PT"/>
              </w:rPr>
              <w:t>"insta a UE a apoiar a Ucrânia nos atuais e futuros litígios com a Rússia no âmbito da OMC,"</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3.ª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027FEC">
              <w:rPr>
                <w:lang w:val="pt-PT"/>
              </w:rPr>
              <w:t>"assumindo o estatuto de «terceiro»;"</w:t>
            </w:r>
          </w:p>
        </w:tc>
      </w:tr>
    </w:tbl>
    <w:p w:rsidR="00C46F2D" w:rsidRPr="00683DD2">
      <w:pPr>
        <w:pStyle w:val="STYTAB"/>
        <w:rPr>
          <w:szCs w:val="24"/>
          <w:lang w:val="pt-PT"/>
        </w:rPr>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C46F2D" w:rsidRPr="00683DD2">
            <w:pPr>
              <w:pStyle w:val="REMARKTABLECELLTITLE"/>
              <w:rPr>
                <w:szCs w:val="24"/>
              </w:rPr>
            </w:pPr>
            <w:r w:rsidRPr="00683DD2">
              <w:rPr>
                <w:szCs w:val="24"/>
                <w:lang w:val="pt-PT"/>
              </w:rPr>
              <w:t>Diversos</w:t>
            </w: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C07975" w:rsidRPr="006E259B" w:rsidP="00C07975">
            <w:pPr>
              <w:pStyle w:val="REMARKTABLECELLSIMPLE"/>
              <w:rPr>
                <w:szCs w:val="24"/>
                <w:lang w:val="pt-PT"/>
              </w:rPr>
            </w:pPr>
            <w:r w:rsidRPr="006E259B">
              <w:rPr>
                <w:szCs w:val="24"/>
                <w:lang w:val="pt-PT"/>
              </w:rPr>
              <w:t>Michael Gahler propôs a seguinte alteração oral ao n.º 26:</w:t>
            </w:r>
          </w:p>
          <w:p w:rsidR="00C46F2D" w:rsidRPr="00C441FF" w:rsidP="00C441FF">
            <w:pPr>
              <w:pStyle w:val="REMARKTABLECELLSIMPLE"/>
              <w:rPr>
                <w:szCs w:val="24"/>
                <w:lang w:val="pt-PT"/>
              </w:rPr>
            </w:pPr>
            <w:r w:rsidR="00C441FF">
              <w:rPr>
                <w:rStyle w:val="VOTEFIRSTTITLE"/>
                <w:lang w:val="pt-PT"/>
              </w:rPr>
              <w:t xml:space="preserve">"26. </w:t>
            </w:r>
            <w:r w:rsidRPr="00C441FF" w:rsidR="00C07975">
              <w:rPr>
                <w:rStyle w:val="VOTEFIRSTTITLE"/>
                <w:lang w:val="pt-PT"/>
              </w:rPr>
              <w:t>C</w:t>
            </w:r>
            <w:r w:rsidRPr="00C441FF" w:rsidR="00C07975">
              <w:rPr>
                <w:lang w:val="pt-PT"/>
              </w:rPr>
              <w:t xml:space="preserve">ongratula-se com a criação de um novo governo após um longo período de impasse e das tentativas infrutíferas para formar governo em 4 e 13 de janeiro de 2016; </w:t>
            </w:r>
            <w:r w:rsidRPr="00C441FF" w:rsidR="00C07975">
              <w:rPr>
                <w:rStyle w:val="VOTEFIRSTTITLE"/>
                <w:lang w:val="pt-PT"/>
              </w:rPr>
              <w:t>insta as forças políticas da Moldávia a acelerarem sem demora o processo de reformas em benefício de todos os cidadãos moldavos, inclusive para cumprir as exigências do Banco Mundial e do Fundo Monetário Internacional (FMI</w:t>
            </w:r>
            <w:r w:rsidR="00C441FF">
              <w:rPr>
                <w:rStyle w:val="VOTEFIRSTTITLE"/>
                <w:lang w:val="pt-PT"/>
              </w:rPr>
              <w:t>);</w:t>
            </w:r>
            <w:r w:rsidRPr="00C441FF" w:rsidR="00C07975">
              <w:rPr>
                <w:rStyle w:val="VOTEFIRSTTITLE"/>
                <w:lang w:val="pt-PT"/>
              </w:rPr>
              <w:t xml:space="preserve"> insta a que sejam evitadas as graves consequências geopolíticas de uma nova crise política e recorda aos partidos moldavos a necessidade de reforçar a estabilidade política, a fim de garantir o êxito duradouro das reformas; espera que o novo governo consiga obter resultados importantes</w:t>
            </w:r>
            <w:r w:rsidRPr="00C441FF" w:rsidR="00C07975">
              <w:rPr>
                <w:lang w:val="pt-PT"/>
              </w:rPr>
              <w:t>;</w:t>
            </w:r>
            <w:r w:rsidR="00C441FF">
              <w:rPr>
                <w:lang w:val="pt-PT"/>
              </w:rPr>
              <w:t>"</w:t>
            </w: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C46F2D" w:rsidRPr="00683DD2">
            <w:pPr>
              <w:pStyle w:val="REMARKTABLECELLSIMPLE"/>
              <w:rPr>
                <w:szCs w:val="24"/>
                <w:lang w:val="pt-PT"/>
              </w:rPr>
            </w:pP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C07975" w:rsidRPr="006E259B" w:rsidP="00C07975">
            <w:pPr>
              <w:pStyle w:val="REMARKTABLECELLSIMPLE"/>
              <w:rPr>
                <w:szCs w:val="24"/>
                <w:lang w:val="pt-PT"/>
              </w:rPr>
            </w:pPr>
            <w:r w:rsidRPr="006E259B">
              <w:rPr>
                <w:szCs w:val="24"/>
                <w:lang w:val="pt-PT"/>
              </w:rPr>
              <w:t>Knut Fleckenstein propôs a seguinte alteração oral ao n.º 44:</w:t>
            </w: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C07975" w:rsidRPr="006E259B" w:rsidP="00C07975">
            <w:pPr>
              <w:pStyle w:val="REMARKTABLECELLSIMPLE"/>
              <w:rPr>
                <w:szCs w:val="24"/>
                <w:lang w:val="pt-PT"/>
              </w:rPr>
            </w:pPr>
            <w:r w:rsidR="00F26D20">
              <w:rPr>
                <w:rStyle w:val="VOTEFIRSTTITLE"/>
                <w:lang w:val="pt-PT"/>
              </w:rPr>
              <w:t xml:space="preserve">"44. </w:t>
            </w:r>
            <w:r w:rsidRPr="00F26D20">
              <w:rPr>
                <w:rStyle w:val="VOTEFIRSTTITLE"/>
                <w:lang w:val="pt-PT"/>
              </w:rPr>
              <w:t>Toma nota do</w:t>
            </w:r>
            <w:r w:rsidRPr="006E259B">
              <w:rPr>
                <w:rStyle w:val="VOTEFIRSTTITLE"/>
                <w:lang w:val="pt-PT"/>
              </w:rPr>
              <w:t xml:space="preserve"> próximo referendo consultivo nos Países Baixos sobre o AA/ZCLAA UE-Ucrânia; está convicto de que a decisão do povo neerlandês será tomada com base nos aspetos positivos do acordo, reconhecendo as suas consequências concretas para a UE e para os Países Baixos, em particular</w:t>
            </w:r>
            <w:r w:rsidRPr="006E259B">
              <w:rPr>
                <w:lang w:val="pt-PT"/>
              </w:rPr>
              <w:t>;</w:t>
            </w:r>
            <w:r w:rsidR="00F26D20">
              <w:rPr>
                <w:lang w:val="pt-PT"/>
              </w:rPr>
              <w:t>"</w:t>
            </w:r>
          </w:p>
          <w:p w:rsidR="00C46F2D" w:rsidRPr="00683DD2">
            <w:pPr>
              <w:pStyle w:val="REMARKTABLECELLSIMPLE"/>
              <w:rPr>
                <w:szCs w:val="24"/>
                <w:lang w:val="pt-PT"/>
              </w:rPr>
            </w:pP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DE4BD2" w:rsidRPr="006E259B" w:rsidP="00F26D20">
            <w:pPr>
              <w:pStyle w:val="REMARKTABLECELLSIMPLE"/>
              <w:rPr>
                <w:szCs w:val="24"/>
                <w:lang w:val="pt-PT"/>
              </w:rPr>
            </w:pPr>
            <w:r w:rsidRPr="006E259B">
              <w:rPr>
                <w:szCs w:val="24"/>
                <w:lang w:val="pt-PT"/>
              </w:rPr>
              <w:t>Javier Nart (grup</w:t>
            </w:r>
            <w:r w:rsidR="00F26D20">
              <w:rPr>
                <w:szCs w:val="24"/>
                <w:lang w:val="pt-PT"/>
              </w:rPr>
              <w:t>o</w:t>
            </w:r>
            <w:r w:rsidRPr="006E259B">
              <w:rPr>
                <w:szCs w:val="24"/>
                <w:lang w:val="pt-PT"/>
              </w:rPr>
              <w:t xml:space="preserve"> ALDE) retirou a sua assinatura da proposta de resolução comum B8-0068/2016.</w:t>
            </w:r>
          </w:p>
        </w:tc>
      </w:tr>
    </w:tbl>
    <w:p w:rsidR="00C46F2D" w:rsidRPr="00683DD2">
      <w:pPr>
        <w:pStyle w:val="STYTAB"/>
        <w:rPr>
          <w:szCs w:val="24"/>
          <w:lang w:val="pt-PT"/>
        </w:rPr>
      </w:pPr>
    </w:p>
    <w:p w:rsidR="00C46F2D" w:rsidRPr="00683DD2">
      <w:pPr>
        <w:pStyle w:val="STYTAB"/>
        <w:rPr>
          <w:szCs w:val="24"/>
          <w:lang w:val="pt-PT"/>
        </w:rPr>
      </w:pPr>
    </w:p>
    <w:p w:rsidR="00C46F2D" w:rsidRPr="00683DD2" w:rsidP="002E15DD">
      <w:pPr>
        <w:pStyle w:val="VOTETITLE"/>
        <w:tabs>
          <w:tab w:val="left" w:pos="567"/>
          <w:tab w:val="clear" w:pos="1134"/>
        </w:tabs>
        <w:rPr>
          <w:szCs w:val="24"/>
          <w:lang w:val="pt-PT"/>
        </w:rPr>
      </w:pPr>
      <w:r w:rsidRPr="006E259B" w:rsidR="00DE4BD2">
        <w:rPr>
          <w:noProof/>
          <w:szCs w:val="24"/>
          <w:lang w:val="pt-PT"/>
        </w:rPr>
        <w:t>Cláusula de defesa mútua (artigo 42.º, n.º 7, TUE)</w:t>
      </w:r>
    </w:p>
    <w:p w:rsidR="00C46F2D" w:rsidRPr="006E259B" w:rsidP="00DE4BD2">
      <w:pPr>
        <w:pStyle w:val="VOTEREPORTTITLE"/>
        <w:spacing w:after="220"/>
        <w:rPr>
          <w:lang w:val="pt-PT" w:bidi="ar-SA"/>
        </w:rPr>
      </w:pPr>
      <w:r w:rsidRPr="006E259B" w:rsidR="00DE4BD2">
        <w:rPr>
          <w:lang w:val="pt-PT" w:bidi="ar-SA"/>
        </w:rPr>
        <w:t xml:space="preserve">Propostas de resolução: </w:t>
      </w:r>
      <w:r w:rsidRPr="005531EB" w:rsidR="005531EB">
        <w:rPr>
          <w:lang w:val="pt-PT" w:bidi="ar-SA"/>
        </w:rPr>
        <w:t>B8-0043/2016, B8-0045/2016, B8-0051/2016, B8-0057/2016, B8-0058/2016, B8-0059/2016, B8-0060/2016</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lang w:val="pt-PT"/>
              </w:rPr>
            </w:pPr>
            <w:r w:rsidRPr="00683DD2">
              <w:rPr>
                <w:szCs w:val="24"/>
                <w:lang w:val="pt-PT"/>
              </w:rPr>
              <w:t>Votação por VN/VE - observações</w:t>
            </w:r>
          </w:p>
        </w:tc>
      </w:tr>
      <w:tr>
        <w:tblPrEx>
          <w:tblW w:w="9071" w:type="dxa"/>
          <w:tblInd w:w="108"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BD2" w:rsidRPr="006E259B" w:rsidP="00DE4BD2">
            <w:pPr>
              <w:pStyle w:val="VOTINGTABLECELLOBJECT"/>
              <w:rPr>
                <w:szCs w:val="24"/>
                <w:lang w:val="pt-PT"/>
              </w:rPr>
            </w:pPr>
            <w:r w:rsidRPr="006E259B">
              <w:rPr>
                <w:szCs w:val="24"/>
                <w:lang w:val="pt-PT"/>
              </w:rPr>
              <w:t xml:space="preserve">Proposta de resolução comum RC-B8-0043/2016 </w:t>
              <w:br/>
              <w:t>(PPE, S&amp;D, ALDE)</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110, 527, 25</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VS / 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492, 169, 0</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480, 162, 23</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385, 260, 17</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396, 234, 36</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371, 250, 44</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lang w:val="pt-PT"/>
              </w:rPr>
              <w:t>Considerando H</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448, 181, 36</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380, 243, 41</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3/VN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381, 247, 39</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Considerando 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w:t>
            </w:r>
            <w:r w:rsidRPr="00683DD2">
              <w:rPr>
                <w:szCs w:val="24"/>
                <w:lang w:val="pt-PT"/>
              </w:rPr>
              <w:t>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lang w:val="pt-PT"/>
              </w:rPr>
            </w:pPr>
            <w:r w:rsidRPr="00683DD2">
              <w:rPr>
                <w:szCs w:val="24"/>
                <w:lang w:val="pt-PT"/>
              </w:rPr>
              <w:t>votação: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406, 212, 51</w:t>
            </w:r>
          </w:p>
        </w:tc>
      </w:tr>
      <w:tr>
        <w:tblPrEx>
          <w:tblW w:w="9071" w:type="dxa"/>
          <w:tblInd w:w="108"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lang w:val="pt-PT"/>
              </w:rPr>
            </w:pPr>
            <w:r w:rsidRPr="00683DD2">
              <w:rPr>
                <w:szCs w:val="24"/>
                <w:lang w:val="pt-PT"/>
              </w:rPr>
              <w:t>Propostas de resolução dos grupos políticos</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BD2" w:rsidRPr="00C46F2D" w:rsidP="00C46F2D">
            <w:pPr>
              <w:pStyle w:val="VOTINGTABLECELLSIMPLEOBJECT"/>
              <w:rPr>
                <w:szCs w:val="24"/>
              </w:rPr>
            </w:pPr>
            <w:r w:rsidRPr="00C46F2D">
              <w:rPr>
                <w:szCs w:val="24"/>
                <w:lang w:val="pt-PT"/>
              </w:rPr>
              <w:t>B8-00</w:t>
            </w:r>
            <w:r w:rsidR="00C46F2D">
              <w:rPr>
                <w:szCs w:val="24"/>
                <w:lang w:val="pt-PT"/>
              </w:rPr>
              <w:t>43</w:t>
            </w:r>
            <w:r w:rsidRPr="00C46F2D">
              <w:rPr>
                <w:szCs w:val="24"/>
                <w:lang w:val="pt-PT"/>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C46F2D">
            <w:pPr>
              <w:pStyle w:val="VOTINGTABLECELLSIMPLEOBJECT"/>
              <w:rPr>
                <w:szCs w:val="24"/>
              </w:rPr>
            </w:pPr>
            <w:r w:rsidRPr="00683DD2">
              <w:rPr>
                <w:szCs w:val="24"/>
                <w:lang w:val="pt-PT"/>
              </w:rPr>
              <w:t>B8-0045/2016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B8-0051/2016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C46F2D">
            <w:pPr>
              <w:pStyle w:val="VOTINGTABLECELLSIMPLEOBJECT"/>
              <w:rPr>
                <w:szCs w:val="24"/>
              </w:rPr>
            </w:pPr>
            <w:r w:rsidRPr="00683DD2">
              <w:rPr>
                <w:szCs w:val="24"/>
                <w:lang w:val="pt-PT"/>
              </w:rPr>
              <w:t>B8-0057/2016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B8-0058/2016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B8-0059/2016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C46F2D">
            <w:pPr>
              <w:pStyle w:val="VOTINGTABLECELLSIMPLEOBJECT"/>
              <w:rPr>
                <w:szCs w:val="24"/>
              </w:rPr>
            </w:pPr>
            <w:r w:rsidRPr="00683DD2">
              <w:rPr>
                <w:szCs w:val="24"/>
                <w:lang w:val="pt-PT"/>
              </w:rPr>
              <w:t>B8-0060/2016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fr-FR"/>
              </w:rPr>
            </w:pPr>
            <w:r w:rsidRPr="00683DD2">
              <w:rPr>
                <w:szCs w:val="24"/>
                <w:lang w:val="pt-PT"/>
              </w:rPr>
              <w:t>Pedidos de votação nominal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S&amp;D:</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rPr>
              <w:t>§§ 11, 18</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ECR:</w:t>
            </w:r>
          </w:p>
        </w:tc>
        <w:tc>
          <w:tcPr>
            <w:tcW w:w="7495" w:type="dxa"/>
            <w:tcMar>
              <w:top w:w="0" w:type="dxa"/>
              <w:left w:w="0" w:type="dxa"/>
              <w:bottom w:w="0" w:type="dxa"/>
              <w:right w:w="0" w:type="dxa"/>
            </w:tcMar>
          </w:tcPr>
          <w:p w:rsidR="00B956CF" w:rsidRPr="006E259B" w:rsidP="00B956CF">
            <w:pPr>
              <w:pStyle w:val="REMARKTABLECELLSIMPLE"/>
              <w:rPr>
                <w:szCs w:val="24"/>
              </w:rPr>
            </w:pPr>
            <w:r w:rsidRPr="006E259B">
              <w:rPr>
                <w:szCs w:val="24"/>
                <w:lang w:val="pt-PT"/>
              </w:rPr>
              <w:t>§§ 3, 8, 11, 12, votação final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GUE/NGL:</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Alteração 1, votação final</w:t>
            </w: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pt-PT"/>
              </w:rPr>
            </w:pPr>
            <w:r w:rsidRPr="00683DD2">
              <w:rPr>
                <w:szCs w:val="24"/>
                <w:lang w:val="pt-PT"/>
              </w:rPr>
              <w:t>Pedidos de votação em separado</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ECR:</w:t>
            </w:r>
          </w:p>
        </w:tc>
        <w:tc>
          <w:tcPr>
            <w:tcW w:w="7495" w:type="dxa"/>
            <w:tcMar>
              <w:top w:w="0" w:type="dxa"/>
              <w:left w:w="0" w:type="dxa"/>
              <w:bottom w:w="0" w:type="dxa"/>
              <w:right w:w="0" w:type="dxa"/>
            </w:tcMar>
          </w:tcPr>
          <w:p w:rsidR="00C46F2D" w:rsidRPr="00683DD2" w:rsidP="00B956CF">
            <w:pPr>
              <w:pStyle w:val="REMARKTABLECELLSIMPLE"/>
              <w:rPr>
                <w:szCs w:val="24"/>
              </w:rPr>
            </w:pPr>
            <w:r w:rsidRPr="00683DD2">
              <w:rPr>
                <w:noProof/>
                <w:szCs w:val="24"/>
              </w:rPr>
              <w:t>§§ 6, 7, 17, consid</w:t>
            </w:r>
            <w:r w:rsidRPr="00683DD2" w:rsidR="00B956CF">
              <w:rPr>
                <w:noProof/>
                <w:szCs w:val="24"/>
              </w:rPr>
              <w:t>e</w:t>
            </w:r>
            <w:r w:rsidRPr="00683DD2">
              <w:rPr>
                <w:noProof/>
                <w:szCs w:val="24"/>
              </w:rPr>
              <w:t>ran</w:t>
            </w:r>
            <w:r w:rsidRPr="00683DD2" w:rsidR="00B956CF">
              <w:rPr>
                <w:noProof/>
                <w:szCs w:val="24"/>
              </w:rPr>
              <w:t>do</w:t>
            </w:r>
            <w:r w:rsidRPr="00683DD2">
              <w:rPr>
                <w:noProof/>
                <w:szCs w:val="24"/>
              </w:rPr>
              <w:t xml:space="preserve"> I</w:t>
            </w: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pt-PT"/>
              </w:rPr>
            </w:pPr>
            <w:r w:rsidRPr="00683DD2">
              <w:rPr>
                <w:szCs w:val="24"/>
                <w:lang w:val="pt-PT"/>
              </w:rPr>
              <w:t>Pedidos de votação por partes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Consid</w:t>
            </w:r>
            <w:r w:rsidRPr="00683DD2">
              <w:rPr>
                <w:szCs w:val="24"/>
                <w:lang w:val="pt-PT"/>
              </w:rPr>
              <w:t>erando H</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B956CF">
              <w:rPr>
                <w:lang w:val="pt-PT"/>
              </w:rPr>
              <w:t>Conjunto do texto, exceto os termos "mais ativas em matéria de política de segurança e defesa e necessitam de promover a aplicação de todas as disposições da política de segurança e defesa consagradas nos tratados, nomeadamente as que se referem ao" e "considerando que as instituições da UE devem prestar apoio a todos os Estados-Membros nos respetivos esforços para aplicarem plenamente tais disposições;"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B956CF">
              <w:rPr>
                <w:lang w:val="pt-PT"/>
              </w:rPr>
              <w:t>"mais ativas em matéria de política de segurança e defesa e necessitam de promover a aplicação de todas as disposições da política de segurança e defesa consagradas nos tratados, nomeadamente as que se referem ao"</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3.ª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B956CF">
              <w:rPr>
                <w:lang w:val="pt-PT"/>
              </w:rPr>
              <w:t>"considerando que as instituições da UE devem prestar apoio a todos os Estados-Membros nos respetivos esforços para aplicarem plenamente tais disposições;"</w:t>
            </w:r>
          </w:p>
        </w:tc>
      </w:tr>
    </w:tbl>
    <w:p w:rsidR="00C46F2D" w:rsidRPr="00683DD2">
      <w:pPr>
        <w:pStyle w:val="STYTAB"/>
        <w:rPr>
          <w:szCs w:val="24"/>
          <w:lang w:val="pt-PT"/>
        </w:rPr>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C46F2D" w:rsidRPr="00683DD2">
            <w:pPr>
              <w:pStyle w:val="REMARKTABLECELLTITLE"/>
              <w:rPr>
                <w:szCs w:val="24"/>
              </w:rPr>
            </w:pPr>
            <w:r w:rsidRPr="00683DD2">
              <w:rPr>
                <w:szCs w:val="24"/>
                <w:lang w:val="pt-PT"/>
              </w:rPr>
              <w:t>Diversos</w:t>
            </w: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196205" w:rsidRPr="006E259B" w:rsidP="00196205">
            <w:pPr>
              <w:pStyle w:val="REMARKTABLECELLSIMPLE"/>
              <w:rPr>
                <w:szCs w:val="24"/>
                <w:lang w:val="pt-PT"/>
              </w:rPr>
            </w:pPr>
            <w:r w:rsidRPr="006E259B">
              <w:rPr>
                <w:szCs w:val="24"/>
                <w:lang w:val="pt-PT"/>
              </w:rPr>
              <w:t>Ulrike Lunacek e Klaus Buchner (grupo Verts/ALE) (Grupo S&amp;D) são igualmente signatários da proposta de resolução B8-0045/2016.</w:t>
            </w:r>
          </w:p>
          <w:p w:rsidR="00B956CF" w:rsidRPr="00683DD2" w:rsidP="00B956CF">
            <w:pPr>
              <w:pStyle w:val="REMARKTABLECELLSIMPLE"/>
              <w:rPr>
                <w:szCs w:val="24"/>
                <w:lang w:val="pt-PT"/>
              </w:rPr>
            </w:pPr>
          </w:p>
        </w:tc>
      </w:tr>
    </w:tbl>
    <w:p w:rsidR="00C46F2D" w:rsidRPr="00683DD2">
      <w:pPr>
        <w:pStyle w:val="STYTAB"/>
        <w:rPr>
          <w:szCs w:val="24"/>
          <w:lang w:val="pt-PT"/>
        </w:rPr>
      </w:pPr>
    </w:p>
    <w:p w:rsidR="00C46F2D" w:rsidRPr="00683DD2">
      <w:pPr>
        <w:pStyle w:val="STYTAB"/>
        <w:rPr>
          <w:szCs w:val="24"/>
          <w:lang w:val="pt-PT"/>
        </w:rPr>
      </w:pPr>
    </w:p>
    <w:p w:rsidR="00C46F2D" w:rsidRPr="00683DD2" w:rsidP="002E15DD">
      <w:pPr>
        <w:pStyle w:val="VOTETITLE"/>
        <w:tabs>
          <w:tab w:val="left" w:pos="567"/>
          <w:tab w:val="clear" w:pos="1134"/>
        </w:tabs>
        <w:rPr>
          <w:szCs w:val="24"/>
          <w:lang w:val="pt-PT"/>
        </w:rPr>
      </w:pPr>
      <w:r w:rsidRPr="006E259B" w:rsidR="00196205">
        <w:rPr>
          <w:noProof/>
          <w:szCs w:val="24"/>
          <w:lang w:val="pt-PT"/>
        </w:rPr>
        <w:t>Prioridades da UE para as sessões do CDHNU em 2016</w:t>
      </w:r>
    </w:p>
    <w:p w:rsidR="00C46F2D" w:rsidRPr="006E259B" w:rsidP="00196205">
      <w:pPr>
        <w:pStyle w:val="VOTEREPORTTITLE"/>
        <w:spacing w:after="220"/>
        <w:rPr>
          <w:lang w:val="pt-PT" w:bidi="ar-SA"/>
        </w:rPr>
      </w:pPr>
      <w:r w:rsidRPr="006E259B" w:rsidR="00196205">
        <w:rPr>
          <w:lang w:val="pt-PT" w:bidi="ar-SA"/>
        </w:rPr>
        <w:t xml:space="preserve">Propostas de resolução: </w:t>
      </w:r>
      <w:r w:rsidRPr="00406050" w:rsidR="00406050">
        <w:rPr>
          <w:lang w:val="pt-PT" w:bidi="ar-SA"/>
        </w:rPr>
        <w:t xml:space="preserve">B8-0050/2016, B8-0052/2016, B8-0056/2016, B8-0063/2016, B8-0064/2016, B8-0065/2016, B8-0066/2016 </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lang w:val="pt-PT"/>
              </w:rPr>
            </w:pPr>
            <w:r w:rsidRPr="00683DD2">
              <w:rPr>
                <w:szCs w:val="24"/>
                <w:lang w:val="pt-PT"/>
              </w:rPr>
              <w:t>Votação por VN/VE - observações</w:t>
            </w:r>
          </w:p>
        </w:tc>
      </w:tr>
      <w:tr>
        <w:tblPrEx>
          <w:tblW w:w="9071" w:type="dxa"/>
          <w:tblInd w:w="108"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205" w:rsidRPr="006E259B" w:rsidP="00196205">
            <w:pPr>
              <w:pStyle w:val="VOTINGTABLECELLOBJECT"/>
              <w:rPr>
                <w:szCs w:val="24"/>
                <w:lang w:val="pt-PT"/>
              </w:rPr>
            </w:pPr>
            <w:r w:rsidRPr="006E259B">
              <w:rPr>
                <w:szCs w:val="24"/>
                <w:lang w:val="pt-PT"/>
              </w:rPr>
              <w:t xml:space="preserve">Proposta de resolução comum RC-B8-0050/2016 </w:t>
              <w:br/>
              <w:t>(PPE, S&amp;D, ALDE, Verts/ALE, EFDD)</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307, 320, 28</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29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530, 131, 5</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31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523, 131, 12</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3/VN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527, 96, 37</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32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352, 274, 38</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515, 135, 16</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38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548, 21, 98</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485, 100, 75</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45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552, 46, 65</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476, 119, 58</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46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473, 127, 62</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86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614, 30, 22</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89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360, 274, 33</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Considerando H</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lang w:val="pt-PT"/>
              </w:rPr>
            </w:pPr>
            <w:r w:rsidRPr="00683DD2">
              <w:rPr>
                <w:szCs w:val="24"/>
                <w:lang w:val="pt-PT"/>
              </w:rPr>
              <w:t>votação: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335, 230, 102</w:t>
            </w:r>
          </w:p>
        </w:tc>
      </w:tr>
      <w:tr>
        <w:tblPrEx>
          <w:tblW w:w="9071" w:type="dxa"/>
          <w:tblInd w:w="108" w:type="dxa"/>
          <w:tblLayout w:type="fixed"/>
          <w:tblCellMar>
            <w:left w:w="10" w:type="dxa"/>
            <w:right w:w="10" w:type="dxa"/>
          </w:tblCellMar>
          <w:tblLook w:val="04A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lang w:val="pt-PT"/>
              </w:rPr>
            </w:pPr>
            <w:r w:rsidRPr="00683DD2">
              <w:rPr>
                <w:szCs w:val="24"/>
                <w:lang w:val="pt-PT"/>
              </w:rPr>
              <w:t>Propostas de resolução dos grupos políticos</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C46F2D">
            <w:pPr>
              <w:pStyle w:val="VOTINGTABLECELLSIMPLEOBJECT"/>
              <w:rPr>
                <w:szCs w:val="24"/>
              </w:rPr>
            </w:pPr>
            <w:r w:rsidRPr="00683DD2">
              <w:rPr>
                <w:szCs w:val="24"/>
                <w:lang w:val="pt-PT"/>
              </w:rPr>
              <w:t>B8-0050/2016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B8-0052/2016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B8-0056/2016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B8-0063/2016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C46F2D">
            <w:pPr>
              <w:pStyle w:val="VOTINGTABLECELLSIMPLEOBJECT"/>
              <w:rPr>
                <w:szCs w:val="24"/>
              </w:rPr>
            </w:pPr>
            <w:r w:rsidRPr="00683DD2">
              <w:rPr>
                <w:szCs w:val="24"/>
                <w:lang w:val="pt-PT"/>
              </w:rPr>
              <w:t>B8-0064/2016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C46F2D">
            <w:pPr>
              <w:pStyle w:val="VOTINGTABLECELLSIMPLEOBJECT"/>
              <w:rPr>
                <w:szCs w:val="24"/>
              </w:rPr>
            </w:pPr>
            <w:r w:rsidRPr="00683DD2">
              <w:rPr>
                <w:szCs w:val="24"/>
                <w:lang w:val="pt-PT"/>
              </w:rPr>
              <w:t>B8-0065/2016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C46F2D">
            <w:pPr>
              <w:pStyle w:val="VOTINGTABLECELLSIMPLEOBJECT"/>
              <w:rPr>
                <w:szCs w:val="24"/>
              </w:rPr>
            </w:pPr>
            <w:r w:rsidRPr="00683DD2">
              <w:rPr>
                <w:szCs w:val="24"/>
                <w:lang w:val="pt-PT"/>
              </w:rPr>
              <w:t>B8-0066/2016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fr-FR"/>
              </w:rPr>
            </w:pPr>
            <w:r w:rsidRPr="00683DD2">
              <w:rPr>
                <w:szCs w:val="24"/>
                <w:lang w:val="pt-PT"/>
              </w:rPr>
              <w:t>Pedidos de votação nominal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Verts/ALE: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rPr>
              <w:t>§ 86</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S&amp;D:</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 38, 45, 46, votação final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ECR:</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rPr>
              <w:t>§ 34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PPE: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rPr>
              <w:t>§ 89</w:t>
            </w: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pt-PT"/>
              </w:rPr>
            </w:pPr>
            <w:r w:rsidRPr="00683DD2">
              <w:rPr>
                <w:szCs w:val="24"/>
                <w:lang w:val="pt-PT"/>
              </w:rPr>
              <w:t>Pedidos de votação por partes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29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196205" w:rsidRPr="006E259B" w:rsidP="00196205">
            <w:pPr>
              <w:pStyle w:val="REMARKTABLECELLSIMPLE"/>
              <w:rPr>
                <w:szCs w:val="24"/>
                <w:lang w:val="pt-PT"/>
              </w:rPr>
            </w:pPr>
            <w:r w:rsidRPr="006E259B">
              <w:rPr>
                <w:szCs w:val="24"/>
                <w:lang w:val="pt-PT"/>
              </w:rPr>
              <w:t>Conjunto do texto, exceto os termos "e alterações climáticas"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31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noProof/>
                <w:szCs w:val="24"/>
                <w:lang w:val="pt-PT"/>
              </w:rPr>
              <w:t>"Recorda que todos os Estados têm a obrigação de respeitar e proteger os direitos humanos de todos os indivíduos sob a sua jurisdição, independentemente da sua nacionalidade ou origem e do seu estatuto de migrante; recorda que uma estratégia global em matéria de migração está estreitamente relacionada com as políticas de ajuda humanitária e de desenvolvimento, incluindo a criação de corredores humanitários e a emissão de vistos humanitários; reitera o seu apelo para que todos os acordos de cooperação e readmissão com países terceiros respeitem as normas internacionais; recorda que o regresso dos migrantes apenas deve acontecer no pleno respeito pelos direitos dos migrantes, com base em decisões informadas e apenas quando a proteção dos seus direitos é garantida no seu país; solicita aos governos que ponham termo à detenção e prisão arbitrária de migrantes; manifesta preocupação com a discriminação e a violação dos direitos de que são alvo os migrantes e os refugiados;" exceto os termos "incluindo a criação de corredores humanitários e a emissão de vistos humanitários;"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lang w:val="pt-PT"/>
              </w:rPr>
              <w:t>"incluindo a criação de corredores humanitários e a emissão de vistos humanitários;"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3.ª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lang w:val="pt-PT"/>
              </w:rPr>
              <w:t>"insta, neste contexto, os Estados membros das Nações Unidas, incluindo os Estados-Membros da UE, a respeitarem o direito de requerer e de beneficiar de asilo;"</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val="pt-PT"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32</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lang w:val="pt-PT"/>
              </w:rPr>
              <w:t>"Congratula-se com o Acordo de Paris, negociado no âmbito da Convenção-Quadro das Nações Unidas sobre as Alterações Climáticas (CQNUAC), que abrange a adaptação, a atenuação, a transferência e o desenvolvimento de tecnologias, bem como o reforço das capacidades; insta todos os Estados signatários a honrarem os seus compromissos;"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lang w:val="pt-PT"/>
              </w:rPr>
              <w:t>"lamenta a ausência de qualquer referência à Declaração Universal dos Direitos do Homem na CQNUAC, e solicita que todas as políticas e medidas da CQNUAC se baseiem nos direitos humanos;"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val="pt-PT"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PPE: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38</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lang w:val="pt-PT"/>
              </w:rPr>
              <w:t>Conjunto do texto, exceto os termos "de saúde sexual e reprodutiva " e "de saúde sexual e reprodutiva"</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45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196205" w:rsidRPr="006E259B" w:rsidP="00196205">
            <w:pPr>
              <w:pStyle w:val="REMARKTABLECELLSIMPLE"/>
              <w:rPr>
                <w:szCs w:val="24"/>
                <w:lang w:val="pt-PT"/>
              </w:rPr>
            </w:pPr>
            <w:r w:rsidRPr="006E259B">
              <w:rPr>
                <w:szCs w:val="24"/>
                <w:lang w:val="pt-PT"/>
              </w:rPr>
              <w:t>Conjunto do texto exceto os termos "e identidade do género"</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9065"/>
      </w:tblGrid>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C46F2D" w:rsidRPr="00683DD2">
            <w:pPr>
              <w:pStyle w:val="REMARKTABLECELLTITLE"/>
              <w:rPr>
                <w:szCs w:val="24"/>
              </w:rPr>
            </w:pPr>
            <w:r w:rsidRPr="00683DD2">
              <w:rPr>
                <w:szCs w:val="24"/>
                <w:lang w:val="pt-PT"/>
              </w:rPr>
              <w:t>Diversos</w:t>
            </w:r>
          </w:p>
        </w:tc>
      </w:tr>
      <w:tr>
        <w:tblPrEx>
          <w:tblW w:w="9065" w:type="dxa"/>
          <w:tblLayout w:type="fixed"/>
          <w:tblCellMar>
            <w:left w:w="10" w:type="dxa"/>
            <w:right w:w="10" w:type="dxa"/>
          </w:tblCellMar>
          <w:tblLook w:val="04A0"/>
        </w:tblPrEx>
        <w:trPr>
          <w:cantSplit/>
        </w:trPr>
        <w:tc>
          <w:tcPr>
            <w:tcW w:w="9065" w:type="dxa"/>
            <w:tcMar>
              <w:top w:w="0" w:type="dxa"/>
              <w:left w:w="0" w:type="dxa"/>
              <w:bottom w:w="0" w:type="dxa"/>
              <w:right w:w="0" w:type="dxa"/>
            </w:tcMar>
          </w:tcPr>
          <w:p w:rsidR="00196205" w:rsidRPr="006E259B" w:rsidP="00196205">
            <w:pPr>
              <w:pStyle w:val="REMARKTABLECELLSIMPLE"/>
              <w:rPr>
                <w:szCs w:val="24"/>
                <w:lang w:val="pt-PT"/>
              </w:rPr>
            </w:pPr>
            <w:r w:rsidRPr="006E259B">
              <w:rPr>
                <w:szCs w:val="24"/>
                <w:lang w:val="pt-PT"/>
              </w:rPr>
              <w:t>Davor Ivo Stier (grupo ALDE) retirou a sua assinatura da proposta de resolução comum B8-0050/2016.</w:t>
            </w:r>
          </w:p>
        </w:tc>
      </w:tr>
    </w:tbl>
    <w:p w:rsidR="00C46F2D" w:rsidRPr="00683DD2">
      <w:pPr>
        <w:pStyle w:val="STYTAB"/>
        <w:rPr>
          <w:szCs w:val="24"/>
          <w:lang w:val="pt-PT"/>
        </w:rPr>
      </w:pPr>
    </w:p>
    <w:p w:rsidR="00C46F2D" w:rsidRPr="00683DD2">
      <w:pPr>
        <w:pStyle w:val="STYTAB"/>
        <w:rPr>
          <w:szCs w:val="24"/>
          <w:lang w:val="pt-PT"/>
        </w:rPr>
      </w:pPr>
      <w:r w:rsidRPr="00683DD2">
        <w:rPr>
          <w:szCs w:val="24"/>
          <w:lang w:val="pt-PT"/>
        </w:rPr>
        <w:br w:type="page"/>
      </w:r>
    </w:p>
    <w:p w:rsidR="00C46F2D" w:rsidRPr="00683DD2" w:rsidP="002E15DD">
      <w:pPr>
        <w:pStyle w:val="VOTETITLE"/>
        <w:tabs>
          <w:tab w:val="left" w:pos="567"/>
          <w:tab w:val="clear" w:pos="1134"/>
        </w:tabs>
        <w:rPr>
          <w:szCs w:val="24"/>
          <w:lang w:val="pt-PT"/>
        </w:rPr>
      </w:pPr>
      <w:r w:rsidRPr="006E259B" w:rsidR="00196205">
        <w:rPr>
          <w:noProof/>
          <w:szCs w:val="24"/>
          <w:lang w:val="pt-PT"/>
        </w:rPr>
        <w:t>Atividades da Comissão das Petições em 2014</w:t>
      </w:r>
    </w:p>
    <w:p w:rsidR="00C46F2D" w:rsidRPr="006E259B" w:rsidP="00196205">
      <w:pPr>
        <w:pStyle w:val="VOTEREPORTTITLE"/>
        <w:spacing w:after="220"/>
        <w:rPr>
          <w:lang w:val="pt-PT" w:bidi="ar-SA"/>
        </w:rPr>
      </w:pPr>
      <w:r w:rsidRPr="006E259B" w:rsidR="00196205">
        <w:rPr>
          <w:lang w:val="pt-PT" w:bidi="ar-SA"/>
        </w:rPr>
        <w:t>Relatório: Lidia Joanna Geringer de Oedenberg (A8-0361/2015)</w:t>
      </w:r>
    </w:p>
    <w:tbl>
      <w:tblPr>
        <w:tblStyle w:val="TableNormal"/>
        <w:tblW w:w="9071" w:type="dxa"/>
        <w:tblInd w:w="108" w:type="dxa"/>
        <w:tblLayout w:type="fixed"/>
        <w:tblCellMar>
          <w:left w:w="10" w:type="dxa"/>
          <w:right w:w="10" w:type="dxa"/>
        </w:tblCellMar>
        <w:tblLook w:val="04A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4A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rPr>
            </w:pPr>
            <w:r w:rsidRPr="00683DD2">
              <w:rPr>
                <w:szCs w:val="24"/>
                <w:lang w:val="pt-PT"/>
              </w:rP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pStyle w:val="VOTINGTABLEHEADER"/>
              <w:rPr>
                <w:szCs w:val="24"/>
                <w:lang w:val="pt-PT"/>
              </w:rPr>
            </w:pPr>
            <w:r w:rsidRPr="00683DD2">
              <w:rPr>
                <w:szCs w:val="24"/>
                <w:lang w:val="pt-PT"/>
              </w:rPr>
              <w:t>Votação por VN/VE - observações</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1/VE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550, 75, 22</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249, 388, 19</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1/VE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509, 109, 22</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313, 326, 19</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565, 85, 4</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378, 275, 8</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21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527, 115, 14</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529, 112, 8</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23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532, 113, 7</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315, 326, 12</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579, 56, 16</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343, 287, 9</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29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31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301, 331, 9</w:t>
            </w: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2/VE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273, 353, 8</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rPr>
              <w:t>§ 35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rPr>
              <w:t>§ 44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Considerando 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324, 284, 20</w:t>
            </w: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Após o considerando K</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Considerando 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SIMPLEOBJECT"/>
              <w:rPr>
                <w:szCs w:val="24"/>
              </w:rPr>
            </w:pPr>
            <w:r w:rsidRPr="00683DD2">
              <w:rPr>
                <w:szCs w:val="24"/>
                <w:lang w:val="pt-PT"/>
              </w:rPr>
              <w:t>Considerando Q</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VS / 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428, 173, 30</w:t>
            </w: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lang w:val="pt-PT"/>
              </w:rPr>
              <w:t>Considerando X</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rPr>
            </w:pPr>
            <w:r w:rsidRPr="00683DD2">
              <w:rPr>
                <w:szCs w:val="24"/>
                <w:lang w:val="pt-PT"/>
              </w:rPr>
              <w:t>Considerando AG</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UTHOR"/>
              <w:rPr>
                <w:szCs w:val="24"/>
              </w:rPr>
            </w:pPr>
            <w:r w:rsidRPr="00683DD2">
              <w:rPr>
                <w:szCs w:val="24"/>
                <w:lang w:val="pt-PT"/>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p>
        </w:tc>
      </w:tr>
      <w:tr>
        <w:tblPrEx>
          <w:tblW w:w="9071" w:type="dxa"/>
          <w:tblInd w:w="108" w:type="dxa"/>
          <w:tblLayout w:type="fixed"/>
          <w:tblCellMar>
            <w:left w:w="10" w:type="dxa"/>
            <w:right w:w="10" w:type="dxa"/>
          </w:tblCellMar>
          <w:tblLook w:val="04A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OBJECT"/>
              <w:rPr>
                <w:szCs w:val="24"/>
                <w:lang w:val="pt-PT"/>
              </w:rPr>
            </w:pPr>
            <w:r w:rsidRPr="00683DD2">
              <w:rPr>
                <w:szCs w:val="24"/>
                <w:lang w:val="pt-PT"/>
              </w:rPr>
              <w:t>votação: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AN"/>
              <w:rPr>
                <w:szCs w:val="24"/>
              </w:rPr>
            </w:pPr>
            <w:r w:rsidRPr="00683DD2">
              <w:rPr>
                <w:szCs w:val="24"/>
                <w:lang w:val="pt-PT"/>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VOTE"/>
              <w:rPr>
                <w:szCs w:val="24"/>
              </w:rPr>
            </w:pPr>
            <w:r w:rsidRPr="00683DD2">
              <w:rPr>
                <w:szCs w:val="24"/>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pStyle w:val="VOTINGTABLECELLREMARK"/>
              <w:rPr>
                <w:szCs w:val="24"/>
              </w:rPr>
            </w:pPr>
            <w:r w:rsidRPr="00683DD2">
              <w:rPr>
                <w:szCs w:val="24"/>
              </w:rPr>
              <w:t>481, 67, 44</w:t>
            </w: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fr-FR"/>
              </w:rPr>
            </w:pPr>
            <w:r w:rsidRPr="00683DD2">
              <w:rPr>
                <w:szCs w:val="24"/>
                <w:lang w:val="pt-PT"/>
              </w:rPr>
              <w:t>Pedidos de votação nominal</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GUE/NGL:</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rPr>
              <w:t>§§ 12, 23, 24</w:t>
            </w: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pt-PT"/>
              </w:rPr>
            </w:pPr>
            <w:r w:rsidRPr="00683DD2">
              <w:rPr>
                <w:szCs w:val="24"/>
                <w:lang w:val="pt-PT"/>
              </w:rPr>
              <w:t>Pedidos de votação em separado</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ALDE: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rPr>
              <w:t>§ 44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SIMPLE"/>
              <w:rPr>
                <w:szCs w:val="24"/>
              </w:rPr>
            </w:pPr>
            <w:r w:rsidRPr="00683DD2">
              <w:rPr>
                <w:szCs w:val="24"/>
                <w:lang w:val="pt-PT"/>
              </w:rPr>
              <w:t>GUE/NGL:</w:t>
            </w:r>
          </w:p>
        </w:tc>
        <w:tc>
          <w:tcPr>
            <w:tcW w:w="7495" w:type="dxa"/>
            <w:tcMar>
              <w:top w:w="0" w:type="dxa"/>
              <w:left w:w="0" w:type="dxa"/>
              <w:bottom w:w="0" w:type="dxa"/>
              <w:right w:w="0" w:type="dxa"/>
            </w:tcMar>
          </w:tcPr>
          <w:p w:rsidR="00C46F2D" w:rsidRPr="00683DD2">
            <w:pPr>
              <w:pStyle w:val="REMARKTABLECELLSIMPLE"/>
              <w:rPr>
                <w:szCs w:val="24"/>
              </w:rPr>
            </w:pPr>
            <w:r w:rsidRPr="00683DD2">
              <w:rPr>
                <w:noProof/>
                <w:szCs w:val="24"/>
              </w:rPr>
              <w:t>§§ 5, 6, considérant Q</w:t>
            </w:r>
          </w:p>
        </w:tc>
      </w:tr>
    </w:tbl>
    <w:p w:rsidR="00C46F2D" w:rsidRPr="00683DD2">
      <w:pPr>
        <w:pStyle w:val="STYTAB"/>
        <w:rPr>
          <w:szCs w:val="24"/>
        </w:rPr>
      </w:pPr>
    </w:p>
    <w:tbl>
      <w:tblPr>
        <w:tblStyle w:val="TableNormal"/>
        <w:tblW w:w="9065" w:type="dxa"/>
        <w:tblLayout w:type="fixed"/>
        <w:tblCellMar>
          <w:left w:w="10" w:type="dxa"/>
          <w:right w:w="10" w:type="dxa"/>
        </w:tblCellMar>
        <w:tblLook w:val="04A0"/>
      </w:tblPr>
      <w:tblGrid>
        <w:gridCol w:w="1570"/>
        <w:gridCol w:w="7495"/>
      </w:tblGrid>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TITLE"/>
              <w:rPr>
                <w:szCs w:val="24"/>
                <w:lang w:val="pt-PT"/>
              </w:rPr>
            </w:pPr>
            <w:r w:rsidRPr="00683DD2">
              <w:rPr>
                <w:szCs w:val="24"/>
                <w:lang w:val="pt-PT"/>
              </w:rPr>
              <w:t>Pedidos de votação por partes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ECR:</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21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noProof/>
                <w:szCs w:val="24"/>
                <w:lang w:val="pt-PT"/>
              </w:rPr>
              <w:t>"Lamenta que a Carta dos Direitos Fundamentais não tenha sido adotada em todos os Estados-Membros e que a sua aplicação se tenha revelado pouco clara e algo dececionante para muitos cidadãos; deplora também o facto de a Convenção Europeia dos Direitos do Homem não ter sido ainda adotada pela UE como tal, na aceção do artigo 6.º, n.º 2, do TUE, e que os cidadãos europeus não tenham acesso a informações suficientes sobre os procedimentos em vigor neste domínio;"</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lang w:val="pt-PT"/>
              </w:rPr>
              <w:t>"lamenta a interpretação estrita, por parte da Comissão Europeia, do artigo 51.º da Carta dos Direitos Fundamentais, o qual prevê que as disposições da Carta têm por destinatários as instituições, órgãos, organismos e agências da União, na observância do princípio da subsidiariedade, bem como os Estados-Membros, apenas quando apliquem o direito da União; recorda que a Comissão se declarou amiúde impedida de agir no domínio dos direitos fundamentais depois de solicitada nesse sentido pela Comissão das Petições, ao abrigo do artigo 51.º da Carta dos Direitos Fundamentais; sublinha o facto de as expectativas dos cidadãos muitas vezes excederem largamente o que é permitido pelas disposições estritamente jurídicas da Carta; exorta a Comissão Europeia a ir mais ao encontro das expectativas dos cidadãos e a adotar uma nova abordagem no que toca à interpretação do artigo 51.º;"</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val="pt-PT"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ALDE: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23</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noProof/>
                <w:szCs w:val="24"/>
                <w:lang w:val="pt-PT"/>
              </w:rPr>
              <w:t>Conjunto do texto, exceto os termos "e a rejeição" e "e às negociações pouco transparentes"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24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83DD2">
              <w:rPr>
                <w:noProof/>
                <w:szCs w:val="24"/>
                <w:lang w:val="pt-PT"/>
              </w:rPr>
              <w:t>"</w:t>
            </w:r>
            <w:r w:rsidRPr="006E259B" w:rsidR="00196205">
              <w:rPr>
                <w:lang w:val="pt-PT"/>
              </w:rPr>
              <w:t>Evoca o parecer emitido pela comissão sobre as recomendações da Comissão Europeia relativas às negociações da TTIP, no qual, tal como salientado em inúmeras petições recebidas"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196205">
              <w:rPr>
                <w:lang w:val="pt-PT"/>
              </w:rPr>
              <w:t>"rejeita o instrumento de arbitragem conhecido como instrumento de resolução de litígios entre os investidores e o Estado (RLIE) e lamenta que a ICE contra a TTIP tenha sido rejeitada;"</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val="pt-PT"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29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196205" w:rsidRPr="006E259B" w:rsidP="00196205">
            <w:pPr>
              <w:pStyle w:val="REMARKTABLECELLSIMPLE"/>
              <w:rPr>
                <w:szCs w:val="24"/>
                <w:lang w:val="pt-PT"/>
              </w:rPr>
            </w:pPr>
            <w:r w:rsidRPr="006E259B">
              <w:rPr>
                <w:szCs w:val="24"/>
                <w:lang w:val="pt-PT"/>
              </w:rPr>
              <w:t>Conjunto do texto exceto o termo "nefastas"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 termo</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Considerando AG</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5C418D" w:rsidRPr="006E259B" w:rsidP="005C418D">
            <w:pPr>
              <w:pStyle w:val="REMARKTABLECELLSIMPLE"/>
              <w:rPr>
                <w:szCs w:val="24"/>
                <w:lang w:val="pt-PT"/>
              </w:rPr>
            </w:pPr>
            <w:r w:rsidRPr="006E259B">
              <w:rPr>
                <w:szCs w:val="24"/>
                <w:lang w:val="pt-PT"/>
              </w:rPr>
              <w:t>Conjunto do texto exceto os termos "com propostas concretas"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GUE/NGL:</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9</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5C418D">
              <w:rPr>
                <w:lang w:val="pt-PT"/>
              </w:rPr>
              <w:t>"Solicita que, por uma questão de transparência e num espírito de cooperação leal entre as diferentes instituições da UE, a Comissão facilite o acesso aos documentos com todas as informações pertinentes relacionadas com os procedimentos «EU Pilot», em especial no que diz respeito às petições recebidas, incluindo os intercâmbios de perguntas e respostas entre a Comissão e os Estados-Membros em causa"</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5C418D">
              <w:rPr>
                <w:lang w:val="pt-PT"/>
              </w:rPr>
              <w:t>"pelo menos quando os procedimentos estiverem concluídos;"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val="pt-PT"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35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fr-FR"/>
              </w:rPr>
            </w:pPr>
            <w:r w:rsidRPr="006E259B" w:rsidR="005C418D">
              <w:rPr>
                <w:lang w:val="fr-FR"/>
              </w:rPr>
              <w:t>Conjunto do texto, exceto os termos "et avec la commission des affaires juridiques dans le cadre de l'ICE intitulée "Un de nous""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5C418D" w:rsidRPr="006E259B" w:rsidP="005C418D">
            <w:pPr>
              <w:pStyle w:val="REMARKTABLECELLSIMPLE"/>
              <w:rPr>
                <w:szCs w:val="24"/>
              </w:rPr>
            </w:pPr>
            <w:r w:rsidRPr="006E259B">
              <w:rPr>
                <w:szCs w:val="24"/>
                <w:lang w:val="pt-PT"/>
              </w:rPr>
              <w:t>Considerando X</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5C418D">
              <w:rPr>
                <w:lang w:val="pt-PT"/>
              </w:rPr>
              <w:t>Conjunto do texto, exceto os termos "que a decisão relativa à admissibilidade se baseia nestes critérios de natureza jurídica e técnica, não devendo ser determinada por decisões políticas"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Verts/ALE</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34</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5C418D" w:rsidRPr="006E259B" w:rsidP="005C418D">
            <w:pPr>
              <w:pStyle w:val="REMARKTABLECELLSIMPLE"/>
              <w:rPr>
                <w:szCs w:val="24"/>
                <w:lang w:val="pt-PT"/>
              </w:rPr>
            </w:pPr>
            <w:r w:rsidRPr="006E259B">
              <w:rPr>
                <w:szCs w:val="24"/>
                <w:lang w:val="pt-PT"/>
              </w:rPr>
              <w:t>Conjunto do texto exceto os termos "através da nomeação de relatores internos"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S&amp;D:</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lang w:val="pt-PT"/>
              </w:rPr>
              <w:t>Alteração 11</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5C418D">
              <w:rPr>
                <w:noProof/>
                <w:szCs w:val="24"/>
                <w:lang w:val="pt-PT"/>
              </w:rPr>
              <w:t>Conjunto do texto, exceto os termos "através da nomeação de relatores internos"</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rPr>
                <w:lang w:bidi="ar-SA"/>
              </w:rPr>
            </w:pPr>
          </w:p>
        </w:tc>
      </w:tr>
      <w:tr>
        <w:tblPrEx>
          <w:tblW w:w="9065" w:type="dxa"/>
          <w:tblLayout w:type="fixed"/>
          <w:tblCellMar>
            <w:left w:w="10" w:type="dxa"/>
            <w:right w:w="10" w:type="dxa"/>
          </w:tblCellMar>
          <w:tblLook w:val="04A0"/>
        </w:tblPrEx>
        <w:trPr>
          <w:cantSplit/>
        </w:trPr>
        <w:tc>
          <w:tcPr>
            <w:tcW w:w="9065" w:type="dxa"/>
            <w:gridSpan w:val="2"/>
            <w:tcMar>
              <w:top w:w="0" w:type="dxa"/>
              <w:left w:w="0" w:type="dxa"/>
              <w:bottom w:w="0" w:type="dxa"/>
              <w:right w:w="0" w:type="dxa"/>
            </w:tcMar>
          </w:tcPr>
          <w:p w:rsidR="00C46F2D" w:rsidRPr="00683DD2">
            <w:pPr>
              <w:pStyle w:val="REMARKTABLECELLSIMPLE"/>
              <w:rPr>
                <w:szCs w:val="24"/>
              </w:rPr>
            </w:pPr>
            <w:r w:rsidRPr="00683DD2">
              <w:rPr>
                <w:szCs w:val="24"/>
              </w:rPr>
              <w:t>§ 5</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1.ª parte</w:t>
            </w:r>
          </w:p>
        </w:tc>
        <w:tc>
          <w:tcPr>
            <w:tcW w:w="7495" w:type="dxa"/>
            <w:tcMar>
              <w:top w:w="0" w:type="dxa"/>
              <w:left w:w="0" w:type="dxa"/>
              <w:bottom w:w="0" w:type="dxa"/>
              <w:right w:w="0" w:type="dxa"/>
            </w:tcMar>
          </w:tcPr>
          <w:p w:rsidR="00C46F2D" w:rsidRPr="00683DD2">
            <w:pPr>
              <w:pStyle w:val="REMARKTABLECELLSIMPLE"/>
              <w:rPr>
                <w:szCs w:val="24"/>
                <w:lang w:val="pt-PT"/>
              </w:rPr>
            </w:pPr>
            <w:r w:rsidRPr="006E259B" w:rsidR="005C418D">
              <w:rPr>
                <w:lang w:val="pt-PT"/>
              </w:rPr>
              <w:t>Conjunto do texto, exceto os termos "Considera também que o Parlamento tem uma obrigação particular de assegurar que as petições inadmissíveis ou infundadas não aguardam a decisão de inadmissibilidade ou encerramento durante um período de tempo injustificadamente longo" e "neste contexto"</w:t>
            </w:r>
          </w:p>
        </w:tc>
      </w:tr>
      <w:tr>
        <w:tblPrEx>
          <w:tblW w:w="9065" w:type="dxa"/>
          <w:tblLayout w:type="fixed"/>
          <w:tblCellMar>
            <w:left w:w="10" w:type="dxa"/>
            <w:right w:w="10" w:type="dxa"/>
          </w:tblCellMar>
          <w:tblLook w:val="04A0"/>
        </w:tblPrEx>
        <w:trPr>
          <w:cantSplit/>
        </w:trPr>
        <w:tc>
          <w:tcPr>
            <w:tcW w:w="1570" w:type="dxa"/>
            <w:tcMar>
              <w:top w:w="0" w:type="dxa"/>
              <w:left w:w="0" w:type="dxa"/>
              <w:bottom w:w="0" w:type="dxa"/>
              <w:right w:w="0" w:type="dxa"/>
            </w:tcMar>
          </w:tcPr>
          <w:p w:rsidR="00C46F2D" w:rsidRPr="00683DD2">
            <w:pPr>
              <w:pStyle w:val="REMARKTABLECELLITALIC"/>
              <w:rPr>
                <w:szCs w:val="24"/>
              </w:rPr>
            </w:pPr>
            <w:r w:rsidRPr="00683DD2">
              <w:rPr>
                <w:szCs w:val="24"/>
                <w:lang w:val="pt-PT"/>
              </w:rPr>
              <w:t>2.ª parte</w:t>
            </w:r>
          </w:p>
        </w:tc>
        <w:tc>
          <w:tcPr>
            <w:tcW w:w="7495" w:type="dxa"/>
            <w:tcMar>
              <w:top w:w="0" w:type="dxa"/>
              <w:left w:w="0" w:type="dxa"/>
              <w:bottom w:w="0" w:type="dxa"/>
              <w:right w:w="0" w:type="dxa"/>
            </w:tcMar>
          </w:tcPr>
          <w:p w:rsidR="00C46F2D" w:rsidRPr="00683DD2">
            <w:pPr>
              <w:pStyle w:val="REMARKTABLECELLSIMPLE"/>
              <w:rPr>
                <w:szCs w:val="24"/>
              </w:rPr>
            </w:pPr>
            <w:r w:rsidRPr="00683DD2">
              <w:rPr>
                <w:szCs w:val="24"/>
                <w:lang w:val="pt-PT"/>
              </w:rPr>
              <w:t>Estes termos</w:t>
            </w:r>
          </w:p>
        </w:tc>
      </w:tr>
    </w:tbl>
    <w:p w:rsidR="00C46F2D" w:rsidRPr="00683DD2">
      <w:pPr>
        <w:pStyle w:val="STYTAB"/>
        <w:rPr>
          <w:szCs w:val="24"/>
        </w:rPr>
      </w:pPr>
    </w:p>
    <w:p w:rsidR="00C46F2D" w:rsidRPr="00683DD2">
      <w:pPr>
        <w:widowControl/>
        <w:rPr>
          <w:sz w:val="18"/>
          <w:lang w:val="en-GB" w:bidi="ar-SA"/>
        </w:rPr>
      </w:pPr>
    </w:p>
    <w:p w:rsidR="00C46F2D" w:rsidRPr="00683DD2">
      <w:pPr>
        <w:pStyle w:val="ListParagraph"/>
        <w:keepNext/>
        <w:widowControl/>
        <w:numPr>
          <w:ilvl w:val="0"/>
          <w:numId w:val="2"/>
        </w:numPr>
        <w:tabs>
          <w:tab w:val="left" w:pos="1134"/>
          <w:tab w:val="left" w:pos="1701"/>
        </w:tabs>
        <w:spacing w:before="227" w:after="340"/>
        <w:ind w:left="0"/>
        <w:rPr>
          <w:rFonts w:cs="Times New Roman"/>
          <w:b/>
          <w:vanish/>
          <w:szCs w:val="24"/>
          <w:lang w:val="fr-FR" w:bidi="ar-SA"/>
        </w:rPr>
      </w:pPr>
    </w:p>
    <w:p w:rsidR="00C46F2D" w:rsidRPr="00683DD2">
      <w:pPr>
        <w:pStyle w:val="ListParagraph"/>
        <w:keepNext/>
        <w:widowControl/>
        <w:numPr>
          <w:ilvl w:val="0"/>
          <w:numId w:val="2"/>
        </w:numPr>
        <w:tabs>
          <w:tab w:val="left" w:pos="1134"/>
          <w:tab w:val="left" w:pos="1701"/>
        </w:tabs>
        <w:spacing w:before="227" w:after="340"/>
        <w:ind w:left="0"/>
        <w:rPr>
          <w:rFonts w:cs="Times New Roman"/>
          <w:b/>
          <w:vanish/>
          <w:szCs w:val="24"/>
          <w:lang w:val="fr-FR" w:bidi="ar-SA"/>
        </w:rPr>
      </w:pPr>
    </w:p>
    <w:p w:rsidR="00C46F2D" w:rsidRPr="00683DD2">
      <w:pPr>
        <w:pStyle w:val="ListParagraph"/>
        <w:keepNext/>
        <w:widowControl/>
        <w:numPr>
          <w:ilvl w:val="0"/>
          <w:numId w:val="2"/>
        </w:numPr>
        <w:tabs>
          <w:tab w:val="left" w:pos="1134"/>
          <w:tab w:val="left" w:pos="1701"/>
        </w:tabs>
        <w:spacing w:before="227" w:after="340"/>
        <w:ind w:left="0"/>
        <w:rPr>
          <w:rFonts w:cs="Times New Roman"/>
          <w:b/>
          <w:vanish/>
          <w:szCs w:val="24"/>
          <w:lang w:val="fr-FR" w:bidi="ar-SA"/>
        </w:rPr>
      </w:pPr>
    </w:p>
    <w:p w:rsidR="00C46F2D" w:rsidRPr="00683DD2">
      <w:pPr>
        <w:pStyle w:val="ListParagraph"/>
        <w:keepNext/>
        <w:widowControl/>
        <w:numPr>
          <w:ilvl w:val="0"/>
          <w:numId w:val="2"/>
        </w:numPr>
        <w:tabs>
          <w:tab w:val="left" w:pos="1134"/>
          <w:tab w:val="left" w:pos="1701"/>
        </w:tabs>
        <w:spacing w:before="227" w:after="340"/>
        <w:ind w:left="0"/>
        <w:rPr>
          <w:rFonts w:cs="Times New Roman"/>
          <w:b/>
          <w:vanish/>
          <w:szCs w:val="24"/>
          <w:lang w:val="fr-FR" w:bidi="ar-SA"/>
        </w:rPr>
      </w:pPr>
    </w:p>
    <w:p w:rsidR="00C46F2D" w:rsidRPr="00683DD2">
      <w:pPr>
        <w:pStyle w:val="ListParagraph"/>
        <w:keepNext/>
        <w:widowControl/>
        <w:numPr>
          <w:ilvl w:val="0"/>
          <w:numId w:val="2"/>
        </w:numPr>
        <w:tabs>
          <w:tab w:val="left" w:pos="1134"/>
          <w:tab w:val="left" w:pos="1701"/>
        </w:tabs>
        <w:spacing w:before="227" w:after="340"/>
        <w:ind w:left="0"/>
        <w:rPr>
          <w:rFonts w:cs="Times New Roman"/>
          <w:b/>
          <w:vanish/>
          <w:szCs w:val="24"/>
          <w:lang w:val="fr-FR" w:bidi="ar-SA"/>
        </w:rPr>
      </w:pPr>
    </w:p>
    <w:p w:rsidR="00C46F2D" w:rsidRPr="00683DD2">
      <w:pPr>
        <w:pStyle w:val="ListParagraph"/>
        <w:keepNext/>
        <w:widowControl/>
        <w:numPr>
          <w:ilvl w:val="0"/>
          <w:numId w:val="2"/>
        </w:numPr>
        <w:tabs>
          <w:tab w:val="left" w:pos="1134"/>
          <w:tab w:val="left" w:pos="1701"/>
        </w:tabs>
        <w:spacing w:before="227" w:after="340"/>
        <w:ind w:left="0"/>
        <w:rPr>
          <w:rFonts w:cs="Times New Roman"/>
          <w:b/>
          <w:vanish/>
          <w:szCs w:val="24"/>
          <w:lang w:val="fr-FR" w:bidi="ar-SA"/>
        </w:rPr>
      </w:pPr>
    </w:p>
    <w:p w:rsidR="00C46F2D" w:rsidRPr="00683DD2" w:rsidP="002E15DD">
      <w:pPr>
        <w:keepNext/>
        <w:widowControl/>
        <w:numPr>
          <w:ilvl w:val="0"/>
          <w:numId w:val="2"/>
        </w:numPr>
        <w:tabs>
          <w:tab w:val="left" w:pos="567"/>
          <w:tab w:val="left" w:pos="1701"/>
        </w:tabs>
        <w:spacing w:before="227" w:after="340"/>
        <w:rPr>
          <w:b/>
          <w:lang w:val="pt-PT" w:bidi="ar-SA"/>
        </w:rPr>
      </w:pPr>
      <w:r w:rsidRPr="006E259B" w:rsidR="00294961">
        <w:rPr>
          <w:b/>
          <w:noProof/>
          <w:lang w:val="pt-PT" w:bidi="ar-SA"/>
        </w:rPr>
        <w:t>Cidadãos da UE detidos na Índia, nomeadamente italianos, estónios e britânicos</w:t>
      </w:r>
    </w:p>
    <w:p w:rsidR="00C46F2D" w:rsidRPr="006E259B" w:rsidP="00963EEA">
      <w:pPr>
        <w:keepNext/>
        <w:spacing w:after="220"/>
        <w:rPr>
          <w:i/>
          <w:sz w:val="22"/>
          <w:lang w:val="pt-PT" w:bidi="ar-SA"/>
        </w:rPr>
      </w:pPr>
      <w:r w:rsidRPr="006E259B" w:rsidR="00963EEA">
        <w:rPr>
          <w:i/>
          <w:sz w:val="22"/>
          <w:lang w:val="pt-PT" w:bidi="ar-SA"/>
        </w:rPr>
        <w:t xml:space="preserve">Propostas de resolução: </w:t>
      </w:r>
      <w:r w:rsidRPr="00406050" w:rsidR="00406050">
        <w:rPr>
          <w:i/>
          <w:sz w:val="22"/>
          <w:lang w:val="pt-PT" w:bidi="ar-SA"/>
        </w:rPr>
        <w:t>B8-0081/2016, B8-0084/2016, B8-0085/2016, B8-0090/2016, B8-0093/2016, B8-0096/2016, B8-0099/2016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pt-PT" w:bidi="ar-SA"/>
              </w:rPr>
            </w:pPr>
            <w:r w:rsidRPr="00683DD2">
              <w:rPr>
                <w:sz w:val="22"/>
                <w:lang w:val="pt-PT" w:bidi="ar-SA"/>
              </w:rPr>
              <w:t>Votação por VN/VE - observações</w:t>
            </w:r>
          </w:p>
        </w:tc>
      </w:tr>
      <w:tr>
        <w:tblPrEx>
          <w:tblW w:w="9071" w:type="dxa"/>
          <w:tblInd w:w="108" w:type="dxa"/>
          <w:tblLayout w:type="fixed"/>
          <w:tblCellMar>
            <w:left w:w="10" w:type="dxa"/>
            <w:right w:w="10" w:type="dxa"/>
          </w:tblCellMar>
          <w:tblLook w:val="000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pt-PT" w:bidi="ar-SA"/>
              </w:rPr>
            </w:pPr>
            <w:r w:rsidRPr="00683DD2">
              <w:rPr>
                <w:sz w:val="22"/>
                <w:lang w:val="pt-PT" w:bidi="ar-SA"/>
              </w:rPr>
              <w:t>Propostas de resolução dos grupos políticos</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Pr>
                <w:sz w:val="22"/>
                <w:lang w:val="pt-PT" w:bidi="ar-SA"/>
              </w:rPr>
              <w:t>B8-00</w:t>
            </w:r>
            <w:r w:rsidRPr="00683DD2" w:rsidR="00EC3230">
              <w:rPr>
                <w:sz w:val="22"/>
                <w:lang w:val="pt-PT" w:bidi="ar-SA"/>
              </w:rPr>
              <w:t>8</w:t>
            </w:r>
            <w:r w:rsidRPr="00683DD2">
              <w:rPr>
                <w:sz w:val="22"/>
                <w:lang w:val="pt-PT" w:bidi="ar-SA"/>
              </w:rPr>
              <w:t>1/2016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Pr>
                <w:sz w:val="22"/>
                <w:lang w:val="pt-PT" w:bidi="ar-SA"/>
              </w:rPr>
              <w:t>B8-00</w:t>
            </w:r>
            <w:r w:rsidRPr="00683DD2" w:rsidR="00EC3230">
              <w:rPr>
                <w:sz w:val="22"/>
                <w:lang w:val="pt-PT" w:bidi="ar-SA"/>
              </w:rPr>
              <w:t>84</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noProof/>
                <w:sz w:val="22"/>
                <w:lang w:val="en-GB" w:bidi="ar-SA"/>
              </w:rP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EEA" w:rsidRPr="00683DD2" w:rsidP="00963EEA">
            <w:pPr>
              <w:keepNext/>
              <w:keepLines/>
              <w:tabs>
                <w:tab w:val="left" w:pos="1134"/>
              </w:tabs>
              <w:snapToGrid w:val="0"/>
              <w:spacing w:before="120" w:after="120"/>
              <w:jc w:val="center"/>
              <w:rPr>
                <w:lang w:val="pt-PT" w:bidi="ar-SA"/>
              </w:rPr>
            </w:pPr>
            <w:r w:rsidRPr="00683DD2">
              <w:rPr>
                <w:sz w:val="22"/>
                <w:lang w:val="pt-PT" w:bidi="ar-SA"/>
              </w:rPr>
              <w:t xml:space="preserve">Proposta de resolução comum RC-B8-0085/2016 </w:t>
              <w:br/>
              <w:t>(PPE, S&amp;D, ECR, ALDE, EFDD)</w:t>
            </w: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pt-PT" w:bidi="ar-SA"/>
              </w:rPr>
            </w:pPr>
            <w:r w:rsidRPr="00683DD2">
              <w:rPr>
                <w:sz w:val="22"/>
                <w:lang w:val="pt-PT" w:bidi="ar-SA"/>
              </w:rPr>
              <w:t>votação: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pt-PT"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pt-PT" w:bidi="ar-SA"/>
              </w:rPr>
            </w:pPr>
            <w:r w:rsidRPr="00683DD2">
              <w:rPr>
                <w:sz w:val="22"/>
                <w:lang w:val="pt-PT" w:bidi="ar-SA"/>
              </w:rPr>
              <w:t>Propostas de resolução dos grupos políticos</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Pr>
                <w:sz w:val="22"/>
                <w:lang w:val="pt-PT" w:bidi="ar-SA"/>
              </w:rPr>
              <w:t>B8-00</w:t>
            </w:r>
            <w:r w:rsidRPr="00683DD2" w:rsidR="00EC3230">
              <w:rPr>
                <w:sz w:val="22"/>
                <w:lang w:val="pt-PT" w:bidi="ar-SA"/>
              </w:rPr>
              <w:t>85</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sidR="00EC3230">
              <w:rPr>
                <w:sz w:val="22"/>
                <w:lang w:val="pt-PT" w:bidi="ar-SA"/>
              </w:rPr>
              <w:t>B8-0090</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Pr>
                <w:sz w:val="22"/>
                <w:lang w:val="pt-PT" w:bidi="ar-SA"/>
              </w:rPr>
              <w:t>B8-00</w:t>
            </w:r>
            <w:r w:rsidRPr="00683DD2" w:rsidR="00EC3230">
              <w:rPr>
                <w:sz w:val="22"/>
                <w:lang w:val="pt-PT" w:bidi="ar-SA"/>
              </w:rPr>
              <w:t>93</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sidR="00EC3230">
              <w:rPr>
                <w:sz w:val="22"/>
                <w:lang w:val="pt-PT" w:bidi="ar-SA"/>
              </w:rPr>
              <w:t>B8-0096</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sidR="00EC3230">
              <w:rPr>
                <w:sz w:val="22"/>
                <w:lang w:val="pt-PT" w:bidi="ar-SA"/>
              </w:rPr>
              <w:t>B8-0099</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bl>
    <w:p w:rsidR="00C46F2D" w:rsidRPr="00683DD2">
      <w:pPr>
        <w:widowControl/>
        <w:rPr>
          <w:sz w:val="18"/>
          <w:lang w:val="en-GB" w:bidi="ar-SA"/>
        </w:rPr>
      </w:pPr>
    </w:p>
    <w:tbl>
      <w:tblPr>
        <w:tblStyle w:val="TableNormal"/>
        <w:tblW w:w="9065" w:type="dxa"/>
        <w:tblLayout w:type="fixed"/>
        <w:tblCellMar>
          <w:left w:w="10" w:type="dxa"/>
          <w:right w:w="10" w:type="dxa"/>
        </w:tblCellMar>
        <w:tblLook w:val="0000"/>
      </w:tblPr>
      <w:tblGrid>
        <w:gridCol w:w="9065"/>
      </w:tblGrid>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C46F2D" w:rsidRPr="00683DD2">
            <w:pPr>
              <w:keepNext/>
              <w:keepLines/>
              <w:tabs>
                <w:tab w:val="left" w:pos="1134"/>
              </w:tabs>
              <w:snapToGrid w:val="0"/>
              <w:rPr>
                <w:i/>
                <w:sz w:val="22"/>
                <w:lang w:val="en-GB" w:bidi="ar-SA"/>
              </w:rPr>
            </w:pPr>
            <w:r w:rsidRPr="00683DD2">
              <w:rPr>
                <w:i/>
                <w:sz w:val="22"/>
                <w:lang w:val="pt-PT" w:bidi="ar-SA"/>
              </w:rPr>
              <w:t>Diversos</w:t>
            </w:r>
          </w:p>
        </w:tc>
      </w:tr>
    </w:tbl>
    <w:p w:rsidR="00C46F2D" w:rsidRPr="00683DD2">
      <w:pPr>
        <w:rPr>
          <w:lang w:bidi="ar-SA"/>
        </w:rPr>
      </w:pPr>
    </w:p>
    <w:tbl>
      <w:tblPr>
        <w:tblStyle w:val="TableNormal"/>
        <w:tblW w:w="9065" w:type="dxa"/>
        <w:tblLayout w:type="fixed"/>
        <w:tblCellMar>
          <w:left w:w="10" w:type="dxa"/>
          <w:right w:w="10" w:type="dxa"/>
        </w:tblCellMar>
        <w:tblLook w:val="0000"/>
      </w:tblPr>
      <w:tblGrid>
        <w:gridCol w:w="9065"/>
      </w:tblGrid>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963EEA" w:rsidRPr="00683DD2" w:rsidP="00963EEA">
            <w:pPr>
              <w:keepNext/>
              <w:keepLines/>
              <w:tabs>
                <w:tab w:val="left" w:pos="1134"/>
              </w:tabs>
              <w:snapToGrid w:val="0"/>
              <w:rPr>
                <w:lang w:val="pt-PT" w:bidi="ar-SA"/>
              </w:rPr>
            </w:pPr>
            <w:r w:rsidRPr="00683DD2">
              <w:rPr>
                <w:sz w:val="22"/>
                <w:lang w:val="pt-PT" w:bidi="ar-SA"/>
              </w:rPr>
              <w:t>Victor Negrescu (Grupo S&amp;D) é igualmente signatário da proposta de resolução comum RC-B8-0085/2016.</w:t>
              <w:br/>
            </w:r>
          </w:p>
        </w:tc>
      </w:tr>
    </w:tbl>
    <w:p w:rsidR="00C46F2D" w:rsidRPr="00683DD2">
      <w:pPr>
        <w:widowControl/>
        <w:rPr>
          <w:sz w:val="18"/>
          <w:lang w:val="pt-PT" w:bidi="ar-SA"/>
        </w:rPr>
      </w:pPr>
    </w:p>
    <w:p w:rsidR="00C46F2D" w:rsidRPr="00683DD2">
      <w:pPr>
        <w:widowControl/>
        <w:rPr>
          <w:sz w:val="18"/>
          <w:lang w:val="pt-PT" w:bidi="ar-SA"/>
        </w:rPr>
      </w:pPr>
      <w:r w:rsidRPr="00683DD2">
        <w:rPr>
          <w:sz w:val="18"/>
          <w:lang w:val="pt-PT" w:bidi="ar-SA"/>
        </w:rPr>
        <w:br w:type="page"/>
      </w:r>
    </w:p>
    <w:p w:rsidR="00C46F2D" w:rsidRPr="00683DD2" w:rsidP="002E15DD">
      <w:pPr>
        <w:keepNext/>
        <w:widowControl/>
        <w:numPr>
          <w:ilvl w:val="0"/>
          <w:numId w:val="2"/>
        </w:numPr>
        <w:tabs>
          <w:tab w:val="left" w:pos="567"/>
          <w:tab w:val="left" w:pos="1701"/>
        </w:tabs>
        <w:spacing w:before="227" w:after="340"/>
        <w:ind w:left="567" w:hanging="567"/>
        <w:rPr>
          <w:b/>
          <w:lang w:val="en-GB" w:bidi="ar-SA"/>
        </w:rPr>
      </w:pPr>
      <w:r w:rsidRPr="00683DD2" w:rsidR="00963EEA">
        <w:rPr>
          <w:b/>
          <w:noProof/>
          <w:lang w:val="en-GB" w:bidi="ar-SA"/>
        </w:rPr>
        <w:t>E</w:t>
      </w:r>
      <w:r w:rsidRPr="00683DD2">
        <w:rPr>
          <w:b/>
          <w:noProof/>
          <w:lang w:val="en-GB" w:bidi="ar-SA"/>
        </w:rPr>
        <w:t>ti</w:t>
      </w:r>
      <w:r w:rsidRPr="00683DD2" w:rsidR="00963EEA">
        <w:rPr>
          <w:b/>
          <w:noProof/>
          <w:lang w:val="en-GB" w:bidi="ar-SA"/>
        </w:rPr>
        <w:t>ópia</w:t>
      </w:r>
    </w:p>
    <w:p w:rsidR="00C46F2D" w:rsidRPr="006E259B" w:rsidP="00963EEA">
      <w:pPr>
        <w:keepNext/>
        <w:spacing w:after="220"/>
        <w:rPr>
          <w:i/>
          <w:sz w:val="22"/>
          <w:lang w:val="pt-PT" w:bidi="ar-SA"/>
        </w:rPr>
      </w:pPr>
      <w:r w:rsidRPr="006E259B" w:rsidR="00963EEA">
        <w:rPr>
          <w:i/>
          <w:sz w:val="22"/>
          <w:lang w:val="pt-PT" w:bidi="ar-SA"/>
        </w:rPr>
        <w:t xml:space="preserve">Propostas de resolução: </w:t>
      </w:r>
      <w:r w:rsidR="006C2D37">
        <w:rPr>
          <w:i/>
          <w:sz w:val="22"/>
          <w:lang w:val="pt-PT" w:bidi="ar-SA"/>
        </w:rPr>
        <w:t>B8-0082/20</w:t>
      </w:r>
      <w:r w:rsidR="006C2D37">
        <w:rPr>
          <w:i/>
          <w:sz w:val="22"/>
          <w:lang w:val="pt-PT" w:bidi="ar-SA"/>
        </w:rPr>
        <w:t xml:space="preserve">16, </w:t>
      </w:r>
      <w:r w:rsidRPr="006C2D37" w:rsidR="006C2D37">
        <w:rPr>
          <w:i/>
          <w:sz w:val="22"/>
          <w:lang w:val="pt-PT" w:bidi="ar-SA"/>
        </w:rPr>
        <w:t>B8-0086/2016, B8-0087/2016, B8-0091/2016, B8-0095/2016, B8-0100/2016, B8-0121/2016</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pt-PT" w:bidi="ar-SA"/>
              </w:rPr>
            </w:pPr>
            <w:r w:rsidRPr="00683DD2">
              <w:rPr>
                <w:sz w:val="22"/>
                <w:lang w:val="pt-PT" w:bidi="ar-SA"/>
              </w:rPr>
              <w:t>Votação por VN/VE - observações</w:t>
            </w:r>
          </w:p>
        </w:tc>
      </w:tr>
      <w:tr>
        <w:tblPrEx>
          <w:tblW w:w="9071" w:type="dxa"/>
          <w:tblInd w:w="108" w:type="dxa"/>
          <w:tblLayout w:type="fixed"/>
          <w:tblCellMar>
            <w:left w:w="10" w:type="dxa"/>
            <w:right w:w="10" w:type="dxa"/>
          </w:tblCellMar>
          <w:tblLook w:val="000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EEA" w:rsidRPr="00683DD2" w:rsidP="00963EEA">
            <w:pPr>
              <w:keepNext/>
              <w:keepLines/>
              <w:tabs>
                <w:tab w:val="left" w:pos="1134"/>
              </w:tabs>
              <w:snapToGrid w:val="0"/>
              <w:spacing w:before="120" w:after="120"/>
              <w:jc w:val="center"/>
              <w:rPr>
                <w:lang w:val="pt-PT" w:bidi="ar-SA"/>
              </w:rPr>
            </w:pPr>
            <w:r w:rsidRPr="00683DD2">
              <w:rPr>
                <w:sz w:val="22"/>
                <w:lang w:val="pt-PT" w:bidi="ar-SA"/>
              </w:rPr>
              <w:t xml:space="preserve">Proposta de resolução comum RC-B8-0082/2016 </w:t>
              <w:br/>
              <w:t>(PPE, S&amp;D, ECR, ALDE, GUE/NGL, Verts/ALE, EFDD)</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32, 41, 1</w:t>
            </w: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pt-PT" w:bidi="ar-SA"/>
              </w:rPr>
            </w:pPr>
            <w:r w:rsidRPr="00683DD2">
              <w:rPr>
                <w:sz w:val="22"/>
                <w:lang w:val="pt-PT" w:bidi="ar-SA"/>
              </w:rPr>
              <w:t>votação: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pt-PT"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pt-PT" w:bidi="ar-SA"/>
              </w:rPr>
            </w:pPr>
            <w:r w:rsidRPr="00683DD2">
              <w:rPr>
                <w:sz w:val="22"/>
                <w:lang w:val="pt-PT" w:bidi="ar-SA"/>
              </w:rPr>
              <w:t>Propostas de resolução dos grupos políticos</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Pr>
                <w:sz w:val="22"/>
                <w:lang w:val="pt-PT" w:bidi="ar-SA"/>
              </w:rPr>
              <w:t>B8-00</w:t>
            </w:r>
            <w:r w:rsidRPr="00683DD2" w:rsidR="00EC3230">
              <w:rPr>
                <w:sz w:val="22"/>
                <w:lang w:val="pt-PT" w:bidi="ar-SA"/>
              </w:rPr>
              <w:t>8</w:t>
            </w:r>
            <w:r w:rsidRPr="00683DD2">
              <w:rPr>
                <w:sz w:val="22"/>
                <w:lang w:val="pt-PT" w:bidi="ar-SA"/>
              </w:rPr>
              <w:t>2/2016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sidR="00EC3230">
              <w:rPr>
                <w:sz w:val="22"/>
                <w:lang w:val="pt-PT" w:bidi="ar-SA"/>
              </w:rPr>
              <w:t>B8-0086</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Pr>
                <w:sz w:val="22"/>
                <w:lang w:val="pt-PT" w:bidi="ar-SA"/>
              </w:rPr>
              <w:t>B8-00</w:t>
            </w:r>
            <w:r w:rsidRPr="00683DD2" w:rsidR="00EC3230">
              <w:rPr>
                <w:sz w:val="22"/>
                <w:lang w:val="pt-PT" w:bidi="ar-SA"/>
              </w:rPr>
              <w:t>87</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sidR="00EC3230">
              <w:rPr>
                <w:sz w:val="22"/>
                <w:lang w:val="pt-PT" w:bidi="ar-SA"/>
              </w:rPr>
              <w:t>B8-009</w:t>
            </w:r>
            <w:r w:rsidRPr="00683DD2">
              <w:rPr>
                <w:sz w:val="22"/>
                <w:lang w:val="pt-PT" w:bidi="ar-SA"/>
              </w:rPr>
              <w:t>1/2016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Pr>
                <w:sz w:val="22"/>
                <w:lang w:val="pt-PT" w:bidi="ar-SA"/>
              </w:rPr>
              <w:t>B8-00</w:t>
            </w:r>
            <w:r w:rsidRPr="00683DD2" w:rsidR="00EC3230">
              <w:rPr>
                <w:sz w:val="22"/>
                <w:lang w:val="pt-PT" w:bidi="ar-SA"/>
              </w:rPr>
              <w:t>9</w:t>
            </w:r>
            <w:r w:rsidRPr="00683DD2">
              <w:rPr>
                <w:sz w:val="22"/>
                <w:lang w:val="pt-PT" w:bidi="ar-SA"/>
              </w:rPr>
              <w:t>5/2016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sidR="00EC3230">
              <w:rPr>
                <w:sz w:val="22"/>
                <w:lang w:val="pt-PT" w:bidi="ar-SA"/>
              </w:rPr>
              <w:t>B8-0</w:t>
            </w:r>
            <w:r w:rsidRPr="00683DD2">
              <w:rPr>
                <w:sz w:val="22"/>
                <w:lang w:val="pt-PT" w:bidi="ar-SA"/>
              </w:rPr>
              <w:t>1</w:t>
            </w:r>
            <w:r w:rsidRPr="00683DD2" w:rsidR="00EC3230">
              <w:rPr>
                <w:sz w:val="22"/>
                <w:lang w:val="pt-PT" w:bidi="ar-SA"/>
              </w:rPr>
              <w:t>00</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EC3230">
            <w:pPr>
              <w:keepNext/>
              <w:keepLines/>
              <w:tabs>
                <w:tab w:val="left" w:pos="1134"/>
              </w:tabs>
              <w:snapToGrid w:val="0"/>
              <w:spacing w:before="120" w:after="120"/>
              <w:jc w:val="center"/>
              <w:rPr>
                <w:sz w:val="22"/>
                <w:lang w:val="en-GB" w:bidi="ar-SA"/>
              </w:rPr>
            </w:pPr>
            <w:r w:rsidRPr="00683DD2">
              <w:rPr>
                <w:sz w:val="22"/>
                <w:lang w:val="pt-PT" w:bidi="ar-SA"/>
              </w:rPr>
              <w:t>B8-012</w:t>
            </w:r>
            <w:r w:rsidRPr="00683DD2" w:rsidR="00EC3230">
              <w:rPr>
                <w:sz w:val="22"/>
                <w:lang w:val="pt-PT" w:bidi="ar-SA"/>
              </w:rPr>
              <w:t>1</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bl>
    <w:p w:rsidR="00C46F2D" w:rsidRPr="00683DD2">
      <w:pPr>
        <w:widowControl/>
        <w:rPr>
          <w:sz w:val="18"/>
          <w:lang w:val="en-GB" w:bidi="ar-SA"/>
        </w:rPr>
      </w:pPr>
    </w:p>
    <w:tbl>
      <w:tblPr>
        <w:tblStyle w:val="TableNormal"/>
        <w:tblW w:w="9065" w:type="dxa"/>
        <w:tblLayout w:type="fixed"/>
        <w:tblCellMar>
          <w:left w:w="10" w:type="dxa"/>
          <w:right w:w="10" w:type="dxa"/>
        </w:tblCellMar>
        <w:tblLook w:val="0000"/>
      </w:tblPr>
      <w:tblGrid>
        <w:gridCol w:w="9065"/>
      </w:tblGrid>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C46F2D" w:rsidRPr="00683DD2">
            <w:pPr>
              <w:keepNext/>
              <w:keepLines/>
              <w:tabs>
                <w:tab w:val="left" w:pos="1134"/>
              </w:tabs>
              <w:snapToGrid w:val="0"/>
              <w:rPr>
                <w:i/>
                <w:sz w:val="22"/>
                <w:lang w:val="en-GB" w:bidi="ar-SA"/>
              </w:rPr>
            </w:pPr>
            <w:r w:rsidRPr="00683DD2">
              <w:rPr>
                <w:i/>
                <w:sz w:val="22"/>
                <w:lang w:val="pt-PT" w:bidi="ar-SA"/>
              </w:rPr>
              <w:t>Diversos</w:t>
            </w:r>
          </w:p>
        </w:tc>
      </w:tr>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963EEA" w:rsidRPr="00683DD2" w:rsidP="00963EEA">
            <w:pPr>
              <w:keepNext/>
              <w:keepLines/>
              <w:tabs>
                <w:tab w:val="left" w:pos="1134"/>
              </w:tabs>
              <w:snapToGrid w:val="0"/>
              <w:rPr>
                <w:lang w:val="pt-PT" w:bidi="ar-SA"/>
              </w:rPr>
            </w:pPr>
            <w:r w:rsidRPr="00683DD2">
              <w:rPr>
                <w:sz w:val="22"/>
                <w:lang w:val="pt-PT" w:bidi="ar-SA"/>
              </w:rPr>
              <w:t>Victor Negrescu (Grupo S&amp;D) é igualmente signatário da proposta de resolução comum RC-B8-0082/2016.</w:t>
            </w:r>
          </w:p>
        </w:tc>
      </w:tr>
    </w:tbl>
    <w:p w:rsidR="00C46F2D" w:rsidRPr="00683DD2">
      <w:pPr>
        <w:widowControl/>
        <w:rPr>
          <w:sz w:val="18"/>
          <w:lang w:val="pt-PT" w:bidi="ar-SA"/>
        </w:rPr>
      </w:pPr>
    </w:p>
    <w:p w:rsidR="00C46F2D" w:rsidRPr="00683DD2">
      <w:pPr>
        <w:widowControl/>
        <w:rPr>
          <w:sz w:val="18"/>
          <w:lang w:val="pt-PT" w:bidi="ar-SA"/>
        </w:rPr>
      </w:pPr>
      <w:r w:rsidRPr="00683DD2">
        <w:rPr>
          <w:sz w:val="18"/>
          <w:lang w:val="pt-PT" w:bidi="ar-SA"/>
        </w:rPr>
        <w:br w:type="page"/>
      </w:r>
    </w:p>
    <w:p w:rsidR="00C46F2D" w:rsidRPr="00683DD2" w:rsidP="002E15DD">
      <w:pPr>
        <w:keepNext/>
        <w:widowControl/>
        <w:numPr>
          <w:ilvl w:val="0"/>
          <w:numId w:val="2"/>
        </w:numPr>
        <w:tabs>
          <w:tab w:val="left" w:pos="567"/>
          <w:tab w:val="left" w:pos="1701"/>
        </w:tabs>
        <w:spacing w:before="227" w:after="340"/>
        <w:ind w:left="567" w:hanging="567"/>
        <w:rPr>
          <w:b/>
          <w:lang w:val="en-GB" w:bidi="ar-SA"/>
        </w:rPr>
      </w:pPr>
      <w:r w:rsidRPr="00683DD2">
        <w:rPr>
          <w:b/>
          <w:noProof/>
          <w:lang w:val="en-GB" w:bidi="ar-SA"/>
        </w:rPr>
        <w:t>Core</w:t>
      </w:r>
      <w:r w:rsidRPr="00683DD2" w:rsidR="00963EEA">
        <w:rPr>
          <w:b/>
          <w:noProof/>
          <w:lang w:val="en-GB" w:bidi="ar-SA"/>
        </w:rPr>
        <w:t>ia</w:t>
      </w:r>
      <w:r w:rsidRPr="00683DD2">
        <w:rPr>
          <w:b/>
          <w:noProof/>
          <w:lang w:val="en-GB" w:bidi="ar-SA"/>
        </w:rPr>
        <w:t xml:space="preserve"> d</w:t>
      </w:r>
      <w:r w:rsidRPr="00683DD2" w:rsidR="00963EEA">
        <w:rPr>
          <w:b/>
          <w:noProof/>
          <w:lang w:val="en-GB" w:bidi="ar-SA"/>
        </w:rPr>
        <w:t>o</w:t>
      </w:r>
      <w:r w:rsidRPr="00683DD2">
        <w:rPr>
          <w:b/>
          <w:noProof/>
          <w:lang w:val="en-GB" w:bidi="ar-SA"/>
        </w:rPr>
        <w:t xml:space="preserve"> Nor</w:t>
      </w:r>
      <w:r w:rsidRPr="00683DD2" w:rsidR="00963EEA">
        <w:rPr>
          <w:b/>
          <w:noProof/>
          <w:lang w:val="en-GB" w:bidi="ar-SA"/>
        </w:rPr>
        <w:t>te</w:t>
      </w:r>
    </w:p>
    <w:p w:rsidR="00C46F2D" w:rsidRPr="006E259B" w:rsidP="00963EEA">
      <w:pPr>
        <w:keepNext/>
        <w:spacing w:after="220"/>
        <w:rPr>
          <w:i/>
          <w:sz w:val="22"/>
          <w:lang w:val="pt-PT" w:bidi="ar-SA"/>
        </w:rPr>
      </w:pPr>
      <w:r w:rsidRPr="006E259B" w:rsidR="00963EEA">
        <w:rPr>
          <w:i/>
          <w:sz w:val="22"/>
          <w:lang w:val="pt-PT" w:bidi="ar-SA"/>
        </w:rPr>
        <w:t xml:space="preserve">Propostas de resolução: </w:t>
      </w:r>
      <w:r w:rsidR="00F3519D">
        <w:rPr>
          <w:i/>
          <w:sz w:val="22"/>
          <w:lang w:val="pt-PT" w:bidi="ar-SA"/>
        </w:rPr>
        <w:t xml:space="preserve">B8-0083/2016, </w:t>
      </w:r>
      <w:r w:rsidRPr="00F3519D" w:rsidR="00F3519D">
        <w:rPr>
          <w:i/>
          <w:sz w:val="22"/>
          <w:lang w:val="pt-PT" w:bidi="ar-SA"/>
        </w:rPr>
        <w:t xml:space="preserve">B8-0088/2016, B8-0089/2016, B8-0092/2016, B8-0094/2016, B8-0097/2016, B8-0098/2016 </w:t>
      </w:r>
    </w:p>
    <w:tbl>
      <w:tblPr>
        <w:tblStyle w:val="TableNormal"/>
        <w:tblW w:w="9071" w:type="dxa"/>
        <w:tblInd w:w="108" w:type="dxa"/>
        <w:tblLayout w:type="fixed"/>
        <w:tblCellMar>
          <w:left w:w="10" w:type="dxa"/>
          <w:right w:w="10" w:type="dxa"/>
        </w:tblCellMar>
        <w:tblLook w:val="0000"/>
      </w:tblPr>
      <w:tblGrid>
        <w:gridCol w:w="2259"/>
        <w:gridCol w:w="908"/>
        <w:gridCol w:w="1516"/>
        <w:gridCol w:w="982"/>
        <w:gridCol w:w="1419"/>
        <w:gridCol w:w="1987"/>
      </w:tblGrid>
      <w:tr>
        <w:tblPrEx>
          <w:tblW w:w="9071" w:type="dxa"/>
          <w:tblInd w:w="108"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Assunto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Alt.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Autor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en-GB" w:bidi="ar-SA"/>
              </w:rPr>
            </w:pPr>
            <w:r w:rsidRPr="00683DD2">
              <w:rPr>
                <w:sz w:val="22"/>
                <w:lang w:val="pt-PT" w:bidi="ar-SA"/>
              </w:rPr>
              <w:t>Votação</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C46F2D" w:rsidRPr="00683DD2">
            <w:pPr>
              <w:widowControl/>
              <w:tabs>
                <w:tab w:val="left" w:pos="1134"/>
              </w:tabs>
              <w:snapToGrid w:val="0"/>
              <w:spacing w:before="120" w:after="120"/>
              <w:jc w:val="center"/>
              <w:rPr>
                <w:sz w:val="22"/>
                <w:lang w:val="pt-PT" w:bidi="ar-SA"/>
              </w:rPr>
            </w:pPr>
            <w:r w:rsidRPr="00683DD2">
              <w:rPr>
                <w:sz w:val="22"/>
                <w:lang w:val="pt-PT" w:bidi="ar-SA"/>
              </w:rPr>
              <w:t>Votação por VN/VE - observações</w:t>
            </w:r>
          </w:p>
        </w:tc>
      </w:tr>
      <w:tr>
        <w:tblPrEx>
          <w:tblW w:w="9071" w:type="dxa"/>
          <w:tblInd w:w="108" w:type="dxa"/>
          <w:tblLayout w:type="fixed"/>
          <w:tblCellMar>
            <w:left w:w="10" w:type="dxa"/>
            <w:right w:w="10" w:type="dxa"/>
          </w:tblCellMar>
          <w:tblLook w:val="000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EEA" w:rsidRPr="00683DD2" w:rsidP="00963EEA">
            <w:pPr>
              <w:keepNext/>
              <w:keepLines/>
              <w:tabs>
                <w:tab w:val="left" w:pos="1134"/>
              </w:tabs>
              <w:snapToGrid w:val="0"/>
              <w:spacing w:before="120" w:after="120"/>
              <w:jc w:val="center"/>
              <w:rPr>
                <w:lang w:val="pt-PT" w:bidi="ar-SA"/>
              </w:rPr>
            </w:pPr>
            <w:r w:rsidRPr="00683DD2">
              <w:rPr>
                <w:sz w:val="22"/>
                <w:lang w:val="pt-PT" w:bidi="ar-SA"/>
              </w:rPr>
              <w:t xml:space="preserve">Proposta de resolução comum RC-B8-0083/2016 </w:t>
              <w:br/>
              <w:t>(PPE, S&amp;D, ECR, ALDE, Verts/ALE, EFDD)</w:t>
            </w:r>
          </w:p>
        </w:tc>
      </w:tr>
      <w:tr>
        <w:tblPrEx>
          <w:tblW w:w="9071" w:type="dxa"/>
          <w:tblInd w:w="108"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 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rPr>
                <w:lang w:bidi="ar-SA"/>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pt-PT" w:bidi="ar-SA"/>
              </w:rPr>
            </w:pPr>
            <w:r w:rsidRPr="00683DD2">
              <w:rPr>
                <w:sz w:val="22"/>
                <w:lang w:val="pt-PT" w:bidi="ar-SA"/>
              </w:rPr>
              <w:t>votação: resolução (conjunto do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65, 2, 10</w:t>
            </w:r>
          </w:p>
        </w:tc>
      </w:tr>
      <w:tr>
        <w:tblPrEx>
          <w:tblW w:w="9071" w:type="dxa"/>
          <w:tblInd w:w="108" w:type="dxa"/>
          <w:tblLayout w:type="fixed"/>
          <w:tblCellMar>
            <w:left w:w="10" w:type="dxa"/>
            <w:right w:w="10" w:type="dxa"/>
          </w:tblCellMar>
          <w:tblLook w:val="0000"/>
        </w:tblPrEx>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pt-PT" w:bidi="ar-SA"/>
              </w:rPr>
            </w:pPr>
            <w:r w:rsidRPr="00683DD2">
              <w:rPr>
                <w:sz w:val="22"/>
                <w:lang w:val="pt-PT" w:bidi="ar-SA"/>
              </w:rPr>
              <w:t>Propostas de resolução dos grupos políticos</w:t>
            </w: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F01A4C">
            <w:pPr>
              <w:keepNext/>
              <w:keepLines/>
              <w:tabs>
                <w:tab w:val="left" w:pos="1134"/>
              </w:tabs>
              <w:snapToGrid w:val="0"/>
              <w:spacing w:before="120" w:after="120"/>
              <w:jc w:val="center"/>
              <w:rPr>
                <w:sz w:val="22"/>
                <w:lang w:val="en-GB" w:bidi="ar-SA"/>
              </w:rPr>
            </w:pPr>
            <w:r w:rsidRPr="00683DD2">
              <w:rPr>
                <w:sz w:val="22"/>
                <w:lang w:val="pt-PT" w:bidi="ar-SA"/>
              </w:rPr>
              <w:t>B8-00</w:t>
            </w:r>
            <w:r w:rsidRPr="00683DD2" w:rsidR="00F01A4C">
              <w:rPr>
                <w:sz w:val="22"/>
                <w:lang w:val="pt-PT" w:bidi="ar-SA"/>
              </w:rPr>
              <w:t>8</w:t>
            </w:r>
            <w:r w:rsidRPr="00683DD2">
              <w:rPr>
                <w:sz w:val="22"/>
                <w:lang w:val="pt-PT" w:bidi="ar-SA"/>
              </w:rPr>
              <w:t>3/2016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F01A4C">
            <w:pPr>
              <w:keepNext/>
              <w:keepLines/>
              <w:tabs>
                <w:tab w:val="left" w:pos="1134"/>
              </w:tabs>
              <w:snapToGrid w:val="0"/>
              <w:spacing w:before="120" w:after="120"/>
              <w:jc w:val="center"/>
              <w:rPr>
                <w:sz w:val="22"/>
                <w:lang w:val="en-GB" w:bidi="ar-SA"/>
              </w:rPr>
            </w:pPr>
            <w:r w:rsidRPr="00683DD2" w:rsidR="00F01A4C">
              <w:rPr>
                <w:sz w:val="22"/>
                <w:lang w:val="pt-PT" w:bidi="ar-SA"/>
              </w:rPr>
              <w:t>B8-0088</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F01A4C">
            <w:pPr>
              <w:keepNext/>
              <w:keepLines/>
              <w:tabs>
                <w:tab w:val="left" w:pos="1134"/>
              </w:tabs>
              <w:snapToGrid w:val="0"/>
              <w:spacing w:before="120" w:after="120"/>
              <w:jc w:val="center"/>
              <w:rPr>
                <w:sz w:val="22"/>
                <w:lang w:val="en-GB" w:bidi="ar-SA"/>
              </w:rPr>
            </w:pPr>
            <w:r w:rsidRPr="00683DD2" w:rsidR="00F01A4C">
              <w:rPr>
                <w:sz w:val="22"/>
                <w:lang w:val="pt-PT" w:bidi="ar-SA"/>
              </w:rPr>
              <w:t>B8-0089</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sidR="00F01A4C">
              <w:rPr>
                <w:sz w:val="22"/>
                <w:lang w:val="pt-PT" w:bidi="ar-SA"/>
              </w:rPr>
              <w:t>B8-009</w:t>
            </w:r>
            <w:r w:rsidRPr="00683DD2">
              <w:rPr>
                <w:sz w:val="22"/>
                <w:lang w:val="pt-PT" w:bidi="ar-SA"/>
              </w:rPr>
              <w:t>2/2016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F01A4C">
            <w:pPr>
              <w:keepNext/>
              <w:keepLines/>
              <w:tabs>
                <w:tab w:val="left" w:pos="1134"/>
              </w:tabs>
              <w:snapToGrid w:val="0"/>
              <w:spacing w:before="120" w:after="120"/>
              <w:jc w:val="center"/>
              <w:rPr>
                <w:sz w:val="22"/>
                <w:lang w:val="en-GB" w:bidi="ar-SA"/>
              </w:rPr>
            </w:pPr>
            <w:r w:rsidRPr="00683DD2">
              <w:rPr>
                <w:sz w:val="22"/>
                <w:lang w:val="pt-PT" w:bidi="ar-SA"/>
              </w:rPr>
              <w:t>B8-00</w:t>
            </w:r>
            <w:r w:rsidRPr="00683DD2" w:rsidR="00F01A4C">
              <w:rPr>
                <w:sz w:val="22"/>
                <w:lang w:val="pt-PT" w:bidi="ar-SA"/>
              </w:rPr>
              <w:t>9</w:t>
            </w:r>
            <w:r w:rsidRPr="00683DD2">
              <w:rPr>
                <w:sz w:val="22"/>
                <w:lang w:val="pt-PT" w:bidi="ar-SA"/>
              </w:rPr>
              <w:t>4/2016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F01A4C">
            <w:pPr>
              <w:keepNext/>
              <w:keepLines/>
              <w:tabs>
                <w:tab w:val="left" w:pos="1134"/>
              </w:tabs>
              <w:snapToGrid w:val="0"/>
              <w:spacing w:before="120" w:after="120"/>
              <w:jc w:val="center"/>
              <w:rPr>
                <w:sz w:val="22"/>
                <w:lang w:val="en-GB" w:bidi="ar-SA"/>
              </w:rPr>
            </w:pPr>
            <w:r w:rsidRPr="00683DD2" w:rsidR="00F01A4C">
              <w:rPr>
                <w:sz w:val="22"/>
                <w:lang w:val="pt-PT" w:bidi="ar-SA"/>
              </w:rPr>
              <w:t>B8-0097</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r>
        <w:tblPrEx>
          <w:tblW w:w="9071" w:type="dxa"/>
          <w:tblInd w:w="108"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rsidP="00F01A4C">
            <w:pPr>
              <w:keepNext/>
              <w:keepLines/>
              <w:tabs>
                <w:tab w:val="left" w:pos="1134"/>
              </w:tabs>
              <w:snapToGrid w:val="0"/>
              <w:spacing w:before="120" w:after="120"/>
              <w:jc w:val="center"/>
              <w:rPr>
                <w:sz w:val="22"/>
                <w:lang w:val="en-GB" w:bidi="ar-SA"/>
              </w:rPr>
            </w:pPr>
            <w:r w:rsidRPr="00683DD2" w:rsidR="00F01A4C">
              <w:rPr>
                <w:sz w:val="22"/>
                <w:lang w:val="pt-PT" w:bidi="ar-SA"/>
              </w:rPr>
              <w:t>B8-0098</w:t>
            </w:r>
            <w:r w:rsidRPr="00683DD2">
              <w:rPr>
                <w:sz w:val="22"/>
                <w:lang w:val="pt-PT" w:bidi="ar-SA"/>
              </w:rPr>
              <w:t>/2016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pt-PT" w:bidi="ar-SA"/>
              </w:rP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r w:rsidRPr="00683DD2">
              <w:rPr>
                <w:sz w:val="22"/>
                <w:lang w:val="en-GB" w:bidi="ar-SA"/>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6F2D" w:rsidRPr="00683DD2">
            <w:pPr>
              <w:keepNext/>
              <w:keepLines/>
              <w:tabs>
                <w:tab w:val="left" w:pos="1134"/>
              </w:tabs>
              <w:snapToGrid w:val="0"/>
              <w:spacing w:before="120" w:after="120"/>
              <w:jc w:val="center"/>
              <w:rPr>
                <w:sz w:val="22"/>
                <w:lang w:val="en-GB" w:bidi="ar-SA"/>
              </w:rPr>
            </w:pPr>
          </w:p>
        </w:tc>
      </w:tr>
    </w:tbl>
    <w:p w:rsidR="00C46F2D" w:rsidRPr="00683DD2">
      <w:pPr>
        <w:widowControl/>
        <w:rPr>
          <w:sz w:val="18"/>
          <w:lang w:val="en-GB" w:bidi="ar-SA"/>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C46F2D" w:rsidRPr="00683DD2">
            <w:pPr>
              <w:keepNext/>
              <w:keepLines/>
              <w:tabs>
                <w:tab w:val="left" w:pos="1134"/>
              </w:tabs>
              <w:snapToGrid w:val="0"/>
              <w:rPr>
                <w:i/>
                <w:sz w:val="22"/>
                <w:lang w:val="fr-FR" w:bidi="ar-SA"/>
              </w:rPr>
            </w:pPr>
            <w:r w:rsidRPr="00683DD2">
              <w:rPr>
                <w:i/>
                <w:sz w:val="22"/>
                <w:lang w:val="pt-PT" w:bidi="ar-SA"/>
              </w:rPr>
              <w:t>Pedidos de votação nominal</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C46F2D" w:rsidRPr="00683DD2">
            <w:pPr>
              <w:keepNext/>
              <w:keepLines/>
              <w:tabs>
                <w:tab w:val="left" w:pos="1134"/>
              </w:tabs>
              <w:snapToGrid w:val="0"/>
              <w:rPr>
                <w:sz w:val="22"/>
                <w:lang w:val="en-GB" w:bidi="ar-SA"/>
              </w:rPr>
            </w:pPr>
            <w:r w:rsidRPr="00683DD2">
              <w:rPr>
                <w:sz w:val="22"/>
                <w:lang w:val="pt-PT" w:bidi="ar-SA"/>
              </w:rPr>
              <w:t>PPE:</w:t>
            </w:r>
          </w:p>
        </w:tc>
        <w:tc>
          <w:tcPr>
            <w:tcW w:w="7495" w:type="dxa"/>
            <w:tcMar>
              <w:top w:w="0" w:type="dxa"/>
              <w:left w:w="0" w:type="dxa"/>
              <w:bottom w:w="0" w:type="dxa"/>
              <w:right w:w="0" w:type="dxa"/>
            </w:tcMar>
          </w:tcPr>
          <w:p w:rsidR="00C46F2D" w:rsidRPr="00683DD2">
            <w:pPr>
              <w:keepNext/>
              <w:keepLines/>
              <w:tabs>
                <w:tab w:val="left" w:pos="1134"/>
              </w:tabs>
              <w:snapToGrid w:val="0"/>
              <w:rPr>
                <w:sz w:val="22"/>
                <w:lang w:val="en-GB" w:bidi="ar-SA"/>
              </w:rPr>
            </w:pPr>
            <w:r w:rsidRPr="00683DD2">
              <w:rPr>
                <w:sz w:val="22"/>
                <w:lang w:val="pt-PT" w:bidi="ar-SA"/>
              </w:rPr>
              <w:t>votação final</w:t>
            </w:r>
          </w:p>
        </w:tc>
      </w:tr>
    </w:tbl>
    <w:p w:rsidR="00C46F2D" w:rsidRPr="00683DD2">
      <w:pPr>
        <w:widowControl/>
        <w:rPr>
          <w:sz w:val="18"/>
          <w:lang w:val="en-GB" w:bidi="ar-SA"/>
        </w:rPr>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C46F2D" w:rsidRPr="00683DD2">
            <w:pPr>
              <w:keepNext/>
              <w:keepLines/>
              <w:tabs>
                <w:tab w:val="left" w:pos="1134"/>
              </w:tabs>
              <w:snapToGrid w:val="0"/>
              <w:rPr>
                <w:i/>
                <w:sz w:val="22"/>
                <w:lang w:val="pt-PT" w:bidi="ar-SA"/>
              </w:rPr>
            </w:pPr>
            <w:r w:rsidRPr="00683DD2">
              <w:rPr>
                <w:i/>
                <w:sz w:val="22"/>
                <w:lang w:val="pt-PT" w:bidi="ar-SA"/>
              </w:rPr>
              <w:t>Pedidos de votação por partes</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C46F2D" w:rsidRPr="00683DD2">
            <w:pPr>
              <w:keepNext/>
              <w:keepLines/>
              <w:tabs>
                <w:tab w:val="left" w:pos="1134"/>
              </w:tabs>
              <w:snapToGrid w:val="0"/>
              <w:rPr>
                <w:sz w:val="22"/>
                <w:lang w:val="en-GB" w:bidi="ar-SA"/>
              </w:rPr>
            </w:pPr>
            <w:r w:rsidRPr="00683DD2">
              <w:rPr>
                <w:sz w:val="22"/>
                <w:lang w:val="pt-PT" w:bidi="ar-SA"/>
              </w:rPr>
              <w:t>GUE/NGL: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C46F2D" w:rsidRPr="00683DD2">
            <w:pPr>
              <w:keepNext/>
              <w:keepLines/>
              <w:tabs>
                <w:tab w:val="left" w:pos="1134"/>
              </w:tabs>
              <w:snapToGrid w:val="0"/>
              <w:rPr>
                <w:sz w:val="22"/>
                <w:lang w:val="en-GB" w:bidi="ar-SA"/>
              </w:rPr>
            </w:pPr>
            <w:r w:rsidRPr="00683DD2">
              <w:rPr>
                <w:sz w:val="22"/>
                <w:lang w:val="en-GB" w:bidi="ar-SA"/>
              </w:rPr>
              <w:t>§ 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C46F2D" w:rsidRPr="00683DD2">
            <w:pPr>
              <w:keepNext/>
              <w:keepLines/>
              <w:tabs>
                <w:tab w:val="left" w:pos="1134"/>
              </w:tabs>
              <w:snapToGrid w:val="0"/>
              <w:rPr>
                <w:i/>
                <w:sz w:val="22"/>
                <w:lang w:val="en-GB" w:bidi="ar-SA"/>
              </w:rPr>
            </w:pPr>
            <w:r w:rsidRPr="00683DD2">
              <w:rPr>
                <w:i/>
                <w:sz w:val="22"/>
                <w:lang w:val="pt-PT" w:bidi="ar-SA"/>
              </w:rPr>
              <w:t>1.ª parte</w:t>
            </w:r>
          </w:p>
        </w:tc>
        <w:tc>
          <w:tcPr>
            <w:tcW w:w="7495" w:type="dxa"/>
            <w:tcMar>
              <w:top w:w="0" w:type="dxa"/>
              <w:left w:w="0" w:type="dxa"/>
              <w:bottom w:w="0" w:type="dxa"/>
              <w:right w:w="0" w:type="dxa"/>
            </w:tcMar>
          </w:tcPr>
          <w:p w:rsidR="00C46F2D" w:rsidRPr="00683DD2">
            <w:pPr>
              <w:keepNext/>
              <w:keepLines/>
              <w:tabs>
                <w:tab w:val="left" w:pos="1134"/>
              </w:tabs>
              <w:snapToGrid w:val="0"/>
              <w:rPr>
                <w:sz w:val="22"/>
                <w:lang w:val="pt-PT" w:bidi="ar-SA"/>
              </w:rPr>
            </w:pPr>
            <w:r w:rsidRPr="00683DD2" w:rsidR="00963EEA">
              <w:rPr>
                <w:lang w:val="pt-PT"/>
              </w:rPr>
              <w:t>"Está convicto de que chegou a hora de a comunidade internacional tomar medidas concretas para pôr termo à impunidade dos autores dos crimes denunciados; solicita que os responsáveis pelos crimes contra a humanidade perpetrados na RPDC sejam responsabilizados e julgados pelo Tribunal Penal Internacional"</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C46F2D" w:rsidRPr="00683DD2">
            <w:pPr>
              <w:keepNext/>
              <w:keepLines/>
              <w:tabs>
                <w:tab w:val="left" w:pos="1134"/>
              </w:tabs>
              <w:snapToGrid w:val="0"/>
              <w:rPr>
                <w:i/>
                <w:sz w:val="22"/>
                <w:lang w:val="en-GB" w:bidi="ar-SA"/>
              </w:rPr>
            </w:pPr>
            <w:r w:rsidRPr="00683DD2">
              <w:rPr>
                <w:i/>
                <w:sz w:val="22"/>
                <w:lang w:val="pt-PT" w:bidi="ar-SA"/>
              </w:rPr>
              <w:t>2.ª parte</w:t>
            </w:r>
          </w:p>
        </w:tc>
        <w:tc>
          <w:tcPr>
            <w:tcW w:w="7495" w:type="dxa"/>
            <w:tcMar>
              <w:top w:w="0" w:type="dxa"/>
              <w:left w:w="0" w:type="dxa"/>
              <w:bottom w:w="0" w:type="dxa"/>
              <w:right w:w="0" w:type="dxa"/>
            </w:tcMar>
          </w:tcPr>
          <w:p w:rsidR="00C46F2D" w:rsidRPr="00683DD2">
            <w:pPr>
              <w:keepNext/>
              <w:keepLines/>
              <w:tabs>
                <w:tab w:val="left" w:pos="1134"/>
              </w:tabs>
              <w:snapToGrid w:val="0"/>
              <w:rPr>
                <w:sz w:val="22"/>
                <w:lang w:val="pt-PT" w:bidi="ar-SA"/>
              </w:rPr>
            </w:pPr>
            <w:r w:rsidRPr="00683DD2" w:rsidR="00963EEA">
              <w:rPr>
                <w:lang w:val="pt-PT"/>
              </w:rPr>
              <w:t>"e que sejam alvo de sanções específicas;"</w:t>
            </w:r>
          </w:p>
        </w:tc>
      </w:tr>
    </w:tbl>
    <w:p w:rsidR="00C46F2D" w:rsidRPr="00683DD2">
      <w:pPr>
        <w:widowControl/>
        <w:rPr>
          <w:sz w:val="18"/>
          <w:lang w:val="pt-PT" w:bidi="ar-SA"/>
        </w:rPr>
      </w:pPr>
    </w:p>
    <w:tbl>
      <w:tblPr>
        <w:tblStyle w:val="TableNormal"/>
        <w:tblW w:w="9065" w:type="dxa"/>
        <w:tblLayout w:type="fixed"/>
        <w:tblCellMar>
          <w:left w:w="10" w:type="dxa"/>
          <w:right w:w="10" w:type="dxa"/>
        </w:tblCellMar>
        <w:tblLook w:val="0000"/>
      </w:tblPr>
      <w:tblGrid>
        <w:gridCol w:w="9065"/>
      </w:tblGrid>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C46F2D" w:rsidRPr="00683DD2">
            <w:pPr>
              <w:keepNext/>
              <w:keepLines/>
              <w:tabs>
                <w:tab w:val="left" w:pos="1134"/>
              </w:tabs>
              <w:snapToGrid w:val="0"/>
              <w:rPr>
                <w:i/>
                <w:sz w:val="22"/>
                <w:lang w:val="en-GB" w:bidi="ar-SA"/>
              </w:rPr>
            </w:pPr>
            <w:r w:rsidRPr="00683DD2">
              <w:rPr>
                <w:i/>
                <w:sz w:val="22"/>
                <w:lang w:val="pt-PT" w:bidi="ar-SA"/>
              </w:rPr>
              <w:t>Diversos</w:t>
            </w:r>
          </w:p>
        </w:tc>
      </w:tr>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C46F2D" w:rsidRPr="00683DD2" w:rsidP="008B4D33">
            <w:pPr>
              <w:keepNext/>
              <w:keepLines/>
              <w:tabs>
                <w:tab w:val="left" w:pos="1134"/>
              </w:tabs>
              <w:snapToGrid w:val="0"/>
              <w:rPr>
                <w:sz w:val="22"/>
                <w:lang w:val="pt-PT" w:bidi="ar-SA"/>
              </w:rPr>
            </w:pPr>
            <w:r w:rsidRPr="00683DD2" w:rsidR="008B4D33">
              <w:rPr>
                <w:lang w:val="pt-PT"/>
              </w:rPr>
              <w:t>Victor Negrescu (Grupo S&amp;D) e Barbara Spinelli (Grupo GUE/NGL) são igualmente signatários da proposta de resolução comum RC-B8-0083/2016.</w:t>
            </w:r>
          </w:p>
        </w:tc>
      </w:tr>
    </w:tbl>
    <w:p w:rsidR="00C46F2D" w:rsidRPr="00683DD2">
      <w:pPr>
        <w:rPr>
          <w:lang w:val="pt-PT" w:bidi="ar-SA"/>
        </w:rPr>
      </w:pPr>
    </w:p>
    <w:sectPr>
      <w:footerReference w:type="default" r:id="rId4"/>
      <w:pgSz w:w="11905" w:h="16837"/>
      <w:pgMar w:top="1440" w:right="1418" w:bottom="1440" w:left="1418" w:header="720" w:footer="45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9065" w:type="dxa"/>
      <w:tblInd w:w="10" w:type="dxa"/>
      <w:tblLayout w:type="fixed"/>
      <w:tblCellMar>
        <w:left w:w="10" w:type="dxa"/>
        <w:right w:w="10" w:type="dxa"/>
      </w:tblCellMar>
      <w:tblLook w:val="04A0"/>
    </w:tblPr>
    <w:tblGrid>
      <w:gridCol w:w="4121"/>
      <w:gridCol w:w="822"/>
      <w:gridCol w:w="4122"/>
    </w:tblGrid>
    <w:tr w:rsidTr="00DD3353">
      <w:tblPrEx>
        <w:tblW w:w="9065" w:type="dxa"/>
        <w:tblInd w:w="10" w:type="dxa"/>
        <w:tblLayout w:type="fixed"/>
        <w:tblCellMar>
          <w:left w:w="10" w:type="dxa"/>
          <w:right w:w="10" w:type="dxa"/>
        </w:tblCellMar>
        <w:tblLook w:val="04A0"/>
      </w:tblPrEx>
      <w:tc>
        <w:tcPr>
          <w:tcW w:w="4122" w:type="dxa"/>
        </w:tcPr>
        <w:p w:rsidR="008B705A" w:rsidRPr="008B705A" w:rsidP="008B705A">
          <w:pPr>
            <w:pStyle w:val="FOOTERSTYLELEFTSTYLE"/>
          </w:pPr>
          <w:r w:rsidRPr="008B705A">
            <w:t>P8_PV(2016)01-21(VOT)_PT.doc</w:t>
          </w:r>
        </w:p>
      </w:tc>
      <w:tc>
        <w:tcPr>
          <w:tcW w:w="822" w:type="dxa"/>
        </w:tcPr>
        <w:p w:rsidR="008B705A" w:rsidP="00DD3353">
          <w:pPr>
            <w:pStyle w:val="FOOTERSTYLECENTERSTYLE"/>
          </w:pPr>
          <w:r>
            <w:fldChar w:fldCharType="begin"/>
          </w:r>
          <w:r>
            <w:instrText xml:space="preserve"> PAGE </w:instrText>
          </w:r>
          <w:r>
            <w:fldChar w:fldCharType="separate"/>
          </w:r>
          <w:r w:rsidR="00F878EF">
            <w:rPr>
              <w:noProof/>
            </w:rPr>
            <w:t>3</w:t>
          </w:r>
          <w:r>
            <w:fldChar w:fldCharType="end"/>
          </w:r>
        </w:p>
      </w:tc>
      <w:tc>
        <w:tcPr>
          <w:tcW w:w="4122" w:type="dxa"/>
        </w:tcPr>
        <w:p w:rsidR="008B705A" w:rsidP="00DD3353">
          <w:pPr>
            <w:pStyle w:val="FOOTERSTYLERIGHTSTYLE"/>
          </w:pPr>
          <w:r>
            <w:t>PE 576.419</w:t>
          </w:r>
        </w:p>
      </w:tc>
    </w:tr>
  </w:tbl>
  <w:p w:rsidR="00C46F2D" w:rsidRPr="008B705A" w:rsidP="008B705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92C"/>
    <w:multiLevelType w:val="multilevel"/>
    <w:tmpl w:val="9228A5D8"/>
    <w:styleLink w:val="Numbering1"/>
    <w:lvl w:ilvl="0">
      <w:start w:val="1"/>
      <w:numFmt w:val="decimal"/>
      <w:pStyle w:val="VOTETITLE"/>
      <w:lvlText w:val="%1."/>
      <w:lvlJc w:val="left"/>
      <w:rPr>
        <w:rFonts w:cs="Times New Roman"/>
      </w:rPr>
    </w:lvl>
    <w:lvl w:ilvl="1">
      <w:start w:val="1"/>
      <w:numFmt w:val="none"/>
      <w:lvlJc w:val="left"/>
      <w:rPr>
        <w:rFonts w:cs="Times New Roman"/>
      </w:rPr>
    </w:lvl>
    <w:lvl w:ilvl="2">
      <w:start w:val="1"/>
      <w:numFmt w:val="none"/>
      <w:lvlJc w:val="left"/>
      <w:rPr>
        <w:rFonts w:cs="Times New Roman"/>
      </w:rPr>
    </w:lvl>
    <w:lvl w:ilvl="3">
      <w:start w:val="1"/>
      <w:numFmt w:val="none"/>
      <w:lvlJc w:val="left"/>
      <w:rPr>
        <w:rFonts w:cs="Times New Roman"/>
      </w:rPr>
    </w:lvl>
    <w:lvl w:ilvl="4">
      <w:start w:val="1"/>
      <w:numFmt w:val="none"/>
      <w:lvlJc w:val="left"/>
      <w:rPr>
        <w:rFonts w:cs="Times New Roman"/>
      </w:rPr>
    </w:lvl>
    <w:lvl w:ilvl="5">
      <w:start w:val="1"/>
      <w:numFmt w:val="none"/>
      <w:lvlJc w:val="left"/>
      <w:rPr>
        <w:rFonts w:cs="Times New Roman"/>
      </w:rPr>
    </w:lvl>
    <w:lvl w:ilvl="6">
      <w:start w:val="1"/>
      <w:numFmt w:val="none"/>
      <w:lvlJc w:val="left"/>
      <w:rPr>
        <w:rFonts w:cs="Times New Roman"/>
      </w:rPr>
    </w:lvl>
    <w:lvl w:ilvl="7">
      <w:start w:val="1"/>
      <w:numFmt w:val="none"/>
      <w:lvlJc w:val="left"/>
      <w:rPr>
        <w:rFonts w:cs="Times New Roman"/>
      </w:rPr>
    </w:lvl>
    <w:lvl w:ilvl="8">
      <w:start w:val="1"/>
      <w:numFmt w:val="none"/>
      <w:lvlJc w:val="left"/>
      <w:rPr>
        <w:rFonts w:cs="Times New Roman"/>
      </w:rPr>
    </w:lvl>
  </w:abstractNum>
  <w:abstractNum w:abstractNumId="1">
    <w:nsid w:val="37B729E4"/>
    <w:multiLevelType w:val="multilevel"/>
    <w:tmpl w:val="AA38D5F4"/>
    <w:styleLink w:val="Numbering11"/>
    <w:lvl w:ilvl="0">
      <w:start w:val="1"/>
      <w:numFmt w:val="decimal"/>
      <w:lvlText w:val="%1."/>
      <w:lvlJc w:val="left"/>
      <w:rPr>
        <w:rFonts w:cs="Times New Roman"/>
      </w:rPr>
    </w:lvl>
    <w:lvl w:ilvl="1">
      <w:start w:val="1"/>
      <w:numFmt w:val="none"/>
      <w:lvlJc w:val="left"/>
      <w:rPr>
        <w:rFonts w:cs="Times New Roman"/>
      </w:rPr>
    </w:lvl>
    <w:lvl w:ilvl="2">
      <w:start w:val="1"/>
      <w:numFmt w:val="none"/>
      <w:lvlJc w:val="left"/>
      <w:rPr>
        <w:rFonts w:cs="Times New Roman"/>
      </w:rPr>
    </w:lvl>
    <w:lvl w:ilvl="3">
      <w:start w:val="1"/>
      <w:numFmt w:val="none"/>
      <w:lvlJc w:val="left"/>
      <w:rPr>
        <w:rFonts w:cs="Times New Roman"/>
      </w:rPr>
    </w:lvl>
    <w:lvl w:ilvl="4">
      <w:start w:val="1"/>
      <w:numFmt w:val="none"/>
      <w:lvlJc w:val="left"/>
      <w:rPr>
        <w:rFonts w:cs="Times New Roman"/>
      </w:rPr>
    </w:lvl>
    <w:lvl w:ilvl="5">
      <w:start w:val="1"/>
      <w:numFmt w:val="none"/>
      <w:lvlJc w:val="left"/>
      <w:rPr>
        <w:rFonts w:cs="Times New Roman"/>
      </w:rPr>
    </w:lvl>
    <w:lvl w:ilvl="6">
      <w:start w:val="1"/>
      <w:numFmt w:val="none"/>
      <w:lvlJc w:val="left"/>
      <w:rPr>
        <w:rFonts w:cs="Times New Roman"/>
      </w:rPr>
    </w:lvl>
    <w:lvl w:ilvl="7">
      <w:start w:val="1"/>
      <w:numFmt w:val="none"/>
      <w:lvlJc w:val="left"/>
      <w:rPr>
        <w:rFonts w:cs="Times New Roman"/>
      </w:rPr>
    </w:lvl>
    <w:lvl w:ilvl="8">
      <w:start w:val="1"/>
      <w:numFmt w:val="none"/>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snapToGrid w:val="0"/>
      <w:kern w:val="3"/>
      <w:sz w:val="24"/>
      <w:szCs w:val="24"/>
      <w:lang w:val="en-US" w:eastAsia="en-GB" w:bidi="hi-IN"/>
    </w:rPr>
  </w:style>
  <w:style w:type="paragraph" w:styleId="Heading1">
    <w:name w:val="heading 1"/>
    <w:basedOn w:val="Standard"/>
    <w:next w:val="Standard"/>
    <w:link w:val="Heading1Char"/>
    <w:uiPriority w:val="9"/>
    <w:pPr>
      <w:keepNext/>
      <w:spacing w:before="240" w:after="60"/>
      <w:outlineLvl w:val="0"/>
    </w:pPr>
    <w:rPr>
      <w:rFonts w:cs="Arial"/>
      <w:b/>
      <w:bCs/>
      <w:sz w:val="24"/>
      <w:szCs w:val="32"/>
    </w:rPr>
  </w:style>
  <w:style w:type="paragraph" w:styleId="Heading2">
    <w:name w:val="heading 2"/>
    <w:basedOn w:val="Standard"/>
    <w:next w:val="Textbody"/>
    <w:link w:val="Heading2Char"/>
    <w:uiPriority w:val="9"/>
    <w:pPr>
      <w:spacing w:before="100" w:after="120"/>
      <w:outlineLvl w:val="1"/>
    </w:pPr>
    <w:rPr>
      <w:b/>
      <w:bCs/>
      <w:sz w:val="36"/>
      <w:szCs w:val="36"/>
    </w:rPr>
  </w:style>
  <w:style w:type="character" w:default="1" w:styleId="DefaultParagraphFont">
    <w:name w:val="Default Paragraph Font"/>
    <w:uiPriority w:val="1"/>
    <w:semiHidden/>
  </w:style>
  <w:style w:type="table" w:default="1" w:styleId="TableNormal">
    <w:name w:val="Normal Table"/>
    <w:link w:val="BalloonTextChar1"/>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Mangal"/>
      <w:b/>
      <w:bCs/>
      <w:snapToGrid/>
      <w:kern w:val="32"/>
      <w:sz w:val="32"/>
      <w:szCs w:val="29"/>
      <w:lang w:val="en-US" w:bidi="hi-IN"/>
    </w:rPr>
  </w:style>
  <w:style w:type="character" w:customStyle="1" w:styleId="Heading2Char">
    <w:name w:val="Heading 2 Char"/>
    <w:link w:val="Heading2"/>
    <w:uiPriority w:val="9"/>
    <w:semiHidden/>
    <w:rPr>
      <w:rFonts w:ascii="Cambria" w:eastAsia="Times New Roman" w:hAnsi="Cambria" w:cs="Mangal"/>
      <w:b/>
      <w:bCs/>
      <w:i/>
      <w:iCs/>
      <w:snapToGrid/>
      <w:kern w:val="3"/>
      <w:sz w:val="28"/>
      <w:szCs w:val="25"/>
      <w:lang w:val="en-US" w:bidi="hi-IN"/>
    </w:rPr>
  </w:style>
  <w:style w:type="paragraph" w:customStyle="1" w:styleId="Standard">
    <w:name w:val="Standard"/>
    <w:pPr>
      <w:suppressAutoHyphens/>
      <w:autoSpaceDN w:val="0"/>
      <w:textAlignment w:val="baseline"/>
    </w:pPr>
    <w:rPr>
      <w:snapToGrid w:val="0"/>
      <w:kern w:val="3"/>
      <w:lang w:val="en-GB" w:eastAsia="en-GB" w:bidi="ar-SA"/>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uiPriority w:val="99"/>
  </w:style>
  <w:style w:type="paragraph" w:styleId="Caption">
    <w:name w:val="caption"/>
    <w:basedOn w:val="Standard"/>
    <w:uiPriority w:val="35"/>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Mangal"/>
      <w:snapToGrid/>
      <w:kern w:val="3"/>
      <w:sz w:val="24"/>
      <w:szCs w:val="21"/>
      <w:lang w:val="en-US" w:bidi="hi-IN"/>
    </w:rPr>
  </w:style>
  <w:style w:type="paragraph" w:styleId="Footer">
    <w:name w:val="footer"/>
    <w:basedOn w:val="Standard"/>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Mangal"/>
      <w:snapToGrid/>
      <w:kern w:val="3"/>
      <w:sz w:val="24"/>
      <w:szCs w:val="21"/>
      <w:lang w:val="en-US" w:bidi="hi-IN"/>
    </w:r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widowControl w:val="0"/>
      <w:suppressAutoHyphens/>
      <w:autoSpaceDN w:val="0"/>
      <w:spacing w:before="283" w:after="283"/>
      <w:jc w:val="center"/>
      <w:textAlignment w:val="baseline"/>
    </w:pPr>
    <w:rPr>
      <w:b/>
      <w:snapToGrid w:val="0"/>
      <w:kern w:val="3"/>
      <w:sz w:val="32"/>
      <w:szCs w:val="24"/>
      <w:lang w:val="en-US" w:eastAsia="en-GB" w:bidi="hi-IN"/>
    </w:rPr>
  </w:style>
  <w:style w:type="paragraph" w:customStyle="1" w:styleId="SIGNIFICATIONABR">
    <w:name w:val="SIGNIFICATION ABR"/>
    <w:pPr>
      <w:widowControl w:val="0"/>
      <w:suppressAutoHyphens/>
      <w:autoSpaceDN w:val="0"/>
      <w:ind w:left="108"/>
      <w:textAlignment w:val="baseline"/>
    </w:pPr>
    <w:rPr>
      <w:snapToGrid w:val="0"/>
      <w:kern w:val="3"/>
      <w:sz w:val="22"/>
      <w:szCs w:val="24"/>
      <w:lang w:val="en-US" w:eastAsia="en-GB" w:bidi="hi-IN"/>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ilvl w:val="0"/>
        <w:numId w:val="1"/>
      </w:numPr>
      <w:tabs>
        <w:tab w:val="clear" w:pos="360"/>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keepNext/>
      <w:widowControl w:val="0"/>
      <w:suppressAutoHyphens/>
      <w:autoSpaceDN w:val="0"/>
      <w:spacing w:after="227"/>
      <w:textAlignment w:val="baseline"/>
    </w:pPr>
    <w:rPr>
      <w:i/>
      <w:snapToGrid w:val="0"/>
      <w:kern w:val="3"/>
      <w:sz w:val="22"/>
      <w:szCs w:val="24"/>
      <w:lang w:val="en-US" w:eastAsia="en-GB" w:bidi="hi-IN"/>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paragraph" w:styleId="BalloonText">
    <w:name w:val="Balloon Text"/>
    <w:basedOn w:val="Normal"/>
    <w:uiPriority w:val="99"/>
    <w:semiHidden/>
    <w:rPr>
      <w:rFonts w:cs="Mangal"/>
      <w:sz w:val="16"/>
      <w:szCs w:val="14"/>
    </w:rPr>
  </w:style>
  <w:style w:type="character" w:customStyle="1" w:styleId="BalloonTextChar">
    <w:name w:val="Balloon Text Char"/>
    <w:uiPriority w:val="99"/>
    <w:semiHidden/>
    <w:rPr>
      <w:rFonts w:ascii="Tahoma" w:hAnsi="Tahoma" w:cs="Mangal"/>
      <w:snapToGrid/>
      <w:kern w:val="3"/>
      <w:sz w:val="16"/>
      <w:szCs w:val="14"/>
      <w:lang w:val="en-US" w:bidi="hi-IN"/>
    </w:rPr>
  </w:style>
  <w:style w:type="character" w:customStyle="1" w:styleId="BalloonTextChar1">
    <w:name w:val="Balloon Text Char1"/>
    <w:link w:val="TableNormal"/>
    <w:uiPriority w:val="99"/>
    <w:semiHidden/>
    <w:locked/>
    <w:rPr>
      <w:rFonts w:ascii="Times New Roman" w:hAnsi="Times New Roman"/>
      <w:kern w:val="3"/>
      <w:sz w:val="14"/>
      <w:lang w:val="en-US"/>
    </w:rPr>
  </w:style>
  <w:style w:type="paragraph" w:styleId="ListParagraph">
    <w:name w:val="List Paragraph"/>
    <w:basedOn w:val="Normal"/>
    <w:uiPriority w:val="34"/>
    <w:qFormat/>
    <w:pPr>
      <w:ind w:left="720"/>
    </w:pPr>
    <w:rPr>
      <w:rFonts w:cs="Mangal"/>
      <w:szCs w:val="21"/>
    </w:rPr>
  </w:style>
  <w:style w:type="paragraph" w:customStyle="1" w:styleId="Hanging12">
    <w:name w:val="Hanging12"/>
    <w:basedOn w:val="Normal"/>
    <w:pPr>
      <w:widowControl/>
      <w:suppressAutoHyphens w:val="0"/>
      <w:autoSpaceDN/>
      <w:spacing w:after="240"/>
      <w:ind w:left="357" w:hanging="357"/>
      <w:textAlignment w:val="auto"/>
    </w:pPr>
    <w:rPr>
      <w:kern w:val="0"/>
      <w:lang w:val="en-GB" w:bidi="ar-SA"/>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Numbering1">
    <w:name w:val="Numbering 1"/>
    <w:pPr>
      <w:numPr>
        <w:numId w:val="1"/>
      </w:numPr>
    </w:pPr>
  </w:style>
  <w:style w:type="numbering" w:customStyle="1" w:styleId="Numbering11">
    <w:name w:val="Numbering 11"/>
    <w:pPr>
      <w:numPr>
        <w:numId w:val="2"/>
      </w:numPr>
    </w:pPr>
  </w:style>
  <w:style w:type="paragraph" w:customStyle="1" w:styleId="Normal12Bold">
    <w:name w:val="Normal12Bold"/>
    <w:basedOn w:val="Normal"/>
    <w:rsid w:val="00C07975"/>
    <w:pPr>
      <w:suppressAutoHyphens w:val="0"/>
      <w:autoSpaceDN/>
      <w:spacing w:after="240"/>
      <w:textAlignment w:val="auto"/>
    </w:pPr>
    <w:rPr>
      <w:rFonts w:ascii="Times New Roman" w:hAnsi="Times New Roman"/>
      <w:b/>
      <w:snapToGrid/>
      <w:kern w:val="0"/>
      <w:szCs w:val="20"/>
      <w:lang w:val="pt-PT" w:bidi="ar-SA"/>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1</TotalTime>
  <Pages>17</Pages>
  <Words>2656</Words>
  <Characters>15357</Characters>
  <Application>Microsoft Office Word</Application>
  <DocSecurity>0</DocSecurity>
  <Lines>698</Lines>
  <Paragraphs>264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CARVALHO Ana Paula</cp:lastModifiedBy>
  <cp:revision>2</cp:revision>
  <cp:lastPrinted>2016-01-22T09:51:00Z</cp:lastPrinted>
  <dcterms:created xsi:type="dcterms:W3CDTF">2016-03-15T15:57:00Z</dcterms:created>
  <dcterms:modified xsi:type="dcterms:W3CDTF">2016-03-15T15:57:00Z</dcterms:modified>
</cp:coreProperties>
</file>