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3C383B" w:rsidP="00BC7DF6">
      <w:pPr>
        <w:pStyle w:val="ANNEXTITLE"/>
        <w:tabs>
          <w:tab w:val="left" w:pos="567"/>
        </w:tabs>
      </w:pPr>
      <w:r w:rsidR="0088007E">
        <w:t>BILAGA</w:t>
      </w:r>
    </w:p>
    <w:p w:rsidR="003C383B" w:rsidP="00BC7DF6">
      <w:pPr>
        <w:pStyle w:val="STYTAB"/>
        <w:tabs>
          <w:tab w:val="left" w:pos="567"/>
        </w:tabs>
      </w:pPr>
    </w:p>
    <w:p w:rsidR="003C383B" w:rsidP="00BC7DF6">
      <w:pPr>
        <w:pStyle w:val="VOTERESULT"/>
        <w:tabs>
          <w:tab w:val="left" w:pos="567"/>
        </w:tabs>
      </w:pPr>
      <w:r w:rsidR="0088007E">
        <w:t>OMRÖSTNINGSRESULTAT</w:t>
      </w:r>
    </w:p>
    <w:tbl>
      <w:tblPr>
        <w:tblStyle w:val="TableNormal"/>
        <w:tblW w:w="8377" w:type="dxa"/>
        <w:tblInd w:w="421" w:type="dxa"/>
        <w:tblLayout w:type="fixed"/>
        <w:tblCellMar>
          <w:left w:w="10" w:type="dxa"/>
          <w:right w:w="10" w:type="dxa"/>
        </w:tblCellMar>
        <w:tblLook w:val="0000"/>
      </w:tblPr>
      <w:tblGrid>
        <w:gridCol w:w="2550"/>
        <w:gridCol w:w="5827"/>
      </w:tblGrid>
      <w:tr>
        <w:tblPrEx>
          <w:tblW w:w="8377" w:type="dxa"/>
          <w:tblInd w:w="421" w:type="dxa"/>
          <w:tblLayout w:type="fixed"/>
          <w:tblCellMar>
            <w:left w:w="10" w:type="dxa"/>
            <w:right w:w="10" w:type="dxa"/>
          </w:tblCellMar>
          <w:tblLook w:val="0000"/>
        </w:tblPrEx>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3C383B" w:rsidRPr="00E02B77" w:rsidP="00BC7DF6">
            <w:pPr>
              <w:pStyle w:val="SIGNIFICATIONTITLE"/>
              <w:tabs>
                <w:tab w:val="left" w:pos="567"/>
              </w:tabs>
              <w:snapToGrid w:val="0"/>
            </w:pPr>
            <w:r w:rsidR="0088007E">
              <w:t>Förkortningar och symboler</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antogs</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förkastades</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bortföll</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drogs tillbaka</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ONU</w:t>
            </w:r>
            <w:r w:rsidR="0088007E">
              <w:t xml:space="preser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omröstning med namnupprop (ja-röster, nej-röster, nedlagda röster)</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EO</w:t>
            </w:r>
            <w:r w:rsidR="0088007E">
              <w:t xml:space="preserve">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elektronisk omröstning (ja-röster, nej-rös</w:t>
            </w:r>
            <w:r w:rsidR="0088007E">
              <w:t>ter, nedlagda röster)</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delad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delad omröstning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särsk.</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särskild omröstning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ÄF</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ändringsförslag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komp.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kompromissändringsförslag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m.d.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motsvarande del</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ändringsförslag om strykning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88007E">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identiska ändringsförslag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res.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resolutionsförslag</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gem. res.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gemensamt förslag till resolution</w:t>
            </w:r>
          </w:p>
        </w:tc>
      </w:tr>
      <w:tr>
        <w:tblPrEx>
          <w:tblW w:w="8377" w:type="dxa"/>
          <w:tblInd w:w="421" w:type="dxa"/>
          <w:tblLayout w:type="fixed"/>
          <w:tblCellMar>
            <w:left w:w="10" w:type="dxa"/>
            <w:right w:w="10" w:type="dxa"/>
          </w:tblCellMar>
          <w:tblLook w:val="0000"/>
        </w:tblPrEx>
        <w:tc>
          <w:tcPr>
            <w:tcW w:w="2550" w:type="dxa"/>
            <w:tcBorders>
              <w:left w:val="single" w:sz="4" w:space="0" w:color="000000"/>
              <w:bottom w:val="single" w:sz="4" w:space="0" w:color="000000"/>
            </w:tcBorders>
            <w:tcMar>
              <w:top w:w="0" w:type="dxa"/>
              <w:left w:w="0" w:type="dxa"/>
              <w:bottom w:w="0" w:type="dxa"/>
              <w:right w:w="0" w:type="dxa"/>
            </w:tcMar>
          </w:tcPr>
          <w:p w:rsidR="003C383B" w:rsidRPr="00E02B77" w:rsidP="00BC7DF6">
            <w:pPr>
              <w:pStyle w:val="SIGNIFICATIONABR"/>
              <w:tabs>
                <w:tab w:val="left" w:pos="567"/>
              </w:tabs>
            </w:pPr>
            <w:r w:rsidR="00A934C8">
              <w:t>sluten</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3C383B" w:rsidRPr="00E02B77" w:rsidP="00BC7DF6">
            <w:pPr>
              <w:pStyle w:val="SIGNIFICATIONDESC"/>
              <w:tabs>
                <w:tab w:val="left" w:pos="567"/>
              </w:tabs>
            </w:pPr>
            <w:r w:rsidR="0088007E">
              <w:t>sluten omröstning</w:t>
            </w:r>
          </w:p>
        </w:tc>
      </w:tr>
    </w:tbl>
    <w:p w:rsidR="003C383B" w:rsidP="00BC7DF6">
      <w:pPr>
        <w:tabs>
          <w:tab w:val="left" w:pos="567"/>
        </w:tabs>
      </w:pPr>
    </w:p>
    <w:p w:rsidR="003C383B" w:rsidRPr="00E02B77" w:rsidP="00BC7DF6">
      <w:pPr>
        <w:pStyle w:val="VOTEFIRSTTITLE"/>
        <w:tabs>
          <w:tab w:val="left" w:pos="567"/>
        </w:tabs>
        <w:outlineLvl w:val="9"/>
      </w:pPr>
      <w:r w:rsidR="0088007E">
        <w:t>Automatiskt utbyte av DNA-uppgifter med Danmark *</w:t>
      </w:r>
    </w:p>
    <w:p w:rsidR="003C383B" w:rsidP="00BC7DF6">
      <w:pPr>
        <w:pStyle w:val="VOTEREPORTTITLE"/>
        <w:tabs>
          <w:tab w:val="left" w:pos="567"/>
        </w:tabs>
      </w:pPr>
      <w:r w:rsidR="0088007E">
        <w:t>Betänkande: Claude Moraes (A8-0289/2016)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E02B77"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574, 73, 23</w:t>
            </w:r>
          </w:p>
        </w:tc>
      </w:tr>
    </w:tbl>
    <w:p w:rsidR="003C383B" w:rsidP="00BC7DF6">
      <w:pPr>
        <w:pStyle w:val="STYTAB"/>
        <w:tabs>
          <w:tab w:val="left" w:pos="567"/>
        </w:tabs>
      </w:pPr>
    </w:p>
    <w:p w:rsidR="003C383B" w:rsidP="00BC7DF6">
      <w:pPr>
        <w:pStyle w:val="STYTAB"/>
        <w:tabs>
          <w:tab w:val="left" w:pos="567"/>
        </w:tabs>
      </w:pPr>
    </w:p>
    <w:p w:rsidR="003C383B" w:rsidRPr="00E02B77" w:rsidP="00BC7DF6">
      <w:pPr>
        <w:pStyle w:val="VOTETITLE"/>
        <w:tabs>
          <w:tab w:val="left" w:pos="567"/>
        </w:tabs>
        <w:outlineLvl w:val="9"/>
      </w:pPr>
      <w:r w:rsidR="0088007E">
        <w:t>Automatiskt utbyte av fingeravtrycksuppgifter med Danmark *</w:t>
      </w:r>
    </w:p>
    <w:p w:rsidR="003C383B" w:rsidP="00BC7DF6">
      <w:pPr>
        <w:pStyle w:val="VOTEREPORTTITLE"/>
        <w:tabs>
          <w:tab w:val="left" w:pos="567"/>
        </w:tabs>
      </w:pPr>
      <w:r w:rsidR="0088007E">
        <w:t>Betänkande: Claude Moraes (A8-0288/2016)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E02B77"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589, 75, 24</w:t>
            </w:r>
          </w:p>
        </w:tc>
      </w:tr>
    </w:tbl>
    <w:p w:rsidR="003C383B" w:rsidP="00BC7DF6">
      <w:pPr>
        <w:pStyle w:val="STYTAB"/>
        <w:tabs>
          <w:tab w:val="left" w:pos="567"/>
        </w:tabs>
      </w:pPr>
    </w:p>
    <w:p w:rsidR="003C383B" w:rsidP="00BC7DF6">
      <w:pPr>
        <w:pStyle w:val="STYTAB"/>
        <w:tabs>
          <w:tab w:val="left" w:pos="567"/>
        </w:tabs>
      </w:pPr>
    </w:p>
    <w:p w:rsidR="003C383B" w:rsidRPr="00E02B77" w:rsidP="00BC7DF6">
      <w:pPr>
        <w:pStyle w:val="VOTETITLE"/>
        <w:tabs>
          <w:tab w:val="left" w:pos="567"/>
        </w:tabs>
        <w:outlineLvl w:val="9"/>
      </w:pPr>
      <w:r w:rsidR="0088007E">
        <w:t>Avtal mellan EU och Kina om undantag från viseringskravet vid kortare vistelser för innehavare av diplomatpass ***</w:t>
      </w:r>
    </w:p>
    <w:p w:rsidR="003C383B" w:rsidP="00BC7DF6">
      <w:pPr>
        <w:pStyle w:val="VOTEREPORTTITLE"/>
        <w:tabs>
          <w:tab w:val="left" w:pos="567"/>
        </w:tabs>
      </w:pPr>
      <w:r w:rsidR="0088007E">
        <w:t>Rekommendation: Bodil Valero (A8-0281/2016)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1220CD">
              <w:t>O</w:t>
            </w:r>
            <w:r w:rsidR="0088007E">
              <w:t>mröstning</w:t>
            </w:r>
            <w:r w:rsidR="001220CD">
              <w:t>:</w:t>
            </w:r>
            <w:r w:rsidR="0088007E">
              <w:t xml:space="preserve"> godkännande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611, 51, 28</w:t>
            </w:r>
          </w:p>
        </w:tc>
      </w:tr>
    </w:tbl>
    <w:p w:rsidR="003C383B" w:rsidP="00BC7DF6">
      <w:pPr>
        <w:pStyle w:val="STYTAB"/>
        <w:tabs>
          <w:tab w:val="left" w:pos="567"/>
        </w:tabs>
      </w:pPr>
    </w:p>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Medlemsstater som drabbats av eller hotas av allvarliga svårigheter med avseende på sin finansiella stabilitet ***I</w:t>
      </w:r>
    </w:p>
    <w:p w:rsidR="003C383B" w:rsidP="00BC7DF6">
      <w:pPr>
        <w:pStyle w:val="VOTEREPORTTITLE"/>
        <w:tabs>
          <w:tab w:val="left" w:pos="567"/>
        </w:tabs>
      </w:pPr>
      <w:r w:rsidR="0088007E">
        <w:t>Betänkande: Iskra Mihaylova (A8-0292/2016)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627, 34, 31</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Begäran om upphävande av Jean-Marie Le Pens immunitet</w:t>
      </w:r>
    </w:p>
    <w:p w:rsidR="003C383B" w:rsidP="00BC7DF6">
      <w:pPr>
        <w:pStyle w:val="VOTEREPORTTITLE"/>
        <w:tabs>
          <w:tab w:val="left" w:pos="567"/>
        </w:tabs>
      </w:pPr>
      <w:r w:rsidR="0088007E">
        <w:t>Betänkande: Evelyn Regner (A8-0301/2016)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Begäran om fastställelse av Jane Collins immunitet och privilegier</w:t>
      </w:r>
    </w:p>
    <w:p w:rsidR="003C383B" w:rsidP="00BC7DF6">
      <w:pPr>
        <w:pStyle w:val="VOTEREPORTTITLE"/>
        <w:tabs>
          <w:tab w:val="left" w:pos="567"/>
        </w:tabs>
      </w:pPr>
      <w:r w:rsidR="0088007E">
        <w:t>Betänkande: Tadeusz Zwiefka (A8-0297/2016)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Begäran om fastställelse av Mario Borghezios immunitet och privilegier</w:t>
      </w:r>
    </w:p>
    <w:p w:rsidR="003C383B" w:rsidP="00BC7DF6">
      <w:pPr>
        <w:pStyle w:val="VOTEREPORTTITLE"/>
        <w:tabs>
          <w:tab w:val="left" w:pos="567"/>
        </w:tabs>
      </w:pPr>
      <w:r w:rsidR="0088007E">
        <w:t>Betänkande: Angel Dzhambazki (A8-0312/2016)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88007E">
              <w:t>endast en omröstning</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Järnvägstransportstatistik vad gäller insamling av uppgifter om gods, passagerare och olyckor ***II</w:t>
      </w:r>
    </w:p>
    <w:p w:rsidR="003C383B" w:rsidRPr="00BC7DF6" w:rsidP="00BC7DF6">
      <w:pPr>
        <w:pStyle w:val="VOTEREPORTTITLE"/>
        <w:tabs>
          <w:tab w:val="left" w:pos="567"/>
        </w:tabs>
      </w:pPr>
      <w:r w:rsidR="0088007E">
        <w:t>Andrabehandlingsrekommendation: Michael Cramer (A8-0300/2016) (kvalificerad majoritet erfordra</w:t>
      </w:r>
      <w:r w:rsidR="001220CD">
        <w:t>de</w:t>
      </w:r>
      <w:r w:rsidR="0088007E">
        <w:t>s)</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SIMPLEOBJECT"/>
              <w:tabs>
                <w:tab w:val="left" w:pos="567"/>
              </w:tabs>
            </w:pPr>
            <w:r w:rsidR="0088007E">
              <w:t>förslag till avvisande av rådets ståndpunkt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bl>
    <w:p w:rsidR="003C383B" w:rsidP="00BC7DF6">
      <w:pPr>
        <w:pStyle w:val="STYTAB"/>
        <w:tabs>
          <w:tab w:val="left" w:pos="567"/>
        </w:tabs>
      </w:pPr>
    </w:p>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Statistik över godstransporter på inre vattenvägar (delegerade befogenheter och genomförandebefogenheter) ***II</w:t>
      </w:r>
    </w:p>
    <w:p w:rsidR="003C383B" w:rsidRPr="00BC7DF6" w:rsidP="00BC7DF6">
      <w:pPr>
        <w:pStyle w:val="VOTEREPORTTITLE"/>
        <w:tabs>
          <w:tab w:val="left" w:pos="567"/>
        </w:tabs>
      </w:pPr>
      <w:r w:rsidR="0088007E">
        <w:t>Andrabehandlingsrekommendation: Bas Eickhout (A8-0298/2016)</w:t>
      </w:r>
    </w:p>
    <w:tbl>
      <w:tblPr>
        <w:tblStyle w:val="TableNormal"/>
        <w:tblW w:w="9071" w:type="dxa"/>
        <w:tblLayout w:type="fixed"/>
        <w:tblCellMar>
          <w:left w:w="10" w:type="dxa"/>
          <w:right w:w="10" w:type="dxa"/>
        </w:tblCellMar>
        <w:tblLook w:val="0000"/>
      </w:tblPr>
      <w:tblGrid>
        <w:gridCol w:w="3260"/>
        <w:gridCol w:w="2409"/>
        <w:gridCol w:w="1440"/>
        <w:gridCol w:w="1962"/>
      </w:tblGrid>
      <w:tr>
        <w:tblPrEx>
          <w:tblW w:w="9071" w:type="dxa"/>
          <w:tblLayout w:type="fixed"/>
          <w:tblCellMar>
            <w:left w:w="10" w:type="dxa"/>
            <w:right w:w="10" w:type="dxa"/>
          </w:tblCellMar>
          <w:tblLook w:val="0000"/>
        </w:tblPrEx>
        <w:trPr>
          <w:cantSplit/>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rsidTr="0088007E">
        <w:tblPrEx>
          <w:tblW w:w="9071" w:type="dxa"/>
          <w:tblLayout w:type="fixed"/>
          <w:tblCellMar>
            <w:left w:w="10" w:type="dxa"/>
            <w:right w:w="10" w:type="dxa"/>
          </w:tblCellMar>
          <w:tblLook w:val="0000"/>
        </w:tblPrEx>
        <w:trPr>
          <w:cantSplit/>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DF6" w:rsidP="00BC7DF6">
            <w:pPr>
              <w:pStyle w:val="VOTINGTABLECELLOBJECT"/>
              <w:tabs>
                <w:tab w:val="left" w:pos="567"/>
              </w:tabs>
            </w:pPr>
            <w:r>
              <w:t>godkännande utan omröstning</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Unionsrättslig ram för tullrättsliga överträdelser och sanktioner ***I</w:t>
      </w:r>
    </w:p>
    <w:p w:rsidR="003C383B" w:rsidP="00BC7DF6">
      <w:pPr>
        <w:pStyle w:val="VOTEREPORTTITLE"/>
        <w:tabs>
          <w:tab w:val="left" w:pos="567"/>
        </w:tabs>
      </w:pPr>
      <w:r w:rsidR="0088007E">
        <w:t>Betänkande: Kaja Kallas (A8-0239/2016)</w:t>
      </w:r>
    </w:p>
    <w:tbl>
      <w:tblPr>
        <w:tblStyle w:val="TableNormal"/>
        <w:tblW w:w="9187" w:type="dxa"/>
        <w:tblLayout w:type="fixed"/>
        <w:tblCellMar>
          <w:left w:w="10" w:type="dxa"/>
          <w:right w:w="10" w:type="dxa"/>
        </w:tblCellMar>
        <w:tblLook w:val="0000"/>
      </w:tblPr>
      <w:tblGrid>
        <w:gridCol w:w="2259"/>
        <w:gridCol w:w="908"/>
        <w:gridCol w:w="1516"/>
        <w:gridCol w:w="982"/>
        <w:gridCol w:w="1535"/>
        <w:gridCol w:w="1987"/>
      </w:tblGrid>
      <w:tr w:rsidTr="00DA1025">
        <w:tblPrEx>
          <w:tblW w:w="9187" w:type="dxa"/>
          <w:tblLayout w:type="fixed"/>
          <w:tblCellMar>
            <w:left w:w="10" w:type="dxa"/>
            <w:right w:w="10" w:type="dxa"/>
          </w:tblCellMar>
          <w:tblLook w:val="0000"/>
        </w:tblPrEx>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53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rsidTr="00DA1025">
        <w:tblPrEx>
          <w:tblW w:w="9187" w:type="dxa"/>
          <w:tblLayout w:type="fixed"/>
          <w:tblCellMar>
            <w:left w:w="10" w:type="dxa"/>
            <w:right w:w="10" w:type="dxa"/>
          </w:tblCellMar>
          <w:tblLook w:val="0000"/>
        </w:tblPrEx>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SIMPLEOBJECT"/>
              <w:tabs>
                <w:tab w:val="left" w:pos="567"/>
              </w:tabs>
            </w:pPr>
            <w:r w:rsidR="0088007E">
              <w:t>ändringsförslag från ansvarigt utskott – sammanslagen omröstning</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utskottet</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rsidTr="00DA1025">
        <w:tblPrEx>
          <w:tblW w:w="9187" w:type="dxa"/>
          <w:tblLayout w:type="fixed"/>
          <w:tblCellMar>
            <w:left w:w="10" w:type="dxa"/>
            <w:right w:w="10" w:type="dxa"/>
          </w:tblCellMar>
          <w:tblLook w:val="0000"/>
        </w:tblPrEx>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DA1025">
              <w:t>o</w:t>
            </w:r>
            <w:r w:rsidR="0088007E">
              <w:t>mröstning</w:t>
            </w:r>
            <w:r w:rsidR="00DA1025">
              <w:t>:</w:t>
            </w:r>
            <w:r w:rsidR="0088007E">
              <w:t xml:space="preserve"> kommissionens förslag</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AN"/>
              <w:tabs>
                <w:tab w:val="left" w:pos="567"/>
              </w:tabs>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rsidTr="00DA1025">
        <w:tblPrEx>
          <w:tblW w:w="9187" w:type="dxa"/>
          <w:tblLayout w:type="fixed"/>
          <w:tblCellMar>
            <w:left w:w="10" w:type="dxa"/>
            <w:right w:w="10" w:type="dxa"/>
          </w:tblCellMar>
          <w:tblLook w:val="0000"/>
        </w:tblPrEx>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DA1025">
              <w:t>o</w:t>
            </w:r>
            <w:r w:rsidR="0088007E">
              <w:t>mröstning</w:t>
            </w:r>
            <w:r w:rsidR="00DA1025">
              <w:t>:</w:t>
            </w:r>
            <w:r w:rsidR="0088007E">
              <w:t xml:space="preserve"> lagstiftningsresolution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890EA8">
            <w:pPr>
              <w:pStyle w:val="VOTINGTABLECELLVOTE"/>
              <w:tabs>
                <w:tab w:val="left" w:pos="567"/>
              </w:tabs>
            </w:pPr>
            <w:r w:rsidR="00DA1025">
              <w:t xml:space="preserve">omröstningen </w:t>
            </w:r>
            <w:r w:rsidR="00890EA8">
              <w:t>skulle skjutas upp</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(artikel 61.2 i arbetsordningen)</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P="00BC7DF6">
            <w:pPr>
              <w:pStyle w:val="REMARKTABLECELLTITLE"/>
              <w:tabs>
                <w:tab w:val="left" w:pos="567"/>
              </w:tabs>
            </w:pPr>
            <w:r w:rsidR="0088007E">
              <w:t>Övrigt</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RPr="00DA1025" w:rsidP="00BC7DF6">
            <w:pPr>
              <w:pStyle w:val="REMARKTABLECELLSIMPLE"/>
              <w:tabs>
                <w:tab w:val="left" w:pos="567"/>
              </w:tabs>
            </w:pPr>
            <w:r w:rsidRPr="00DA1025" w:rsidR="00DA1025">
              <w:t>Ändringsförslag 25 avsåg inte alla språkversioner och togs därför in</w:t>
            </w:r>
            <w:r w:rsidR="00DA1025">
              <w:t>te upp till omröstning (artikel </w:t>
            </w:r>
            <w:r w:rsidRPr="00DA1025" w:rsidR="00DA1025">
              <w:t>170.1 d i arbetsordningen)</w:t>
            </w:r>
            <w:r w:rsidRPr="00DA1025" w:rsidR="0088007E">
              <w:t>.</w:t>
            </w:r>
          </w:p>
        </w:tc>
      </w:tr>
    </w:tbl>
    <w:p w:rsidR="003C383B" w:rsidRPr="00DA1025" w:rsidP="00BC7DF6">
      <w:pPr>
        <w:pStyle w:val="STYTAB"/>
        <w:tabs>
          <w:tab w:val="left" w:pos="567"/>
        </w:tabs>
      </w:pPr>
    </w:p>
    <w:p w:rsidR="003C383B" w:rsidRPr="00DA1025" w:rsidP="00BC7DF6">
      <w:pPr>
        <w:pStyle w:val="STYTAB"/>
        <w:tabs>
          <w:tab w:val="left" w:pos="567"/>
        </w:tabs>
      </w:pPr>
    </w:p>
    <w:p w:rsidR="003C383B" w:rsidRPr="00BC7DF6" w:rsidP="00BC7DF6">
      <w:pPr>
        <w:pStyle w:val="VOTETITLE"/>
        <w:tabs>
          <w:tab w:val="left" w:pos="567"/>
        </w:tabs>
        <w:outlineLvl w:val="9"/>
      </w:pPr>
      <w:r w:rsidR="0088007E">
        <w:t>Förslag till ändringsbudget nr 3/2016: Institutionernas säkerhet</w:t>
      </w:r>
    </w:p>
    <w:p w:rsidR="003C383B" w:rsidRPr="00C02421" w:rsidP="00BC7DF6">
      <w:pPr>
        <w:pStyle w:val="VOTEREPORTTITLE"/>
        <w:tabs>
          <w:tab w:val="left" w:pos="567"/>
        </w:tabs>
        <w:rPr>
          <w:lang w:val="fr-FR"/>
        </w:rPr>
      </w:pPr>
      <w:r w:rsidRPr="00C02421" w:rsidR="0088007E">
        <w:rPr>
          <w:lang w:val="fr-FR"/>
        </w:rPr>
        <w:t xml:space="preserve">Betänkande: José Manuel Fernandes </w:t>
      </w:r>
      <w:r w:rsidR="00233B7B">
        <w:rPr>
          <w:lang w:val="fr-FR"/>
        </w:rPr>
        <w:t>och</w:t>
      </w:r>
      <w:r w:rsidRPr="00C02421" w:rsidR="0088007E">
        <w:rPr>
          <w:lang w:val="fr-FR"/>
        </w:rPr>
        <w:t xml:space="preserve"> Gérard Deprez (A8-0295/2016)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88007E">
              <w:t>skäl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82, 557, 55</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88007E">
              <w:t>efter skäl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88007E">
              <w:t>omröstning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511, 120, 65</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EFDD:</w:t>
            </w:r>
          </w:p>
        </w:tc>
        <w:tc>
          <w:tcPr>
            <w:tcW w:w="7495" w:type="dxa"/>
            <w:tcMar>
              <w:top w:w="0" w:type="dxa"/>
              <w:left w:w="0" w:type="dxa"/>
              <w:bottom w:w="0" w:type="dxa"/>
              <w:right w:w="0" w:type="dxa"/>
            </w:tcMar>
          </w:tcPr>
          <w:p w:rsidR="003C383B" w:rsidP="00BC7DF6">
            <w:pPr>
              <w:pStyle w:val="REMARKTABLECELLSIMPLE"/>
              <w:tabs>
                <w:tab w:val="left" w:pos="567"/>
              </w:tabs>
            </w:pPr>
            <w:r w:rsidR="00233B7B">
              <w:t>ÄF</w:t>
            </w:r>
            <w:r w:rsidR="0088007E">
              <w:t xml:space="preserve"> 1</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P="00BC7DF6">
            <w:pPr>
              <w:pStyle w:val="REMARKTABLECELLTITLE"/>
              <w:tabs>
                <w:tab w:val="left" w:pos="567"/>
              </w:tabs>
            </w:pPr>
            <w:r w:rsidR="0088007E">
              <w:t>Övrigt</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P="00BC7DF6">
            <w:pPr>
              <w:pStyle w:val="REMARKTABLECELLSIMPLE"/>
              <w:tabs>
                <w:tab w:val="left" w:pos="567"/>
              </w:tabs>
            </w:pPr>
            <w:r w:rsidR="0088007E">
              <w:t>Ändringsförslag 4 hade dragits tillbaka.</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EU-strategi gentemot Iran efter kärnteknikavtalet</w:t>
      </w:r>
    </w:p>
    <w:p w:rsidR="003C383B" w:rsidP="00BC7DF6">
      <w:pPr>
        <w:pStyle w:val="VOTEREPORTTITLE"/>
        <w:tabs>
          <w:tab w:val="left" w:pos="567"/>
        </w:tabs>
      </w:pPr>
      <w:r w:rsidR="0088007E">
        <w:t>Betänkande: Richard Howitt (A8-0286/2016)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570, 112, 11</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613, 56, 18</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548, 109, 36</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621, 56, 14</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547, 112, 30</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579, 106, 12</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632, 58, 6</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559, 113, 18</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637, 49, 10</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555, 118, 18</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efter </w:t>
            </w:r>
            <w:r w:rsidR="0090597B">
              <w:t xml:space="preserve">punkt </w:t>
            </w:r>
            <w:r w:rsidR="0088007E">
              <w:t>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76 </w:t>
            </w:r>
            <w:r w:rsidR="0088007E">
              <w:t>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326, 350, 19</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585, 43, 60</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425, 116, 113</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599, 55, 42</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524, 125, 43</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468, 133, 93</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458, 189, 35</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530, 55, 114</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456, 123, 105</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464, 139, 93</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626, 59, 11</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499, 188, 2</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655, 27, 12</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570, 89, 38</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616, 45, 36</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543, 115, 32</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651, 31, 7</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609, 75, 4</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477, 97, 123</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587, 31, 74</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524, 91, 78</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574, 29, 88</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88007E">
              <w:t>efter punkt 38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590, 67, 37</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543, 133, 23</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611, 44, 30</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efter </w:t>
            </w:r>
            <w:r w:rsidR="0090597B">
              <w:t xml:space="preserve">punkt </w:t>
            </w:r>
            <w:r w:rsidR="0088007E">
              <w:t>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290, 377, 26</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efter </w:t>
            </w:r>
            <w:r w:rsidR="0090597B">
              <w:t xml:space="preserve">punkt </w:t>
            </w:r>
            <w:r w:rsidR="0088007E">
              <w:t>41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311, 364, 19</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42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föredragande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44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569, 106, 20</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531, 134, 28</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88007E">
              <w:t>efter punkt 44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306, 368, 19</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efter </w:t>
            </w:r>
            <w:r w:rsidR="0090597B">
              <w:t xml:space="preserve">punkt </w:t>
            </w:r>
            <w:r w:rsidR="0088007E">
              <w:t>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290, 359, 40</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E17248">
              <w:t xml:space="preserve">skäl </w:t>
            </w:r>
            <w:r w:rsidR="0088007E">
              <w:t>A</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507, 99, 90</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596, 57, 43</w:t>
            </w: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205702">
              <w:t>o</w:t>
            </w:r>
            <w:r w:rsidR="0088007E">
              <w:t>mröstning</w:t>
            </w:r>
            <w:r w:rsidR="00205702">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456, 174, 67</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ALDE:</w:t>
            </w:r>
          </w:p>
        </w:tc>
        <w:tc>
          <w:tcPr>
            <w:tcW w:w="7495" w:type="dxa"/>
            <w:tcMar>
              <w:top w:w="0" w:type="dxa"/>
              <w:left w:w="0" w:type="dxa"/>
              <w:bottom w:w="0" w:type="dxa"/>
              <w:right w:w="0" w:type="dxa"/>
            </w:tcMar>
          </w:tcPr>
          <w:p w:rsidR="003C383B" w:rsidRPr="00BC7DF6" w:rsidP="00205702">
            <w:pPr>
              <w:pStyle w:val="REMARKTABLECELLSIMPLE"/>
              <w:tabs>
                <w:tab w:val="left" w:pos="567"/>
              </w:tabs>
            </w:pPr>
            <w:r w:rsidR="0088007E">
              <w:t>skäl A (andra och tredje delen), punkterna 1 (andra och tredje delen), 3, 4, 6, 7, 10, 12, 14, 21, 22 (andra delen), 30, 31, 32, 33, 34, 37, 39, 42, 44, ÄF 1, 2, 3, 4, 5, 6</w:t>
            </w:r>
          </w:p>
        </w:tc>
      </w:tr>
    </w:tbl>
    <w:p w:rsidR="003C383B" w:rsidRPr="00BC7DF6"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Hela texten utom orden "</w:t>
            </w:r>
            <w:r w:rsidRPr="00343AD8" w:rsidR="00E17248">
              <w:t>att undersöka möjligheterna till ett civilt kärntekniskt samarbete med Iran, i linje med åtagandet i den gemensamma övergripande handlingsplanen, och</w:t>
            </w:r>
            <w:r w:rsidRPr="00E1724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ALDE: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skäl 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C02421" w:rsidP="00BC7DF6">
            <w:pPr>
              <w:pStyle w:val="REMARKTABLECELLSIMPLE"/>
              <w:tabs>
                <w:tab w:val="left" w:pos="567"/>
              </w:tabs>
              <w:rPr>
                <w:lang w:val="fr-FR"/>
              </w:rPr>
            </w:pPr>
            <w:r w:rsidRPr="00C02421" w:rsidR="0088007E">
              <w:rPr>
                <w:lang w:val="fr-FR"/>
              </w:rPr>
              <w:t>"</w:t>
            </w:r>
            <w:r w:rsidRPr="00343AD8" w:rsidR="00E17248">
              <w:t>Efter kärnteknikavtalet med Iran</w:t>
            </w:r>
            <w:r w:rsidRPr="00C02421" w:rsidR="0088007E">
              <w:rPr>
                <w:lang w:val="fr-FR"/>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w:t>
            </w:r>
            <w:r w:rsidRPr="00343AD8" w:rsidR="00E17248">
              <w:t>och intern politisk utveckling i Iran</w:t>
            </w:r>
            <w:r w:rsidRPr="00E1724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w:t>
            </w:r>
            <w:r w:rsidRPr="00343AD8" w:rsidR="00E17248">
              <w:t>finns det nu en möjlighet för reformer i landet och för bättre förb</w:t>
            </w:r>
            <w:r w:rsidR="00E17248">
              <w:t>indelser med Europeiska unionen.</w:t>
            </w:r>
            <w:r w:rsidRPr="00E17248"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17248"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w:t>
            </w:r>
            <w:r w:rsidRPr="00343AD8" w:rsidR="00E17248">
              <w:t>Europaparlamentet anser att den gemensamma övergripande handlingsplanen, det så kallade kärnteknikavtalet med Iran, var ett påtagligt framsteg för multilateral diplomati, och särskilt europeisk diplomati,</w:t>
            </w:r>
            <w:r w:rsidRPr="00E1724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w:t>
            </w:r>
            <w:r w:rsidRPr="00343AD8" w:rsidR="00E17248">
              <w:t>och bör medföra inte bara en märkbar förbättring i relationerna mellan EU och Iran, men även främja stabilitet i hela regionen.</w:t>
            </w:r>
            <w:r w:rsidRPr="00E1724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E17248" w:rsidP="00BC7DF6">
            <w:pPr>
              <w:pStyle w:val="REMARKTABLECELLSIMPLE"/>
              <w:tabs>
                <w:tab w:val="left" w:pos="567"/>
              </w:tabs>
            </w:pPr>
            <w:r w:rsidRPr="00E17248" w:rsidR="0088007E">
              <w:t>"</w:t>
            </w:r>
            <w:r w:rsidRPr="00343AD8" w:rsidR="00E17248">
              <w:t>Parlamentet anser att alla parter nu ansvarar för att avtalet genomförs strikt och fullständigt. Parlamentet välkomnar inrättandet av den gemensamma kommissionen bestående av representanter för Iran och E3/EU+3 (Kina, Frankrike, Tyskland, Ryska federationen, Förenade kungariket och USA, med vice ordföranden/den höga representanten). Parlamentet stöder till fullo Europeiska unionens höga representant för utrikes frågor och säkerhetspolitik i hennes roll som samordnare av den gemensamma kommission som har inrättats enligt den gemensamma övergripande handlingsplanen och anser att ett strikt och fullständigt genomförande av handlingsplanen fortsätter att vara av yttersta vikt.</w:t>
            </w:r>
            <w:r w:rsidRPr="00E17248"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17248"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667DB8" w:rsidP="00BC7DF6">
            <w:pPr>
              <w:pStyle w:val="REMARKTABLECELLSIMPLE"/>
              <w:tabs>
                <w:tab w:val="left" w:pos="567"/>
              </w:tabs>
            </w:pPr>
            <w:r w:rsidR="0088007E">
              <w:t>"</w:t>
            </w:r>
            <w:r w:rsidRPr="00343AD8" w:rsidR="00667DB8">
              <w:t>Europaparlamentet välkomnar öppenhet i förbindelserna med Iran. Parlamentet påpekar att förbindelserna mellan EU och Iran bör utvecklas hand i hand med genomförandet av kärnteknikavtalet/JCPOA. Parlamentet erinrar om att enligt avtalet kan Irans underlåtenhet att genomföra avtalet leda till att sanktionerna återinförs. Parlamentet uppmuntrar en förnyad relation mellan EU och dess medlemsstater och Iran, där de båda sidorna har ett nära samarbete i bilaterala och multilaterala frågor för att säkerställa en stabilare region och ett effektivt genomförande av kärnteknikavtalet.</w:t>
            </w:r>
            <w:r w:rsidRPr="00667DB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667DB8" w:rsidP="00BC7DF6">
            <w:pPr>
              <w:pStyle w:val="REMARKTABLECELLSIMPLE"/>
              <w:tabs>
                <w:tab w:val="left" w:pos="567"/>
              </w:tabs>
            </w:pPr>
            <w:r w:rsidRPr="00667DB8" w:rsidR="0088007E">
              <w:t>"</w:t>
            </w:r>
            <w:r w:rsidRPr="00343AD8" w:rsidR="00667DB8">
              <w:t>Parlamentet anser att förbindelserna mellan EU och Iran bör utvecklas genom en dialog på flera olika nivåer genom politiska, diplomatiska, ekonomiska, akademiska, tekniska och mänskliga kontakter som inbegriper aktörer från det civila samhället, icke-statliga organisationer samt människorättsförsvarare. Parlamentet stöder öppnandet av förbindelserna mellan EU och Iran till båda parternas nytta, utifrån en realistisk bedömning av gemensamma intressen och skillnader, i syfte att uppmuntra ett gradvis utvidgat samarbete i en förtroendeskapande anda, först och främst till nytta för människorna i Iran och i EU. Parlamentet stöder i detta hänseende unionens åtagande att förnya förbindelserna med Iran utifrån en dialog med följande principer: en dialog som är övergripande, som är samarbetsinriktad på de områden där både Iran och EU har gemensamma intressen, som är kritisk, öppen och uppriktig på de områden där Iran och EU har avvikande åsikter men där de söker en gemensam grund, och som är allmänt konstruktiv både beträffande inriktning och praxis.</w:t>
            </w:r>
            <w:r w:rsidRPr="00667DB8"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667DB8"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Europaparlamentet anser att det är mycket viktigt att den parlamentariska dimensionen av förbindelserna mellan EU och Iran utvecklas som ett led i strategin för att återställa ett ömsesidigt förtroende.</w:t>
            </w:r>
            <w:r w:rsidRPr="00EA7EBE"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I detta hänseende upprepar parlamentet sitt stöd för det förslag som diskuterades mellan Europaparlamentet och det iranska parlamentet (Majlis) om en interparlamentarisk dialog om bekämpning av terrorism, som ett erkännande av de gemensamma problemen med radikalisering i Iran, i hela Mellanöstern och i själva EU.</w:t>
            </w:r>
            <w:r w:rsidRPr="00EA7EBE"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Parlamentet välkomnar den förnyade dialogen mellan EU och Iran, inbegripet dialogen om de mänskliga rättigheterna. Parlamentet uppmanar till att det i framtiden upprättas en sådan dialog om de mänskliga rättigheterna som omfattar representanter från rättsväsendet, säkerhetsstyrkorna och det civila samhället.</w:t>
            </w:r>
            <w:r w:rsidRPr="00EA7EBE"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Fjärde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Parlamentet ser att även om det finns misstro och misstänksamhet på båda sidorna, har många medlemsstater också en lång gemensam historia med Iran, och att Iran har ambitioner att ha goda förbindelser med EU, något som lägger grunden för en relation baserad på ömsesidigt förtroende och respekt. EU inser hur komplicerad Irans egen interna politik är och har inte för avsikt att blanda sig i interna politiska beslut varken i detta land eller i något annat, utan strävar efter ett samarbete som bygger på ömsesidig respekt för internationella normer och principer. Parlamentet anser att full normalisering av förbindelserna endast kan ske parallellt med ett fortsatt genomförande av den gemensamma övergripande handlingsplanen genom regelbunden och kontinuerlig dialog, och att den omedelbara prioriteringen är att utöka förbindelserna mellan EU och Iran på de områden där det finns ett samförstånd att göra detta. Parlamentet anser dock att upprättandet av ett partnerskap mellan Iran och EU måste vara det yttersta målet.</w:t>
            </w:r>
            <w:r w:rsidRPr="00EA7EBE"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A7EBE"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Europaparlamentet konstaterar att Iran har ställt upp ett mål om en årlig tillväxttakt på 8 procent. Parlamentet menar att europeiska investeringar är av avgörande betydelse för att Iran ska nå detta mål. Parlamentet understryker att Europeiska unionen inte står i vägen för tillåtna affärer med Iran, och inte kommer att stå i vägen för internationella företag eller finansinstitut som vill handla med Iran, så länge de följer alla gällande lagar. För att förverkliga sin ekonomiska potential måste Iran vidta åtgärder för att skapa ett öppet ekonomiskt system som är gynnsamt för internationella investeringar och åtgärder för att bekämpa korruption på alla nivåer, särskilt i fråga om efterlevnad av rekommendationerna från arbetsgruppen för finansiella åtgärder (FATF) när det gäller frågor som t.ex. rör upphörande av finansiella flöden till terroristorganisationer.</w:t>
            </w:r>
            <w:r w:rsidRPr="00EA7EBE"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Parlamentet uppmanar EU att till fullo stödja Irans strävanden i denna process, särskilt genom att stödja åtgärder för att upprätta ett bilateralt investeringsavtal mellan EU och Iran.</w:t>
            </w:r>
            <w:r w:rsidRPr="00EA7EBE"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A7EBE"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7EBE" w:rsidP="00EA7EBE">
            <w:pPr>
              <w:pStyle w:val="REMARKTABLECELLSIMPLE"/>
              <w:tabs>
                <w:tab w:val="left" w:pos="567"/>
              </w:tabs>
            </w:pPr>
            <w:r w:rsidRPr="00EA7EBE" w:rsidR="0088007E">
              <w:t>"</w:t>
            </w:r>
            <w:r w:rsidRPr="00343AD8" w:rsidR="00EA7EBE">
              <w:t xml:space="preserve">Europaparlamentet noterar att Iran är den näst största ekonomin i Mellanöstern med en beräknad nominell BNP på 397 miljarder US-dollar 2015. Parlamentet noterar vidare att EU:s handel med Iran för närvarande omfattar ungefär 8 miljarder US-dollar och att den förväntas fyrdubblas inom de närmaste två åren. EU var tidigare Irans främsta handelspartner och unionen bör sträva efter att återta denna position. Parlamentet understöder utvidgandet av EU:s handelsrelationer med Iran och uppmanar EU att utveckla det kommersiella, finansiella och ekonomiska samarbetet med Iran för att förbättra det iranska folkets levnadsvillkor och sysselsättning och </w:t>
            </w:r>
            <w:r w:rsidR="00EA7EBE">
              <w:t>öka den regionala utvecklingen.</w:t>
            </w:r>
            <w:r w:rsidRPr="00EA7EBE" w:rsidR="00EA7EB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Parlamentet anser att utvidgningen av handeln och investeringarna med Iran på lång sikt kan bidra till att främja fred och stabilitet i hela regionen, om EU kan söka möjligheter till regionala investeringsprogram, till exempel när det gäller energi och transportförbindelser.</w:t>
            </w:r>
            <w:r w:rsidRPr="00EA7EBE" w:rsidR="00EA7EB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A7EBE"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Europaparlamentet konstaterar att Iran är världens största ekonomi utanför Världshandelsorganisationen (WTO) och stöder Irans ansökan om medlemskap i WTO. Parlamentet noterar att det aktuella EU-mandatet för förhandlingar om ett handels- och samarbetsavtal med Iran inte längre är aktuellt. Kommissionen uppmanas att undersöka möjligheterna att stärka handels- och investeringsförbindelserna med målet att föra Iran närmare WTO:s regelverk och skydda europeiska investeringar. Parlamentet betonar att formella förhandlingsramar skulle göra det möjligt för EU att fullt ut använda sin hävstångskraft som den största integrerade marknaden och som ett ekonomiskt block och skapa ett forum för utbyte och dialog. EU uppmanas att undersöka möjligheten att återuppta Irans anslutningssamtal med Världshandelsorganisationen (WTO), eftersom ett WTO-medlemskap skulle medföra en ytterligare liberalisering av Irans ekonomi i syfte att driva på tillväxten, inlemma landet i det globala regelbaserade systemet, erbjuda en mekanism för att stödja nödvändiga ekonomiska reformer i Iran och hålla landet ansvarigt för sina internationella åtaganden. Parlamentet uppmanar kommissionen att använda dessa förhandlingar som ett tillfälle att främja viktiga reformer av arbetstagares rättigheter baserade på ILO:s grundläggande konventioner,</w:t>
            </w:r>
            <w:r w:rsidRPr="00EA7EBE"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Parlamentet är oroat över förseningen i utnämnandet av en ordförande för WTO:s arbetsgrupp för Irans anslutning. Parlamentet uppmanar kommissionen att utöva hela sitt inflytande för att avlägsna detta hinder utan dröjsmål och inleda processen för Irans anslutning till WTO. För att avsluta anslutningsprocessen bör Iran avlägsnas från arbetsgruppen för finansiella åtgärder FATF:s offentliga lista.</w:t>
            </w:r>
            <w:r w:rsidRPr="00EA7EBE"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A7EBE"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7EBE" w:rsidP="00EA7EBE">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jc w:val="both"/>
              <w:rPr>
                <w:sz w:val="22"/>
                <w:szCs w:val="22"/>
              </w:rPr>
            </w:pPr>
            <w:r w:rsidRPr="00EA7EBE" w:rsidR="0088007E">
              <w:rPr>
                <w:sz w:val="22"/>
                <w:szCs w:val="22"/>
              </w:rPr>
              <w:t>"</w:t>
            </w:r>
            <w:r w:rsidRPr="00EA7EBE" w:rsidR="00EA7EBE">
              <w:rPr>
                <w:sz w:val="22"/>
                <w:szCs w:val="22"/>
              </w:rPr>
              <w:t>Europaparlamentet välkomnar att Irans regering är angelägen att locka utländska investeringar, eftersom utländska investeringar behövs i alla större ekonomiska sektorer. Parlamentet noterar att mer än 1 biljon US-dollar i investeringar i infrastruktur sannolikt kommer att behövas de närmaste 10 åren,</w:t>
            </w:r>
            <w:r w:rsidRPr="00EA7EBE" w:rsidR="0088007E">
              <w:rPr>
                <w:sz w:val="22"/>
                <w:szCs w:val="22"/>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A7EBE" w:rsidP="00BC7DF6">
            <w:pPr>
              <w:pStyle w:val="REMARKTABLECELLSIMPLE"/>
              <w:tabs>
                <w:tab w:val="left" w:pos="567"/>
              </w:tabs>
            </w:pPr>
            <w:r w:rsidRPr="00EA7EBE" w:rsidR="0088007E">
              <w:t>"</w:t>
            </w:r>
            <w:r w:rsidRPr="00343AD8" w:rsidR="00EA7EBE">
              <w:t>vilket skapar möjligheter för europeiska företag, däribland inom energisektorn och bil- och flygtillverkningssektorerna. Europaparlamentet välkomnar de 180 handelsdelegationer som har besökt Teheran sedan den gemensamma övergripande handlingsplanen undertecknades, däribland dem från 15 EU-medlemsstater, som ett tecken på ett ökande intresse för ekonomiska förbindelser med Iran. Parlamentet uppmanar EU och dess medlemsstater att undersöka användningen av exportgarantikrediter för att stimulera handel, projektfinansiering och investeringar i Iran. Parlamentet stöder det positiva ingåendet av avtalen mellan den iranska regeringen och Airbus och Boeing, som ytterligare en förtroendeuppbyggande åtgärder efter antagandet av den gemensamma övergripande handlingsplanen.</w:t>
            </w:r>
            <w:r w:rsidRPr="00EA7EBE"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A7EBE"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D10472" w:rsidP="00BC7DF6">
            <w:pPr>
              <w:pStyle w:val="REMARKTABLECELLSIMPLE"/>
              <w:tabs>
                <w:tab w:val="left" w:pos="567"/>
              </w:tabs>
            </w:pPr>
            <w:r w:rsidRPr="00D10472" w:rsidR="0088007E">
              <w:t>"</w:t>
            </w:r>
            <w:r w:rsidRPr="00343AD8" w:rsidR="00D10472">
              <w:t>Europaparlamentet noterar att Iran har de näst största gasreserverna och de fjärde största oljereserverna i världen. Parlamentet anser att energisamarbete kan spela en viktig roll när det gäller att diversifiera källorna för EU:s energiförsörjning och minska medlemsstaternas energiberoende från enskilda leverantörer, och därmed bidra till EU:s energitrygghet.</w:t>
            </w:r>
            <w:r w:rsidRPr="00D10472"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D10472" w:rsidP="00BC7DF6">
            <w:pPr>
              <w:pStyle w:val="REMARKTABLECELLSIMPLE"/>
              <w:tabs>
                <w:tab w:val="left" w:pos="567"/>
              </w:tabs>
            </w:pPr>
            <w:r w:rsidRPr="00D10472" w:rsidR="0088007E">
              <w:t>"</w:t>
            </w:r>
            <w:r w:rsidRPr="00343AD8" w:rsidR="00D10472">
              <w:t>Parlamentet anser att hävning av ekonomiska sanktioner kan frigöra betydande resurser att användas inom olje- och gasindustrin samt inom andra sektorer av ekonomin, som skulle gynnas av investeringar och tillgång till ny teknik. Parlamentet uppmanar europeiska företag att investera i den iranska energisektorn. Parlamentet efterlyser särskilt EU:s stöd för utveckling av LNG-teknik i Iran. Investeringar i Iran måste överensstämma helt med EU:s långsiktiga åtaganden för minskning av koldioxidutsläpp.</w:t>
            </w:r>
            <w:r w:rsidRPr="00D10472"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D10472"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D10472" w:rsidP="00BC7DF6">
            <w:pPr>
              <w:pStyle w:val="REMARKTABLECELLSIMPLE"/>
              <w:tabs>
                <w:tab w:val="left" w:pos="567"/>
              </w:tabs>
            </w:pPr>
            <w:r w:rsidRPr="00D10472" w:rsidR="0088007E">
              <w:t>"</w:t>
            </w:r>
            <w:r w:rsidRPr="00343AD8" w:rsidR="00D10472">
              <w:t>Europaparlamentet konstaterar att i och med att mer än 60 procent av befolkningen beräknas vara yngre är 30 år, kan den unga, utbildade och tekniskt utvecklade befolkningen i Iran och landets dynamiska samhälle erbjuda särskilda möjligheter när det gäller att främja de mänskliga kontakterna med EU, baserat på principerna om ömsesidighet och ömsesidig respekt. Program för ungdomsutbyte är bland de mest framgångsrika verksamheterna när det gäller att föra samhällen och kulturer närmare varandra. Parlamentet välkomnar därför ökningen av antalet Erasmus Mundus-studenter från Iran till europeiska universitet som ett sätt att bekämpa missuppfattningar och stereotyper. Parlamentet efterlyser ett stärkt samarbete inom utbildning, forskning och innovation genom ökat student- och forskarutbyte, bland annat genom samarbete mellan universitet bl.a. inom miljö, förnybar energi, rättvisa, mänskliga rättigheter och god förvaltning.</w:t>
            </w:r>
            <w:r w:rsidRPr="00D10472"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D10472" w:rsidP="00BC7DF6">
            <w:pPr>
              <w:pStyle w:val="REMARKTABLECELLSIMPLE"/>
              <w:tabs>
                <w:tab w:val="left" w:pos="567"/>
              </w:tabs>
            </w:pPr>
            <w:r w:rsidRPr="00D10472" w:rsidR="0088007E">
              <w:t>"</w:t>
            </w:r>
            <w:r w:rsidRPr="00343AD8" w:rsidR="00D10472">
              <w:t>Parlamentet uppmanar kommissionen att öka budgeten för Erasmus Mundus-studenter från Iran. Parlamentet välkomnar de workshoppar som nyligen ägde rum i Teherans universitet för att öka medvetenheten om de potentiella fördelar som iranska universitet kan hämta från ett deltagande i Horisont 2020. Parlamentet uppmanar den iranska regeringen att utse en nationell Horisont 2020</w:t>
            </w:r>
            <w:r w:rsidRPr="00343AD8" w:rsidR="00D10472">
              <w:noBreakHyphen/>
              <w:t>samordnare som ger tekniskt bistånd och råd till iranska universitet för ansökning om Horisont 2020-projekt. Parlamentet uppmanar kommissionen att undersöka möjligheten till att underlätta för iranska akademiker och forskare att studera och genomgå utbildning vid europeiska universitet. Parlamentet begär att EU-program inrättas för att föra samman forskare från Iran, länderna i Gulfstaternas samarbetsråd och Europa för att studera erfarenheterna och lärdomarna från den regionala integreringen i Europa.</w:t>
            </w:r>
            <w:r w:rsidRPr="00D10472"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D10472"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33</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3A49DB" w:rsidP="00BC7DF6">
            <w:pPr>
              <w:pStyle w:val="REMARKTABLECELLSIMPLE"/>
              <w:tabs>
                <w:tab w:val="left" w:pos="567"/>
              </w:tabs>
            </w:pPr>
            <w:r w:rsidRPr="003A49DB" w:rsidR="0088007E">
              <w:t>"</w:t>
            </w:r>
            <w:r w:rsidRPr="00343AD8" w:rsidR="003A49DB">
              <w:t>Europaparlamentet anser att kärnteknikavtalet öppnar möjligheter för samarbete för att lösa säkerhetskrisen i regionen. Parlamentet anser att Iran kan och bör ha en stabiliserande roll i regionen.</w:t>
            </w:r>
            <w:r w:rsidRPr="003A49DB"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3A49DB" w:rsidP="00BC7DF6">
            <w:pPr>
              <w:pStyle w:val="REMARKTABLECELLSIMPLE"/>
              <w:tabs>
                <w:tab w:val="left" w:pos="567"/>
              </w:tabs>
            </w:pPr>
            <w:r w:rsidRPr="003A49DB" w:rsidR="0088007E">
              <w:t>"</w:t>
            </w:r>
            <w:r w:rsidRPr="00343AD8" w:rsidR="003A49DB">
              <w:t>Parlamentet tror även att hela regionen kan ha nytta av en normalisering av förbindelserna med Iran. Parlamentet anser att Irans status som en viktig aktör i regionen bör driva landet till att inta en stabiliserande roll i regionen. Parlamentet betonar att översynen av den europeiska grannskapspolitiken (EGP) som lades fram den 18 november 2015 och som föreskriver att tredjeländer som gränsar till partnerstater som gränsar till EU ska göras delaktiga inom ramarna för utökat samarbete. Parlamentet uppmanar således till införande av tematiska ramar för att föreslå ett samarbete mellan unionen, de södra partnerstaterna och regionala nyckelaktörer som Iran, i regionala frågor såsom säkerhet, energi eller flyktinghantering.</w:t>
            </w:r>
            <w:r w:rsidRPr="003A49DB"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3A49DB"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69691A" w:rsidP="00BC7DF6">
            <w:pPr>
              <w:pStyle w:val="REMARKTABLECELLSIMPLE"/>
              <w:tabs>
                <w:tab w:val="left" w:pos="567"/>
              </w:tabs>
            </w:pPr>
            <w:r w:rsidRPr="0069691A" w:rsidR="0088007E">
              <w:t>"</w:t>
            </w:r>
            <w:r w:rsidRPr="00343AD8" w:rsidR="0069691A">
              <w:t>Europaparlamentet välkomnar Irans uttryckliga beredskap att stödja de nuvarande ansträngningarna att skapa stabilitet i Irak, och vädjar till landet att inta en meningsfull roll för att få ett slut på det sekteristiska våldet och uppmanar till ytterligare ansträngningar för att få alla militanta grupper som finns i landet under den irakiska arméns överinseende, så att den tar hänsyn till allas intressen.</w:t>
            </w:r>
            <w:r w:rsidRPr="0069691A"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69691A" w:rsidP="0069691A">
            <w:pPr>
              <w:pStyle w:val="REMARKTABLECELLSIMPLE"/>
              <w:tabs>
                <w:tab w:val="left" w:pos="567"/>
              </w:tabs>
            </w:pPr>
            <w:r w:rsidRPr="0069691A" w:rsidR="0088007E">
              <w:t>"</w:t>
            </w:r>
            <w:r w:rsidRPr="00343AD8" w:rsidR="0069691A">
              <w:t>EU och Iran står inför gemensamma fiender i form av IS/Daish, al-Qaida, al-Nusra och liknande enheter som FN betraktar som terroristorganisationer, som inspirerats av extremistisk förvanskning av islam.</w:t>
            </w:r>
            <w:r w:rsidRPr="0069691A"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69691A" w:rsidP="00BC7DF6">
            <w:pPr>
              <w:pStyle w:val="REMARKTABLECELLSIMPLE"/>
              <w:tabs>
                <w:tab w:val="left" w:pos="567"/>
              </w:tabs>
            </w:pPr>
            <w:r w:rsidRPr="0069691A" w:rsidR="0088007E">
              <w:t>"</w:t>
            </w:r>
            <w:r w:rsidRPr="00343AD8" w:rsidR="0069691A">
              <w:t>Parlamentet välkomnar Irans bidrag till kampen mot IS/Daish, inbegripet dess tidiga stöd till den kurdiska regionala myndigheten i Erbil, och uppmärksammar dess beslutsamma insatser i Irak, vilka hindrade IS/Daish avancemang och bidrog till återvinnandet av territorier som hade drabbats av jihadistisk terrorism.</w:t>
            </w:r>
            <w:r w:rsidRPr="0069691A"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Fjärde delen</w:t>
            </w:r>
          </w:p>
        </w:tc>
        <w:tc>
          <w:tcPr>
            <w:tcW w:w="7495" w:type="dxa"/>
            <w:tcMar>
              <w:top w:w="0" w:type="dxa"/>
              <w:left w:w="0" w:type="dxa"/>
              <w:bottom w:w="0" w:type="dxa"/>
              <w:right w:w="0" w:type="dxa"/>
            </w:tcMar>
          </w:tcPr>
          <w:p w:rsidR="003C383B" w:rsidRPr="0069691A" w:rsidP="00BC7DF6">
            <w:pPr>
              <w:pStyle w:val="REMARKTABLECELLSIMPLE"/>
              <w:tabs>
                <w:tab w:val="left" w:pos="567"/>
              </w:tabs>
            </w:pPr>
            <w:r w:rsidRPr="0069691A" w:rsidR="0088007E">
              <w:t>"</w:t>
            </w:r>
            <w:r w:rsidRPr="00343AD8" w:rsidR="0069691A">
              <w:t>Parlamentet ser dock med oro på de återkommande rapporteringarna om frigivning av medlemmar av al-Qaida och noterar överenskommelsen mellan Iran och Australien att utbyta underrättelseinformation i kampen mot IS/Daish.</w:t>
            </w:r>
            <w:r w:rsidRPr="0069691A"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69691A"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69691A" w:rsidP="00BC7DF6">
            <w:pPr>
              <w:pStyle w:val="REMARKTABLECELLSIMPLE"/>
              <w:tabs>
                <w:tab w:val="left" w:pos="567"/>
              </w:tabs>
            </w:pPr>
            <w:r w:rsidRPr="0069691A" w:rsidR="0088007E">
              <w:t>"</w:t>
            </w:r>
            <w:r w:rsidRPr="00343AD8" w:rsidR="0069691A">
              <w:t>Europaparlamentet anser att Irans revolutionära arv och dess konstitution som islamisk republik, liksom de betydande skillnaderna i fråga om politisk-institutionella system mellan Iran och EU inte får utgöra ett hinder för uppriktig och rak dialog och för att finna en gemensam grund för frågor som rör demokrati, rättsstatsprincipen och mänskliga rättigheter. Parlamentet uppmanar den islamiska republiken att ge politisk pluralism större utrymme. Parlamentet understryker att Irans parlament (Majlis) är reformvänligt och EU-vänligt, och att resultaten av valet till parlamentet och expertförsamlingen i februari 2016 återspeglar det iranska folkets vilja, erbjuder möjligheter till ytterligare engagemang med EU och dess medlemsstater, vilket bör leda till konstruktiva förbindelser och till möjligheten till interna ekonomiska, politiska och sociala reformer.</w:t>
            </w:r>
            <w:r w:rsidRPr="0069691A"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69691A" w:rsidP="00BC7DF6">
            <w:pPr>
              <w:pStyle w:val="REMARKTABLECELLSIMPLE"/>
              <w:tabs>
                <w:tab w:val="left" w:pos="567"/>
              </w:tabs>
            </w:pPr>
            <w:r w:rsidRPr="0069691A" w:rsidR="0088007E">
              <w:t>"</w:t>
            </w:r>
            <w:r w:rsidRPr="00343AD8" w:rsidR="0069691A">
              <w:t>Parlamentet uppmanar Iran att fullt ut tillåta fria och rättvisa val i överensstämmelse med internationella normer.</w:t>
            </w:r>
            <w:r w:rsidRPr="0069691A"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69691A"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963F7" w:rsidP="004963F7">
            <w:pPr>
              <w:pStyle w:val="REMARKTABLECELLSIMPLE"/>
              <w:tabs>
                <w:tab w:val="left" w:pos="567"/>
              </w:tabs>
            </w:pPr>
            <w:r w:rsidRPr="004963F7" w:rsidR="0088007E">
              <w:t xml:space="preserve">Hela texten </w:t>
            </w:r>
            <w:r w:rsidR="004A36F4">
              <w:t xml:space="preserve">utom orden </w:t>
            </w:r>
            <w:r w:rsidRPr="004963F7" w:rsidR="0088007E">
              <w:t>"</w:t>
            </w:r>
            <w:r w:rsidRPr="00582359" w:rsidR="004963F7">
              <w:t>utrikestjänsten och kommissionen att stödja</w:t>
            </w:r>
            <w:r w:rsidRPr="004963F7" w:rsidR="004963F7">
              <w:t xml:space="preserve"> </w:t>
            </w:r>
            <w:r w:rsidRPr="004963F7"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BC7DF6">
            <w:pPr>
              <w:pStyle w:val="REMARKTABLECELLSIMPLE"/>
              <w:tabs>
                <w:tab w:val="left" w:pos="567"/>
              </w:tabs>
            </w:pPr>
            <w:r w:rsidR="0088007E">
              <w:t xml:space="preserve">Hela texten </w:t>
            </w:r>
            <w:r w:rsidR="004A36F4">
              <w:t xml:space="preserve">utom orden </w:t>
            </w:r>
            <w:r w:rsidR="0088007E">
              <w:t>"</w:t>
            </w:r>
            <w:r w:rsidRPr="00582359" w:rsidR="004963F7">
              <w:t>den beväpnade grenen av Hizbollah och</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Bekämpning av korruption och uppföljning av resolutionen från CRIM-utskottet</w:t>
      </w:r>
    </w:p>
    <w:p w:rsidR="003C383B" w:rsidP="00BC7DF6">
      <w:pPr>
        <w:pStyle w:val="VOTEREPORTTITLE"/>
        <w:tabs>
          <w:tab w:val="left" w:pos="567"/>
        </w:tabs>
      </w:pPr>
      <w:r w:rsidR="0088007E">
        <w:t>Betänkande: Laura Ferrara (A8-0284/2016)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 xml:space="preserve">18, </w:t>
            </w:r>
            <w:r w:rsidR="00F772CF">
              <w:t xml:space="preserve">led </w:t>
            </w:r>
            <w:r w:rsidR="0088007E">
              <w:t>a</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 xml:space="preserve">18, </w:t>
            </w:r>
            <w:r w:rsidR="00F772CF">
              <w:t xml:space="preserve">led </w:t>
            </w:r>
            <w:r w:rsidR="0088007E">
              <w:t>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 xml:space="preserve">27, </w:t>
            </w:r>
            <w:r w:rsidR="00F772CF">
              <w:t xml:space="preserve">led </w:t>
            </w:r>
            <w:r w:rsidR="0088007E">
              <w:t>b</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 xml:space="preserve">42, </w:t>
            </w:r>
            <w:r w:rsidR="00F772CF">
              <w:t xml:space="preserve">led </w:t>
            </w:r>
            <w:r w:rsidR="0088007E">
              <w:t>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527, 94, 75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71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73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78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205702">
              <w:t>o</w:t>
            </w:r>
            <w:r w:rsidR="0088007E">
              <w:t>mröstning</w:t>
            </w:r>
            <w:r w:rsidR="00205702">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545, 91, 61</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GUE/NGL:</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 xml:space="preserve">42, </w:t>
            </w:r>
            <w:r w:rsidR="00F772CF">
              <w:t xml:space="preserve">led </w:t>
            </w:r>
            <w:r w:rsidR="0088007E">
              <w:t>b</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TITLE"/>
              <w:tabs>
                <w:tab w:val="left" w:pos="567"/>
              </w:tabs>
            </w:pPr>
            <w:r w:rsidR="0088007E">
              <w:t>Begäranden om särskild omröstning</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ECR:</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88007E">
              <w:t>51, 52, 53, 54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EFDD:</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88007E">
              <w:t>78, 80, 82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GUE/NGL:</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 xml:space="preserve">18, </w:t>
            </w:r>
            <w:r w:rsidR="00F772CF">
              <w:t xml:space="preserve">led </w:t>
            </w:r>
            <w:r w:rsidR="0088007E">
              <w:t>b</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C02421" w:rsidP="00F772CF">
            <w:pPr>
              <w:pStyle w:val="REMARKTABLECELLSIMPLE"/>
              <w:tabs>
                <w:tab w:val="left" w:pos="567"/>
              </w:tabs>
              <w:rPr>
                <w:lang w:val="fr-FR"/>
              </w:rPr>
            </w:pPr>
            <w:r w:rsidRPr="00F772CF" w:rsidR="0088007E">
              <w:t>Hela texten utom orden "</w:t>
            </w:r>
            <w:r w:rsidRPr="00B169B9" w:rsidR="00F772CF">
              <w:t>samröre med brottslighet (dvs. tillhörighet till en kriminell organisation), snarare än på att bara bekämpa de brott som utgör själva syftet med sådana organisationer. Parlamentet anser i synnerhet att det är nödvändigt att medlemskap i en kriminell organisation blir straffbart, oavsett om ett brott inom syftet för organisationen begåtts eller inte.</w:t>
            </w:r>
            <w:r w:rsidRPr="00B169B9" w:rsidR="00F772CF">
              <w:rPr>
                <w:i/>
              </w:rPr>
              <w:t xml:space="preserve"> </w:t>
            </w:r>
            <w:r w:rsidRPr="00B169B9" w:rsidR="00F772CF">
              <w:t>Parlamentet upprepar att denna politiska cykel även bör inbegripa</w:t>
            </w:r>
            <w:r w:rsidRPr="00C02421" w:rsidR="0088007E">
              <w:rPr>
                <w:lang w:val="fr-FR"/>
              </w:rPr>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BC7DF6" w:rsidP="00BC7DF6">
            <w:pPr>
              <w:pStyle w:val="REMARKTABLECELLSIMPLE"/>
              <w:tabs>
                <w:tab w:val="left" w:pos="567"/>
              </w:tabs>
            </w:pPr>
            <w:r w:rsidR="00F772CF">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BC7DF6"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 xml:space="preserve">18, </w:t>
            </w:r>
            <w:r w:rsidR="00F772CF">
              <w:t xml:space="preserve">led </w:t>
            </w:r>
            <w:r w:rsidR="0088007E">
              <w:t>a</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F772CF" w:rsidP="00BC7DF6">
            <w:pPr>
              <w:pStyle w:val="REMARKTABLECELLSIMPLE"/>
              <w:tabs>
                <w:tab w:val="left" w:pos="567"/>
              </w:tabs>
            </w:pPr>
            <w:r w:rsidRPr="00F772CF" w:rsidR="00F772CF">
              <w:t>Hela texten utom orden</w:t>
            </w:r>
            <w:r w:rsidRPr="00F772CF" w:rsidR="0088007E">
              <w:t xml:space="preserve"> </w:t>
            </w:r>
            <w:r w:rsidR="00F772CF">
              <w:t>"</w:t>
            </w:r>
            <w:r w:rsidRPr="00F63F7F" w:rsidR="00F772CF">
              <w:t>och brottet korruption</w:t>
            </w:r>
            <w:r w:rsidR="00F772CF">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71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4D4507">
            <w:pPr>
              <w:pStyle w:val="REMARKTABLECELLSIMPLE"/>
              <w:tabs>
                <w:tab w:val="left" w:pos="567"/>
              </w:tabs>
            </w:pPr>
            <w:r w:rsidR="0088007E">
              <w:t>Hela texten utom orde</w:t>
            </w:r>
            <w:r w:rsidR="004D4507">
              <w:t>t</w:t>
            </w:r>
            <w:r w:rsidR="00205702">
              <w:t xml:space="preserve"> </w:t>
            </w:r>
            <w:r w:rsidR="0088007E">
              <w:t>"</w:t>
            </w:r>
            <w:r w:rsidR="00F772CF">
              <w:t>migranter</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4D4507">
            <w:pPr>
              <w:pStyle w:val="REMARKTABLECELLSIMPLE"/>
              <w:tabs>
                <w:tab w:val="left" w:pos="567"/>
              </w:tabs>
            </w:pPr>
            <w:r w:rsidR="0088007E">
              <w:t>de</w:t>
            </w:r>
            <w:r w:rsidR="004D4507">
              <w:t>tt</w:t>
            </w:r>
            <w:r w:rsidR="0088007E">
              <w:t>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ECR, 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 xml:space="preserve">27, </w:t>
            </w:r>
            <w:r w:rsidR="00F772CF">
              <w:t xml:space="preserve">led </w:t>
            </w:r>
            <w:r w:rsidR="0088007E">
              <w:t>b</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F772CF" w:rsidP="00BC7DF6">
            <w:pPr>
              <w:pStyle w:val="REMARKTABLECELLSIMPLE"/>
              <w:tabs>
                <w:tab w:val="left" w:pos="567"/>
              </w:tabs>
            </w:pPr>
            <w:r w:rsidRPr="00F772CF" w:rsidR="0088007E">
              <w:t>"</w:t>
            </w:r>
            <w:r w:rsidRPr="00B169B9" w:rsidR="00F772CF">
              <w:t>främja hanteringen av spärrad och förverkad egendom</w:t>
            </w:r>
            <w:r w:rsidRPr="00F772C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F772CF" w:rsidP="00BC7DF6">
            <w:pPr>
              <w:pStyle w:val="REMARKTABLECELLSIMPLE"/>
              <w:tabs>
                <w:tab w:val="left" w:pos="567"/>
              </w:tabs>
            </w:pPr>
            <w:r w:rsidRPr="00F772CF" w:rsidR="0088007E">
              <w:t>"</w:t>
            </w:r>
            <w:r w:rsidRPr="00B169B9" w:rsidR="00F772CF">
              <w:t>och dess återanvändning för sociala ändamål och som ersättning till offrens familjer och till företag som drabbats av lånehajar och beskyddarverksamhet,</w:t>
            </w:r>
            <w:r w:rsidRPr="00F772CF"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F772CF"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 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73</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64786" w:rsidP="00BC7DF6">
            <w:pPr>
              <w:pStyle w:val="REMARKTABLECELLSIMPLE"/>
              <w:tabs>
                <w:tab w:val="left" w:pos="567"/>
              </w:tabs>
            </w:pPr>
            <w:r w:rsidRPr="00E64786" w:rsidR="00E64786">
              <w:t>Hela texten utom orden</w:t>
            </w:r>
            <w:r w:rsidRPr="00E64786" w:rsidR="0088007E">
              <w:t xml:space="preserve"> "</w:t>
            </w:r>
            <w:r w:rsidRPr="00B169B9" w:rsidR="00E64786">
              <w:t>till följd av de fortsatta flyktingströmmarna till Europa</w:t>
            </w:r>
            <w:r w:rsidRPr="00E64786"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Mänskliga rättigheter och migration i tredjeländer</w:t>
      </w:r>
    </w:p>
    <w:p w:rsidR="003C383B" w:rsidRPr="00C02421" w:rsidP="00BC7DF6">
      <w:pPr>
        <w:pStyle w:val="VOTEREPORTTITLE"/>
        <w:tabs>
          <w:tab w:val="left" w:pos="567"/>
        </w:tabs>
        <w:rPr>
          <w:lang w:val="fr-FR"/>
        </w:rPr>
      </w:pPr>
      <w:r w:rsidRPr="00C02421" w:rsidR="0088007E">
        <w:rPr>
          <w:lang w:val="fr-FR"/>
        </w:rPr>
        <w:t>Betänkande: Marie-Christine Vergiat (A8-0245/2016)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2/</w:t>
            </w:r>
            <w:r w:rsidR="00205702">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355, 264, 71</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2/</w:t>
            </w:r>
            <w:r w:rsidR="00205702">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372, 299, 17</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25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2/</w:t>
            </w:r>
            <w:r w:rsidR="00205702">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344, 327, 16</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40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41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47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49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särsk./ 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356, 333, 8</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särsk./ 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311, 372, 10</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57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61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69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205702">
            <w:pPr>
              <w:pStyle w:val="VOTINGTABLECELLAN"/>
              <w:tabs>
                <w:tab w:val="left" w:pos="567"/>
              </w:tabs>
            </w:pPr>
            <w:r w:rsidR="0088007E">
              <w:t>särsk./ 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348, 340, 6</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75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76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78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81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324, 364, 6</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9073E5">
              <w:t>särsk.</w:t>
            </w:r>
            <w:r w:rsidR="0088007E">
              <w:t>/ 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352, 329, 17</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87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88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89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444, 176, 75</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90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91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93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E17248">
              <w:t xml:space="preserve">skäl </w:t>
            </w:r>
            <w:r w:rsidR="0088007E">
              <w:t>H</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Z</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AC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E17248">
              <w:t xml:space="preserve">skäl </w:t>
            </w:r>
            <w:r w:rsidR="0088007E">
              <w:t>AD</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9073E5">
              <w:t>o</w:t>
            </w:r>
            <w:r w:rsidR="0088007E">
              <w:t>mröstning</w:t>
            </w:r>
            <w:r w:rsidR="009073E5">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339, 333, 25</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TITLE"/>
              <w:tabs>
                <w:tab w:val="left" w:pos="567"/>
              </w:tabs>
            </w:pPr>
            <w:r w:rsidR="0088007E">
              <w:t>Begäranden om särskild omröstning</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88007E">
              <w:t>47, 55, 81, 88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PPE:</w:t>
            </w:r>
          </w:p>
        </w:tc>
        <w:tc>
          <w:tcPr>
            <w:tcW w:w="7495" w:type="dxa"/>
            <w:tcMar>
              <w:top w:w="0" w:type="dxa"/>
              <w:left w:w="0" w:type="dxa"/>
              <w:bottom w:w="0" w:type="dxa"/>
              <w:right w:w="0" w:type="dxa"/>
            </w:tcMar>
          </w:tcPr>
          <w:p w:rsidR="003C383B" w:rsidP="00BC7DF6">
            <w:pPr>
              <w:pStyle w:val="REMARKTABLECELLSIMPLE"/>
              <w:tabs>
                <w:tab w:val="left" w:pos="567"/>
              </w:tabs>
            </w:pPr>
            <w:r w:rsidR="0088007E">
              <w:t>skälen AC, M, Z, punkterna 25, 40, 49, 52, 55, 58, 61, 69, 75, 78, 85, 86, 87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ALDE:</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GUE/NGL:</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88007E">
              <w:t>82, 90, 91, 93</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PPE: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FB4BA6" w:rsidP="00BC7DF6">
            <w:pPr>
              <w:pStyle w:val="REMARKTABLECELLSIMPLE"/>
              <w:tabs>
                <w:tab w:val="left" w:pos="567"/>
              </w:tabs>
            </w:pPr>
            <w:r w:rsidRPr="00FB4BA6" w:rsidR="0088007E">
              <w:t xml:space="preserve">Hela texten </w:t>
            </w:r>
            <w:r w:rsidR="004A36F4">
              <w:t xml:space="preserve">utom orden </w:t>
            </w:r>
            <w:r w:rsidRPr="00FB4BA6" w:rsidR="0088007E">
              <w:t>"</w:t>
            </w:r>
            <w:r w:rsidRPr="00D97E1B" w:rsidR="00FB4BA6">
              <w:t>särskilt inom sina egna gränser</w:t>
            </w:r>
            <w:r w:rsidRPr="00FB4BA6"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FB4BA6" w:rsidP="00BC7DF6">
            <w:pPr>
              <w:pStyle w:val="REMARKTABLECELLSIMPLE"/>
              <w:tabs>
                <w:tab w:val="left" w:pos="567"/>
              </w:tabs>
            </w:pPr>
            <w:r w:rsidRPr="00FB4BA6" w:rsidR="0088007E">
              <w:t>"</w:t>
            </w:r>
            <w:r w:rsidRPr="003833DD" w:rsidR="00FB4BA6">
              <w:t>Europaparlamentet uppmanar staterna att erkänna sina skyldigheter enligt internationell rätt när det gäller asyl och migration samt att anta sådan nationell lagstiftning som krävs för att dessa skyldigheter ska kunna genomföras effektivt, genom att bland annat göra det möjligt att begära internationellt skydd.</w:t>
            </w:r>
            <w:r w:rsidRPr="00FB4BA6"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FB4BA6" w:rsidP="00BC7DF6">
            <w:pPr>
              <w:pStyle w:val="REMARKTABLECELLSIMPLE"/>
              <w:tabs>
                <w:tab w:val="left" w:pos="567"/>
              </w:tabs>
            </w:pPr>
            <w:r w:rsidRPr="00FB4BA6" w:rsidR="0088007E">
              <w:t>"</w:t>
            </w:r>
            <w:r w:rsidRPr="003833DD" w:rsidR="00FB4BA6">
              <w:t>Parlamentet ser gärna att dessa lagstiftningar beaktar graden och typen av förföljelse som migranter har utsatts för.</w:t>
            </w:r>
            <w:r w:rsidRPr="00FB4BA6"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FB4BA6"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84777B" w:rsidP="00BC7DF6">
            <w:pPr>
              <w:pStyle w:val="REMARKTABLECELLSIMPLE"/>
              <w:tabs>
                <w:tab w:val="left" w:pos="567"/>
              </w:tabs>
            </w:pPr>
            <w:r w:rsidRPr="0084777B" w:rsidR="0088007E">
              <w:t xml:space="preserve">Hela texten </w:t>
            </w:r>
            <w:r w:rsidR="004A36F4">
              <w:t xml:space="preserve">utom orden </w:t>
            </w:r>
            <w:r w:rsidRPr="0084777B" w:rsidR="0088007E">
              <w:t>"</w:t>
            </w:r>
            <w:r w:rsidRPr="00205B97" w:rsidR="00FB4BA6">
              <w:t>avsaknaden av lagliga migrationsvägar</w:t>
            </w:r>
            <w:r w:rsidRPr="0084777B"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BC7DF6">
            <w:pPr>
              <w:pStyle w:val="REMARKTABLECELLSIMPLE"/>
              <w:tabs>
                <w:tab w:val="left" w:pos="567"/>
              </w:tabs>
            </w:pPr>
            <w:r w:rsidR="0088007E">
              <w:t xml:space="preserve">Hela texten </w:t>
            </w:r>
            <w:r w:rsidR="004A36F4">
              <w:t xml:space="preserve">utom orden </w:t>
            </w:r>
            <w:r w:rsidR="0088007E">
              <w:t>"</w:t>
            </w:r>
            <w:r w:rsidRPr="00205B97" w:rsidR="0084777B">
              <w:t>sexuell och reproduktiv</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374BF" w:rsidP="00BC7DF6">
            <w:pPr>
              <w:pStyle w:val="REMARKTABLECELLSIMPLE"/>
              <w:tabs>
                <w:tab w:val="left" w:pos="567"/>
              </w:tabs>
            </w:pPr>
            <w:r w:rsidRPr="00E374BF" w:rsidR="0088007E">
              <w:t>"</w:t>
            </w:r>
            <w:r w:rsidRPr="003833DD" w:rsidR="00E374BF">
              <w:t>Det kan väsentligen förbättra migranters livskvalitet och deras ekonomiska och kulturella oberoende om de lär sig mottagarlandets språk, och det kan även hjälpa dem att få tillgång till information om sina rättigheter i värdsamhället. Språkundervisning måste garanteras av mottagarlandets utbildningsmyndigheter.</w:t>
            </w:r>
            <w:r w:rsidRPr="00E374B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E374BF" w:rsidP="00E374BF">
            <w:pPr>
              <w:pStyle w:val="REMARKTABLECELLSIMPLE"/>
              <w:tabs>
                <w:tab w:val="left" w:pos="567"/>
              </w:tabs>
            </w:pPr>
            <w:r w:rsidRPr="00E374BF" w:rsidR="0088007E">
              <w:t>"</w:t>
            </w:r>
            <w:r w:rsidRPr="003833DD" w:rsidR="00E374BF">
              <w:t>Europaparlamentet rekommenderar att migranterna görs delaktiga i sociala och politiska beslutsprocesser.</w:t>
            </w:r>
            <w:r w:rsidRPr="00E374BF"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374BF"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374BF" w:rsidP="00BC7DF6">
            <w:pPr>
              <w:pStyle w:val="REMARKTABLECELLSIMPLE"/>
              <w:tabs>
                <w:tab w:val="left" w:pos="567"/>
              </w:tabs>
            </w:pPr>
            <w:r w:rsidRPr="00E374BF" w:rsidR="0088007E">
              <w:t xml:space="preserve">Hela texten </w:t>
            </w:r>
            <w:r w:rsidR="004A36F4">
              <w:t xml:space="preserve">utom orden </w:t>
            </w:r>
            <w:r w:rsidRPr="00E374BF" w:rsidR="0088007E">
              <w:t>"</w:t>
            </w:r>
            <w:r w:rsidRPr="003833DD" w:rsidR="00E374BF">
              <w:t>få ett avtal på ett språk som de förstår och</w:t>
            </w:r>
            <w:r w:rsidRPr="00E374B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57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Europaparlamentet uppmanar staterna att ratificera samtliga internationella fördrag och konventioner som rör mänskliga rättigheter och att tillämpa de regler rörande migranters rättigheter som återfinns i ett antal olika rättsliga instrument, bland annat de viktigaste internationella människorättsinstrumenten och de andra instrument som behandlar migrationsfrågor, såsom FN:s flyktingkonvention från 1951 och de tillhörande protokollen samt den internationella konventionen om skydd för alla migrerande arbetare och deras familjemedlemmar.</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Parlamentet anser i detta hänseende att EU-medlemsstaternas underlåtenhet att ratificera denna sistnämnda konvention urholkar EU:s politik för mänskliga rättigheter och dess uttryckliga åtagande om dessa rättigheters odelbarhet.</w:t>
            </w:r>
            <w:r w:rsidRPr="000154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0154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0154DC" w:rsidP="009073E5">
            <w:pPr>
              <w:pStyle w:val="REMARKTABLECELLSIMPLE"/>
              <w:tabs>
                <w:tab w:val="left" w:pos="567"/>
              </w:tabs>
            </w:pPr>
            <w:r w:rsidRPr="000154DC" w:rsidR="000154DC">
              <w:t>Hela texten utom orden</w:t>
            </w:r>
            <w:r w:rsidRPr="000154DC" w:rsidR="0088007E">
              <w:t xml:space="preserve"> "</w:t>
            </w:r>
            <w:r w:rsidRPr="003833DD" w:rsidR="000154DC">
              <w:t>migranters och flyktingars rättigheter förs in som en separat punkt på dagordningen</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Europaparlamentet erkänner det civila samhällets roll i och bidrag till den politiska dialogen.</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Parlamentet understryker vikten av att konsultera civilsamhället inom ramen för all extern politik i unionen genom att särskilt uppmärksamma fullt deltagande, öppenhet och adekvat informationsspridning när det gäller alla politiska åtgärder och processer på migrationsområdet. Parlamentet påpekar att det är nödvändigt att stärka kvinnoorganisationernas deltagande i lösningen av konflikter i samband med beslutsfattandet och att kvinnliga flyktingar, fördrivna kvinnor och kvinnliga migranter måste delta på lämpligt sätt i de beslut som berör dem.</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Kommissionen och Europeiska utrikestjänsten uppmanas att stärka kapaciteten hos de nationella människorättsinstitutionerna i tredjeländer så att de kan intensifiera sina insatser för att skydda migranters rättigheter och bekämpa omänsklig eller förnedrande behandling samt hatpropaganda mot migranter, såsom anges i den Belgraddeklaration som antagits av 32 ombudsmän och nationella människorättsinstitutioner.</w:t>
            </w:r>
            <w:r w:rsidRPr="000154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0154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76</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Europaparlamentet gläder sig över att migration har införlivats i målen för hållbar utveckling, nämligen i det tionde målet för hållbar utveckling, där ramen för den globala utvecklingspolitiken fram till 2030 fastställs. Parlamentet påminner om att staterna har åtagit sig att samarbeta på ett internationellt plan för att säkerställa en säker, ordnad och laglig migration som präglas av full respekt för de mänskliga rättigheterna och human behandling av migranter oavsett migrationsstatus och av flyktingar och fördrivna personer. Tvångsförflyttningar är inte bara ett humanitärt problem, utan också en utvecklingsmässig utmaning, och det bör därför finnas bättre samordning mellan humanitära aktörer och aktörer på utvecklingsområdet.</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Genomförandet av målen för hållbar utveckling är en möjlighet att stärka en rättighetsbaserad strategi i asyl- och migrationspolitiken och att införliva migrationsfrågor i utvecklingsstrategierna. Världssamfundet uppmanas att anta mätbara indikatorer för målen för hållbar utveckling när det gäller migration, och att samla in och offentliggöra uppdelade uppgifter om migranternas tillgång till anständigt arbete, hälso- och sjukvård och utbildning, särskilt i destinationsländer som är utvecklingsländer, så att migrationshanteringen förbättras.</w:t>
            </w:r>
            <w:r w:rsidRPr="000154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0154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ALDE: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75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Pr="000154DC" w:rsidR="0088007E">
              <w:t>"</w:t>
            </w:r>
            <w:r w:rsidRPr="003833DD" w:rsidR="000154DC">
              <w:t>Europaparlamentet begär att fattiga länder ska erbjudas skuldlättnader, så att de får hjälp med att ta fram en offentlig politik som säkerställer respekten för mänskliga rättigheter.</w:t>
            </w:r>
            <w:r w:rsidRPr="000154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0154DC" w:rsidP="00BC7DF6">
            <w:pPr>
              <w:pStyle w:val="REMARKTABLECELLSIMPLE"/>
              <w:tabs>
                <w:tab w:val="left" w:pos="567"/>
              </w:tabs>
            </w:pPr>
            <w:r w:rsidR="000154DC">
              <w:t>"</w:t>
            </w:r>
            <w:r w:rsidRPr="003833DD" w:rsidR="000154DC">
              <w:t>Parlamentet vidhåller att man måste göra det lättare att hitta lösningar för att nå en hållbar skuldsättning, däribland standarder för ansvarsfullt lånande, genom en multilateral rättslig ram för omstrukturering av statsskulder i syfte att lätta på skuldbördan och undvika en ohållbar skuldsättning, så att man skapar förutsättningar för skydd av mänskliga rättigheter på längre sikt.</w:t>
            </w:r>
            <w:r w:rsidRPr="000154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0154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81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FE60BC" w:rsidP="00BC7DF6">
            <w:pPr>
              <w:pStyle w:val="REMARKTABLECELLSIMPLE"/>
              <w:tabs>
                <w:tab w:val="left" w:pos="567"/>
              </w:tabs>
            </w:pPr>
            <w:r w:rsidRPr="00FE60BC" w:rsidR="0088007E">
              <w:t>"</w:t>
            </w:r>
            <w:r w:rsidRPr="003833DD" w:rsidR="00FE60BC">
              <w:t>Europaparlamentet understryker att avtalen med tredjeländer måste fokusera stödet på att lösa sociala, ekonomiska och politiska kriser som utlöser migration,</w:t>
            </w:r>
            <w:r w:rsidRPr="00FE60B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FE60BC" w:rsidP="00FE60BC">
            <w:pPr>
              <w:pStyle w:val="REMARKTABLECELLSIMPLE"/>
              <w:tabs>
                <w:tab w:val="left" w:pos="567"/>
              </w:tabs>
            </w:pPr>
            <w:r w:rsidRPr="00FE60BC" w:rsidR="0088007E">
              <w:t>"</w:t>
            </w:r>
            <w:r w:rsidRPr="003833DD" w:rsidR="00FE60BC">
              <w:t>vilket skulle bidra till att dämpa migrationsströmmarna mot Europeiska unionens gränser.</w:t>
            </w:r>
            <w:r w:rsidRPr="00FE60B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FE60B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EA0347">
              <w:t>skäl</w:t>
            </w:r>
            <w:r w:rsidR="0088007E">
              <w:t xml:space="preserve"> H</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9073E5" w:rsidP="009073E5">
            <w:pPr>
              <w:pStyle w:val="REMARKTABLECELLSIMPLE"/>
              <w:tabs>
                <w:tab w:val="left" w:pos="567"/>
              </w:tabs>
            </w:pPr>
            <w:r w:rsidRPr="009073E5" w:rsidR="0088007E">
              <w:t>Hela texten utom orden "</w:t>
            </w:r>
            <w:r w:rsidRPr="009073E5" w:rsidR="009073E5">
              <w:rPr>
                <w:szCs w:val="22"/>
              </w:rPr>
              <w:t>effektiva sätt att övervaka och kontrollera utländska medborgares in- och utresor. Dessutom måste det finnas</w:t>
            </w:r>
            <w:r w:rsidRPr="009073E5"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FE60BC" w:rsidRPr="00EA0347" w:rsidP="009073E5">
            <w:pPr>
              <w:tabs>
                <w:tab w:val="left" w:pos="-1392"/>
                <w:tab w:val="left" w:pos="-384"/>
                <w:tab w:val="left" w:pos="0"/>
                <w:tab w:val="left" w:pos="336"/>
                <w:tab w:val="left" w:pos="864"/>
                <w:tab w:val="left" w:pos="1296"/>
                <w:tab w:val="left" w:pos="1728"/>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jc w:val="both"/>
              <w:rPr>
                <w:sz w:val="22"/>
                <w:szCs w:val="22"/>
              </w:rPr>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EA0347">
              <w:t>skäl</w:t>
            </w:r>
            <w:r w:rsidR="0088007E">
              <w:t xml:space="preserve"> AD</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0347" w:rsidP="00EA0347">
            <w:pPr>
              <w:pStyle w:val="REMARKTABLECELLSIMPLE"/>
              <w:tabs>
                <w:tab w:val="left" w:pos="567"/>
              </w:tabs>
            </w:pPr>
            <w:r w:rsidRPr="00EA0347" w:rsidR="0088007E">
              <w:t>Hela texten utom orden "</w:t>
            </w:r>
            <w:r w:rsidRPr="00203575" w:rsidR="00EA0347">
              <w:t>både från migranternas sida, som måste vara villiga att anpassa sig till sitt värdsamhälle utan att nödvändigtvis göra avkall på sin ursprungliga kulturella identitet, och</w:t>
            </w:r>
            <w:r w:rsidRPr="00EA0347"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0347" w:rsidP="00EA0347">
            <w:pPr>
              <w:pStyle w:val="REMARKTABLECELLSIMPLE"/>
              <w:tabs>
                <w:tab w:val="left" w:pos="567"/>
              </w:tabs>
            </w:pPr>
            <w:r w:rsidRPr="00EA0347" w:rsidR="0088007E">
              <w:t xml:space="preserve">Hela texten </w:t>
            </w:r>
            <w:r w:rsidR="004A36F4">
              <w:t xml:space="preserve">utom orden </w:t>
            </w:r>
            <w:r w:rsidRPr="00EA0347" w:rsidR="0088007E">
              <w:t>"</w:t>
            </w:r>
            <w:r w:rsidRPr="009531D8" w:rsidR="00EA0347">
              <w:t>gemensamma</w:t>
            </w:r>
            <w:r w:rsidRPr="00EA0347" w:rsidR="00EA0347">
              <w:t>"</w:t>
            </w:r>
            <w:r w:rsidRPr="009531D8" w:rsidR="00EA0347">
              <w:t xml:space="preserve"> och </w:t>
            </w:r>
            <w:r w:rsidRPr="00EA0347" w:rsidR="00EA0347">
              <w:t>"</w:t>
            </w:r>
            <w:r w:rsidRPr="009531D8" w:rsidR="00EA0347">
              <w:t>med USA och andra internationella partne</w:t>
            </w:r>
            <w:r w:rsidRPr="00EA0347" w:rsidR="00EA0347">
              <w:t>r</w:t>
            </w:r>
            <w:r w:rsidRPr="00EA0347"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88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EA0347" w:rsidP="00BC7DF6">
            <w:pPr>
              <w:pStyle w:val="REMARKTABLECELLSIMPLE"/>
              <w:tabs>
                <w:tab w:val="left" w:pos="567"/>
              </w:tabs>
            </w:pPr>
            <w:r w:rsidRPr="00EA0347" w:rsidR="0088007E">
              <w:t xml:space="preserve">Hela texten </w:t>
            </w:r>
            <w:r w:rsidR="004A36F4">
              <w:t xml:space="preserve">utom orden </w:t>
            </w:r>
            <w:r w:rsidRPr="00EA0347" w:rsidR="0088007E">
              <w:t>"</w:t>
            </w:r>
            <w:r w:rsidRPr="003833DD" w:rsidR="00EA0347">
              <w:t>och stöder förstärkningen av förvaltningen av unionens yttre gränser</w:t>
            </w:r>
            <w:r w:rsidRPr="00EA0347"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 GUE/NGL:</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89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522583" w:rsidP="00522583">
            <w:pPr>
              <w:pStyle w:val="REMARKTABLECELLSIMPLE"/>
              <w:tabs>
                <w:tab w:val="left" w:pos="567"/>
              </w:tabs>
            </w:pPr>
            <w:r w:rsidRPr="00522583" w:rsidR="0088007E">
              <w:t>"</w:t>
            </w:r>
            <w:r w:rsidRPr="003833DD" w:rsidR="00522583">
              <w:t>Europaparlamentet understryker att smuggling av migranter har koppling till människohandel och utgör et</w:t>
            </w:r>
            <w:r w:rsidR="00522583">
              <w:t>t allvarligt människorättsbrott</w:t>
            </w:r>
            <w:r w:rsidRPr="00522583" w:rsidR="00522583">
              <w:t>"</w:t>
            </w:r>
            <w:r w:rsidRPr="00D211ED" w:rsidR="00522583">
              <w:t xml:space="preserve"> utom orden </w:t>
            </w:r>
            <w:r w:rsidRPr="00522583" w:rsidR="00522583">
              <w:t>"</w:t>
            </w:r>
            <w:r w:rsidRPr="00D211ED" w:rsidR="00522583">
              <w:t>smuggling av migranter har koppling till</w:t>
            </w:r>
            <w:r w:rsidRPr="00522583" w:rsidR="00522583">
              <w:t>"</w:t>
            </w:r>
            <w:r w:rsidRPr="00D211ED" w:rsidR="00522583">
              <w:t xml:space="preserve"> och </w:t>
            </w:r>
            <w:r w:rsidRPr="00522583" w:rsidR="00522583">
              <w:t>"</w:t>
            </w:r>
            <w:r w:rsidR="00522583">
              <w:t>och</w:t>
            </w:r>
            <w:r w:rsidRPr="00522583" w:rsidR="00522583">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522583" w:rsidP="00BC7DF6">
            <w:pPr>
              <w:pStyle w:val="REMARKTABLECELLSIMPLE"/>
              <w:tabs>
                <w:tab w:val="left" w:pos="567"/>
              </w:tabs>
            </w:pPr>
            <w:r w:rsidRPr="00522583" w:rsidR="00522583">
              <w:t>"</w:t>
            </w:r>
            <w:r w:rsidRPr="00D211ED" w:rsidR="00522583">
              <w:t>smuggling av migranter har koppling till</w:t>
            </w:r>
            <w:r w:rsidRPr="00522583" w:rsidR="00522583">
              <w:t>"</w:t>
            </w:r>
            <w:r w:rsidRPr="00D211ED" w:rsidR="00522583">
              <w:t xml:space="preserve"> och </w:t>
            </w:r>
            <w:r w:rsidRPr="00522583" w:rsidR="00522583">
              <w:t>"</w:t>
            </w:r>
            <w:r w:rsidR="00522583">
              <w:t>och</w:t>
            </w:r>
            <w:r w:rsidRPr="00522583" w:rsidR="00522583">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522583" w:rsidP="00522583">
            <w:pPr>
              <w:pStyle w:val="REMARKTABLECELLSIMPLE"/>
              <w:tabs>
                <w:tab w:val="left" w:pos="567"/>
              </w:tabs>
            </w:pPr>
            <w:r w:rsidRPr="00522583" w:rsidR="00522583">
              <w:t>"</w:t>
            </w:r>
            <w:r w:rsidRPr="003833DD" w:rsidR="00522583">
              <w:t>Parlamentet påminner om att användningen av insatser såsom Eunavfor MED utgör en metod för att konkret bekämpa smuggling av migranter. Parlamentet uppmanar unionen att fullfölja samt intensifiera denna typ av insatser.</w:t>
            </w:r>
            <w:r w:rsidRPr="00522583" w:rsidR="0088007E">
              <w:t>"</w:t>
            </w:r>
          </w:p>
        </w:tc>
      </w:tr>
    </w:tbl>
    <w:p w:rsidR="003C383B" w:rsidRPr="00522583" w:rsidP="00BC7DF6">
      <w:pPr>
        <w:pStyle w:val="STYTAB"/>
        <w:tabs>
          <w:tab w:val="left" w:pos="567"/>
        </w:tabs>
      </w:pPr>
    </w:p>
    <w:p w:rsidR="003C383B" w:rsidRPr="00522583" w:rsidP="00BC7DF6">
      <w:pPr>
        <w:pStyle w:val="STYTAB"/>
        <w:tabs>
          <w:tab w:val="left" w:pos="567"/>
        </w:tabs>
      </w:pPr>
    </w:p>
    <w:p w:rsidR="003C383B" w:rsidRPr="00BC7DF6" w:rsidP="00BC7DF6">
      <w:pPr>
        <w:pStyle w:val="VOTETITLE"/>
        <w:tabs>
          <w:tab w:val="left" w:pos="567"/>
        </w:tabs>
        <w:outlineLvl w:val="9"/>
      </w:pPr>
      <w:r w:rsidR="0088007E">
        <w:t>Företagens ansvar för allvarliga kränkningar av de mänskliga rättigheterna i tredjeländer</w:t>
      </w:r>
    </w:p>
    <w:p w:rsidR="003C383B" w:rsidP="00BC7DF6">
      <w:pPr>
        <w:pStyle w:val="VOTEREPORTTITLE"/>
        <w:tabs>
          <w:tab w:val="left" w:pos="567"/>
        </w:tabs>
      </w:pPr>
      <w:r w:rsidR="0088007E">
        <w:t>Betänkande: Ignazio Corrao (A8-0243/2016)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370, 315, 12</w:t>
            </w: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9073E5">
              <w:t>o</w:t>
            </w:r>
            <w:r w:rsidR="0088007E">
              <w:t>mröstning</w:t>
            </w:r>
            <w:r w:rsidR="009073E5">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569, 54, 74</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PPE: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D53D10" w:rsidP="00BC7DF6">
            <w:pPr>
              <w:pStyle w:val="REMARKTABLECELLSIMPLE"/>
              <w:tabs>
                <w:tab w:val="left" w:pos="567"/>
              </w:tabs>
            </w:pPr>
            <w:r w:rsidRPr="00D53D10" w:rsidR="0088007E">
              <w:t>"</w:t>
            </w:r>
            <w:r w:rsidRPr="00F11556" w:rsidR="00D53D10">
              <w:t>Europaparlamentet välkomnar de icke-bindande privata initiativ för en ansvarsfull hantering av leveranskedjan som införts av kommissionen,</w:t>
            </w:r>
            <w:r w:rsidRPr="00D53D10"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D53D10" w:rsidP="00BC7DF6">
            <w:pPr>
              <w:pStyle w:val="REMARKTABLECELLSIMPLE"/>
              <w:tabs>
                <w:tab w:val="left" w:pos="567"/>
              </w:tabs>
            </w:pPr>
            <w:r w:rsidRPr="00D53D10" w:rsidR="0088007E">
              <w:t>"</w:t>
            </w:r>
            <w:r w:rsidRPr="00F11556" w:rsidR="00D53D10">
              <w:t>men betonar att icke-bindande privata initiativ i sig inte är tillräckliga. Parlamentet efterlyser omedelbart bindande och verkställbara bestämmelser samt tillhörande sanktioner och oberoende övervakningsmekanismer.</w:t>
            </w:r>
            <w:r w:rsidRPr="00D53D10"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D53D10"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D53D10" w:rsidP="00BC7DF6">
            <w:pPr>
              <w:pStyle w:val="REMARKTABLECELLSIMPLE"/>
              <w:tabs>
                <w:tab w:val="left" w:pos="567"/>
              </w:tabs>
            </w:pPr>
            <w:r w:rsidRPr="00D53D10" w:rsidR="0088007E">
              <w:t>"</w:t>
            </w:r>
            <w:r w:rsidRPr="00F11556" w:rsidR="00D53D10">
              <w:t>Europaparlamentet uppmanar kommissionen att snarast möjligt lägga fram ett lagförslag om exportkontroll av produkter med dubbla användningsområden</w:t>
            </w:r>
            <w:r w:rsidRPr="00D53D10"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D53D10" w:rsidP="00BC7DF6">
            <w:pPr>
              <w:pStyle w:val="REMARKTABLECELLSIMPLE"/>
              <w:tabs>
                <w:tab w:val="left" w:pos="567"/>
              </w:tabs>
            </w:pPr>
            <w:r w:rsidRPr="00D53D10" w:rsidR="0088007E">
              <w:t>"</w:t>
            </w:r>
            <w:r w:rsidRPr="00F11556" w:rsidR="00D53D10">
              <w:t>då teknik som utvecklats av europeiska företag fortfarande orsakar människorättskränkningar runt om i världen.</w:t>
            </w:r>
            <w:r w:rsidRPr="00D53D10" w:rsidR="0088007E">
              <w:t>"</w:t>
            </w:r>
          </w:p>
        </w:tc>
      </w:tr>
    </w:tbl>
    <w:p w:rsidR="003C383B" w:rsidRPr="00D53D10" w:rsidP="00BC7DF6">
      <w:pPr>
        <w:pStyle w:val="STYTAB"/>
        <w:tabs>
          <w:tab w:val="left" w:pos="567"/>
        </w:tabs>
      </w:pPr>
    </w:p>
    <w:p w:rsidR="003C383B" w:rsidRPr="00D53D10" w:rsidP="00BC7DF6">
      <w:pPr>
        <w:pStyle w:val="STYTAB"/>
        <w:tabs>
          <w:tab w:val="left" w:pos="567"/>
        </w:tabs>
      </w:pPr>
    </w:p>
    <w:p w:rsidR="003C383B" w:rsidRPr="00BC7DF6" w:rsidP="00BC7DF6">
      <w:pPr>
        <w:pStyle w:val="VOTETITLE"/>
        <w:tabs>
          <w:tab w:val="left" w:pos="567"/>
        </w:tabs>
        <w:outlineLvl w:val="9"/>
      </w:pPr>
      <w:r w:rsidR="0088007E">
        <w:t>EU-strategi för flytande naturgas och lagring av gas</w:t>
      </w:r>
    </w:p>
    <w:p w:rsidR="003C383B" w:rsidP="00BC7DF6">
      <w:pPr>
        <w:pStyle w:val="VOTEREPORTTITLE"/>
        <w:tabs>
          <w:tab w:val="left" w:pos="567"/>
        </w:tabs>
      </w:pPr>
      <w:r w:rsidR="0088007E">
        <w:t>Betänkande: András Gyürk (A8-0278/2016)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BC7DF6"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88007E">
              <w:t>efter punkt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353, 340, 6</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557, 107, 28</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527, 137, 35</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364, 321, 12</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18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24</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507, 155, 33</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542, 101, 47</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5</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495, 160, 33</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25</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327, 358, 11</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29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629, 26, 43</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516, 142, 38</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528, 98, 70</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460, 198, 39</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560, 109, 23</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39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325, 369, 3</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40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578, 108, 11</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337, 321, 28</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46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560, 131, 4</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49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efter </w:t>
            </w:r>
            <w:r w:rsidR="0090597B">
              <w:t xml:space="preserve">punkt </w:t>
            </w:r>
            <w:r w:rsidR="0088007E">
              <w:t>49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326, 306, 63</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439, 199, 55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439, 184, 67</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57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59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61</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63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309, 358, 27</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70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354, 333, 5</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71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4D4507">
            <w:pPr>
              <w:pStyle w:val="VOTINGTABLECELLSIMPLEOBJECT"/>
              <w:tabs>
                <w:tab w:val="left" w:pos="567"/>
              </w:tabs>
            </w:pPr>
            <w:r w:rsidR="00E17248">
              <w:t xml:space="preserve">efter </w:t>
            </w:r>
            <w:r w:rsidR="004D4507">
              <w:t>skäl</w:t>
            </w:r>
            <w:r w:rsidR="0088007E">
              <w:t xml:space="preserve">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DA1025">
              <w:t xml:space="preserve">fler än </w:t>
            </w:r>
            <w:r w:rsidR="0088007E">
              <w:t>76 ledamöter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347, 331, 15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F</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BC7DF6" w:rsidP="00BC7DF6">
            <w:pPr>
              <w:pStyle w:val="VOTINGTABLECELLOBJECT"/>
              <w:tabs>
                <w:tab w:val="left" w:pos="567"/>
              </w:tabs>
            </w:pPr>
            <w:r w:rsidR="009073E5">
              <w:t>o</w:t>
            </w:r>
            <w:r w:rsidR="0088007E">
              <w:t>mröstning</w:t>
            </w:r>
            <w:r w:rsidR="009073E5">
              <w:t>:</w:t>
            </w:r>
            <w:r w:rsidR="0088007E">
              <w:t xml:space="preserve"> resolution (texten i sin</w:t>
            </w:r>
            <w:r w:rsidR="0088007E">
              <w:t xml:space="preserve">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415, 223, 55</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4D4507">
              <w:t xml:space="preserve">24 (tredje, fjärde och femte delen), </w:t>
            </w:r>
            <w:r w:rsidR="0088007E">
              <w:t>29, 54, 55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ECR:</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S&amp;D:</w:t>
            </w:r>
          </w:p>
        </w:tc>
        <w:tc>
          <w:tcPr>
            <w:tcW w:w="7495" w:type="dxa"/>
            <w:tcMar>
              <w:top w:w="0" w:type="dxa"/>
              <w:left w:w="0" w:type="dxa"/>
              <w:bottom w:w="0" w:type="dxa"/>
              <w:right w:w="0" w:type="dxa"/>
            </w:tcMar>
          </w:tcPr>
          <w:p w:rsidR="003C383B" w:rsidP="00D53D10">
            <w:pPr>
              <w:pStyle w:val="REMARKTABLECELLSIMPLE"/>
              <w:tabs>
                <w:tab w:val="left" w:pos="567"/>
              </w:tabs>
            </w:pPr>
            <w:r w:rsidR="0090597B">
              <w:t xml:space="preserve">punkt </w:t>
            </w:r>
            <w:r w:rsidR="0088007E">
              <w:t xml:space="preserve">11, </w:t>
            </w:r>
            <w:r w:rsidR="00D53D10">
              <w:t>ÄF</w:t>
            </w:r>
            <w:r w:rsidR="0088007E">
              <w:t xml:space="preserve"> 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ENF:</w:t>
            </w:r>
          </w:p>
        </w:tc>
        <w:tc>
          <w:tcPr>
            <w:tcW w:w="7495" w:type="dxa"/>
            <w:tcMar>
              <w:top w:w="0" w:type="dxa"/>
              <w:left w:w="0" w:type="dxa"/>
              <w:bottom w:w="0" w:type="dxa"/>
              <w:right w:w="0" w:type="dxa"/>
            </w:tcMar>
          </w:tcPr>
          <w:p w:rsidR="003C383B" w:rsidRPr="00D53D10" w:rsidP="00D53D10">
            <w:pPr>
              <w:pStyle w:val="REMARKTABLECELLSIMPLE"/>
              <w:tabs>
                <w:tab w:val="left" w:pos="567"/>
              </w:tabs>
            </w:pPr>
            <w:r w:rsidRPr="00D53D10" w:rsidR="0090597B">
              <w:t xml:space="preserve">punkterna </w:t>
            </w:r>
            <w:r w:rsidRPr="00D53D10" w:rsidR="0088007E">
              <w:t>3 (</w:t>
            </w:r>
            <w:r w:rsidRPr="00D53D10" w:rsidR="00D53D10">
              <w:t>andra delen</w:t>
            </w:r>
            <w:r w:rsidRPr="00D53D10" w:rsidR="0088007E">
              <w:t>), 10 (</w:t>
            </w:r>
            <w:r w:rsidRPr="00D53D10" w:rsidR="00D53D10">
              <w:t>andra delen</w:t>
            </w:r>
            <w:r w:rsidRPr="00D53D10" w:rsidR="0088007E">
              <w:t xml:space="preserve">), </w:t>
            </w:r>
            <w:r w:rsidR="004D4507">
              <w:t xml:space="preserve">24 (andra delen), </w:t>
            </w:r>
            <w:r w:rsidRPr="00D53D10" w:rsidR="0088007E">
              <w:t>31, 32 (</w:t>
            </w:r>
            <w:r w:rsidRPr="00D53D10" w:rsidR="00D53D10">
              <w:t>andra delen</w:t>
            </w:r>
            <w:r w:rsidRPr="00D53D10" w:rsidR="0088007E">
              <w:t>), 33, 40, 46 (</w:t>
            </w:r>
            <w:r w:rsidRPr="00D53D10" w:rsidR="00D53D10">
              <w:t>andra delen</w:t>
            </w:r>
            <w:r w:rsidRPr="00D53D10" w:rsidR="0088007E">
              <w:t>), 54, 55</w:t>
            </w:r>
          </w:p>
        </w:tc>
      </w:tr>
    </w:tbl>
    <w:p w:rsidR="003C383B" w:rsidRPr="00D53D10"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TITLE"/>
              <w:tabs>
                <w:tab w:val="left" w:pos="567"/>
              </w:tabs>
            </w:pPr>
            <w:r w:rsidR="0088007E">
              <w:t>Begäranden om särskild omröstning</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PPE:</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D53D10">
              <w:t>skälen</w:t>
            </w:r>
            <w:r w:rsidR="0088007E">
              <w:t xml:space="preserve"> E, F, H, </w:t>
            </w:r>
            <w:r w:rsidR="0090597B">
              <w:t xml:space="preserve">punkterna </w:t>
            </w:r>
            <w:r w:rsidR="0088007E">
              <w:t>27, 35, 49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EFDD:</w:t>
            </w:r>
          </w:p>
        </w:tc>
        <w:tc>
          <w:tcPr>
            <w:tcW w:w="7495" w:type="dxa"/>
            <w:tcMar>
              <w:top w:w="0" w:type="dxa"/>
              <w:left w:w="0" w:type="dxa"/>
              <w:bottom w:w="0" w:type="dxa"/>
              <w:right w:w="0" w:type="dxa"/>
            </w:tcMar>
          </w:tcPr>
          <w:p w:rsidR="003C383B" w:rsidP="00BC7DF6">
            <w:pPr>
              <w:pStyle w:val="REMARKTABLECELLSIMPLE"/>
              <w:tabs>
                <w:tab w:val="left" w:pos="567"/>
              </w:tabs>
            </w:pPr>
            <w:r w:rsidR="0090597B">
              <w:t xml:space="preserve">punkterna </w:t>
            </w:r>
            <w:r w:rsidR="0088007E">
              <w:t>51, 53, 63, 70, 71</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BC7DF6"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63CAD" w:rsidP="00BC7DF6">
            <w:pPr>
              <w:pStyle w:val="REMARKTABLECELLSIMPLE"/>
              <w:tabs>
                <w:tab w:val="left" w:pos="567"/>
              </w:tabs>
            </w:pPr>
            <w:r w:rsidRPr="00B63CAD" w:rsidR="0088007E">
              <w:t xml:space="preserve">Hela texten </w:t>
            </w:r>
            <w:r w:rsidR="004A36F4">
              <w:t xml:space="preserve">utom orden </w:t>
            </w:r>
            <w:r w:rsidRPr="00B63CAD" w:rsidR="0088007E">
              <w:t>"</w:t>
            </w:r>
            <w:r w:rsidRPr="00D97E1B" w:rsidR="00B63CAD">
              <w:t>utfasning av fossila bränslen, långsiktig hållbarhet för ekonomin</w:t>
            </w:r>
            <w:r w:rsidRPr="00B63CAD"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63CAD" w:rsidP="00BC7DF6">
            <w:pPr>
              <w:pStyle w:val="REMARKTABLECELLSIMPLE"/>
              <w:tabs>
                <w:tab w:val="left" w:pos="567"/>
              </w:tabs>
            </w:pPr>
            <w:r w:rsidRPr="00B63CAD" w:rsidR="0088007E">
              <w:t>"</w:t>
            </w:r>
            <w:r w:rsidRPr="00B436F0" w:rsidR="00B63CAD">
              <w:t>Europaparlamentet betonar att strategin också bör inbegripa användningen av LNG som ett alternativ till utveckling av infrastruktur för överföring och distribution av gas i områden där detta för närvarande inte är kostnadseffektivt.</w:t>
            </w:r>
            <w:r w:rsidRPr="00B63CAD"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B63CAD" w:rsidP="00BC7DF6">
            <w:pPr>
              <w:pStyle w:val="REMARKTABLECELLSIMPLE"/>
              <w:tabs>
                <w:tab w:val="left" w:pos="567"/>
              </w:tabs>
            </w:pPr>
            <w:r w:rsidRPr="00B63CAD" w:rsidR="0088007E">
              <w:t>"</w:t>
            </w:r>
            <w:r w:rsidRPr="00B436F0" w:rsidR="00B63CAD">
              <w:t>Små LNG-installationer kan utgöra den optimala infrastrukturen för att öka användningen av naturgas i områden där investeringar i gasinfrastruktur är olönsamma, inklusive för att öka användningen av gas för att alstra värme och därmed bromsa utsläppen från hushållssektorn och transportsektorn.</w:t>
            </w:r>
            <w:r w:rsidRPr="00B63CAD"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B63CAD"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CB19DC" w:rsidP="00BC7DF6">
            <w:pPr>
              <w:pStyle w:val="REMARKTABLECELLSIMPLE"/>
              <w:tabs>
                <w:tab w:val="left" w:pos="567"/>
              </w:tabs>
            </w:pPr>
            <w:r w:rsidRPr="00CB19DC" w:rsidR="0088007E">
              <w:t>"</w:t>
            </w:r>
            <w:r w:rsidRPr="009103E3" w:rsidR="00CB19DC">
              <w:t>Europaparlamentet konstaterar att en av huvudprinciperna vid arbetet med att nå fram till optimala lösningar på EU-nivå och regional nivå bör vara kostnadseffektivitet och ekologisk hållbarhet,</w:t>
            </w:r>
            <w:r w:rsidRPr="00CB19DC"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CB19DC" w:rsidP="00CB19DC">
            <w:pPr>
              <w:pStyle w:val="REMARKTABLECELLSIMPLE"/>
              <w:tabs>
                <w:tab w:val="left" w:pos="567"/>
              </w:tabs>
            </w:pPr>
            <w:r w:rsidRPr="00CB19DC" w:rsidR="0088007E">
              <w:t>"</w:t>
            </w:r>
            <w:r w:rsidRPr="009103E3" w:rsidR="00CB19DC">
              <w:t>och uppmanar kommissionen, medlemsstaterna och de nationella tillsynsmyndigheterna att anslå de begränsade resurser som står till buds till utvecklingen av kritisk infrastruktur, för att locka privata investerare för infrastruktur- och sammanlänkningsprojekt för LNG.</w:t>
            </w:r>
            <w:r w:rsidRPr="00CB19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CB19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57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BC7DF6">
            <w:pPr>
              <w:pStyle w:val="REMARKTABLECELLSIMPLE"/>
              <w:tabs>
                <w:tab w:val="left" w:pos="567"/>
              </w:tabs>
            </w:pPr>
            <w:r w:rsidRPr="00CB19DC" w:rsidR="0088007E">
              <w:t>"</w:t>
            </w:r>
            <w:r w:rsidRPr="009103E3" w:rsidR="00CB19DC">
              <w:t>Europaparlamentet betonar behovet av att säkerställa högsta möjliga miljöstandarder vid planeringen, anläggandet och användningen av LNG samt vid exploateringen av inhemska reserver och källor, och att respektera internationella arbetsnormer om arbetsmiljö. Parlamentet betonar behovet av att öka medvetenheten om de konsekvenser som importerad LNG medför för miljö, klimat och samhälle. Parlamentet upprepar att lokalsamhällena måste involveras och att man måste utgå från realistiska bedömningar om förbrukning och, i händelse av anläggande, om planering av ny infrastruktur. Parlamentet understryker de möjligheter som en övergång till LNG kan erbjuda för att få slut på sjöfartens beroende av kol.</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CB19DC" w:rsidP="00BC7DF6">
            <w:pPr>
              <w:pStyle w:val="REMARKTABLECELLSIMPLE"/>
              <w:tabs>
                <w:tab w:val="left" w:pos="567"/>
              </w:tabs>
            </w:pPr>
            <w:r w:rsidRPr="00CB19DC" w:rsidR="0088007E">
              <w:t>"</w:t>
            </w:r>
            <w:r w:rsidRPr="009103E3" w:rsidR="00CB19DC">
              <w:t>Parlamentet uppmanar EU att ställa medel till förfogande för att stödja EU-projekt för detta ändamål.</w:t>
            </w:r>
            <w:r w:rsidRPr="00CB19DC"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CB19DC"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59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CB19DC">
            <w:pPr>
              <w:pStyle w:val="REMARKTABLECELLSIMPLE"/>
              <w:tabs>
                <w:tab w:val="left" w:pos="567"/>
              </w:tabs>
            </w:pPr>
            <w:r w:rsidR="00CB19DC">
              <w:t>Hela texten utom ordet</w:t>
            </w:r>
            <w:r w:rsidR="0088007E">
              <w:t>: "</w:t>
            </w:r>
            <w:r w:rsidR="00CB19DC">
              <w:t>koldioxid</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CB19DC">
              <w:t>detta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9073E5" w:rsidP="00BC7DF6">
            <w:pPr>
              <w:pStyle w:val="REMARKTABLECELLSIMPLE"/>
              <w:tabs>
                <w:tab w:val="left" w:pos="567"/>
              </w:tabs>
            </w:pPr>
            <w:r w:rsidRPr="009073E5" w:rsidR="0088007E">
              <w:t xml:space="preserve">Hela texten </w:t>
            </w:r>
            <w:r w:rsidRPr="009073E5" w:rsidR="004A36F4">
              <w:t xml:space="preserve">utom orden </w:t>
            </w:r>
            <w:r w:rsidRPr="009073E5" w:rsidR="009073E5">
              <w:t>"att direktiv 2014/94/EU om utbyggnad av infrastrukturen för alternativa bränslen genomförs fullt ut, bland annat genom att man inrättar LNG-tankställen längs TEN-T-korridorerna och vid kust- och inlandshamnar, så att mera förorenande konventionella bränslen ska kunna ersättas. Parlamentet understryker dock här,</w:t>
            </w:r>
            <w:r w:rsidRPr="009073E5"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30C9D"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61</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A30C9D" w:rsidP="00BC7DF6">
            <w:pPr>
              <w:pStyle w:val="REMARKTABLECELLSIMPLE"/>
              <w:tabs>
                <w:tab w:val="left" w:pos="567"/>
              </w:tabs>
            </w:pPr>
            <w:r w:rsidRPr="00A30C9D" w:rsidR="0088007E">
              <w:t>"</w:t>
            </w:r>
            <w:r w:rsidRPr="009103E3" w:rsidR="00A30C9D">
              <w:t>Europaparlamentet uppmanar till utveckling av sjöleder, framför allt kring ögruppen Azorerna, som tack vare sin geografiska belägenhet skulle kunna bli en viktig LNG</w:t>
            </w:r>
            <w:r w:rsidRPr="009103E3" w:rsidR="00A30C9D">
              <w:noBreakHyphen/>
              <w:t>bunkringsstation för fartyg i Atlanttrafik.</w:t>
            </w:r>
            <w:r w:rsidRPr="00A30C9D"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A30C9D" w:rsidP="00BC7DF6">
            <w:pPr>
              <w:pStyle w:val="REMARKTABLECELLSIMPLE"/>
              <w:tabs>
                <w:tab w:val="left" w:pos="567"/>
              </w:tabs>
            </w:pPr>
            <w:r w:rsidRPr="00A30C9D" w:rsidR="0088007E">
              <w:t>"</w:t>
            </w:r>
            <w:r w:rsidRPr="009103E3" w:rsidR="00A30C9D">
              <w:t>Parlamentet uppmanar med kraft kommissionen att anslå medel till stöd för EU-projekt för detta ändamål.</w:t>
            </w:r>
            <w:r w:rsidRPr="00A30C9D"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A30C9D" w:rsidRPr="00A30C9D"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68</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A30C9D" w:rsidP="00BC7DF6">
            <w:pPr>
              <w:pStyle w:val="REMARKTABLECELLSIMPLE"/>
              <w:tabs>
                <w:tab w:val="left" w:pos="567"/>
              </w:tabs>
            </w:pPr>
            <w:r w:rsidR="00491C9F">
              <w:t>Hela texten utom orden</w:t>
            </w:r>
            <w:r w:rsidRPr="00A30C9D" w:rsidR="0088007E">
              <w:t xml:space="preserve"> "</w:t>
            </w:r>
            <w:r w:rsidRPr="009103E3" w:rsidR="00A30C9D">
              <w:t>inte bara skulle kunna bidra till de klimatpolitiska målen, utan också</w:t>
            </w:r>
            <w:r w:rsidRPr="00A30C9D"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S&amp;D: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91C9F" w:rsidP="00BC7DF6">
            <w:pPr>
              <w:pStyle w:val="REMARKTABLECELLSIMPLE"/>
              <w:tabs>
                <w:tab w:val="left" w:pos="567"/>
              </w:tabs>
            </w:pPr>
            <w:r w:rsidRPr="00491C9F" w:rsidR="00491C9F">
              <w:t>Hela texten utom orden</w:t>
            </w:r>
            <w:r w:rsidRPr="00491C9F" w:rsidR="0088007E">
              <w:t xml:space="preserve"> "</w:t>
            </w:r>
            <w:r w:rsidRPr="00FF7D5C" w:rsidR="00491C9F">
              <w:t>att ge prioritet åt</w:t>
            </w:r>
            <w:r w:rsidRPr="00491C9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91C9F" w:rsidP="004D4507">
            <w:pPr>
              <w:pStyle w:val="REMARKTABLECELLSIMPLE"/>
              <w:tabs>
                <w:tab w:val="left" w:pos="567"/>
              </w:tabs>
            </w:pPr>
            <w:r w:rsidRPr="00491C9F" w:rsidR="0088007E">
              <w:t>Hela texten utom orden "</w:t>
            </w:r>
            <w:r w:rsidRPr="009103E3" w:rsidR="00491C9F">
              <w:t>Parlamentet betonar att detta inte bör bli till en ytterligare börda för industrin</w:t>
            </w:r>
            <w:r w:rsidRPr="00491C9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BC7DF6" w:rsidP="004D4507">
            <w:pPr>
              <w:pStyle w:val="REMARKTABLECELLSIMPLE"/>
              <w:tabs>
                <w:tab w:val="left" w:pos="567"/>
              </w:tabs>
            </w:pPr>
            <w:r w:rsidR="004D4507">
              <w:t>Hela texten utom ordet</w:t>
            </w:r>
            <w:r w:rsidR="0088007E">
              <w:t xml:space="preserve"> "</w:t>
            </w:r>
            <w:r w:rsidR="00491C9F">
              <w:t>fortlöpande</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4D4507">
            <w:pPr>
              <w:pStyle w:val="REMARKTABLECELLSIMPLE"/>
              <w:tabs>
                <w:tab w:val="left" w:pos="567"/>
              </w:tabs>
            </w:pPr>
            <w:r w:rsidR="0088007E">
              <w:t>de</w:t>
            </w:r>
            <w:r w:rsidR="004D4507">
              <w:t>tt</w:t>
            </w:r>
            <w:r w:rsidR="0088007E">
              <w:t>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EFDD: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25</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91C9F" w:rsidP="00BC7DF6">
            <w:pPr>
              <w:pStyle w:val="REMARKTABLECELLSIMPLE"/>
              <w:tabs>
                <w:tab w:val="left" w:pos="567"/>
              </w:tabs>
            </w:pPr>
            <w:r w:rsidR="00491C9F">
              <w:t>Hela texten utom orden</w:t>
            </w:r>
            <w:r w:rsidRPr="00491C9F" w:rsidR="0088007E">
              <w:t xml:space="preserve"> "</w:t>
            </w:r>
            <w:r w:rsidRPr="0040400E" w:rsidR="00491C9F">
              <w:t>Parlamentet anser att regional samordning på frivillig basis av det är slaget är högeffektiv, och välkomnar den underlättande roll som kommissionen har spelat med tanke på dessa arrangemang</w:t>
            </w:r>
            <w:r w:rsidRPr="00491C9F"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ENF:</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9E7DFB" w:rsidP="00BC7DF6">
            <w:pPr>
              <w:pStyle w:val="REMARKTABLECELLSIMPLE"/>
              <w:tabs>
                <w:tab w:val="left" w:pos="567"/>
              </w:tabs>
            </w:pPr>
            <w:r w:rsidRPr="009E7DFB" w:rsidR="009E7DFB">
              <w:t>Hela texten utom orden</w:t>
            </w:r>
            <w:r w:rsidRPr="009E7DFB" w:rsidR="0088007E">
              <w:t xml:space="preserve"> "</w:t>
            </w:r>
            <w:r w:rsidR="002754BF">
              <w:t xml:space="preserve">bättre </w:t>
            </w:r>
            <w:r w:rsidRPr="002D1861" w:rsidR="009E7DFB">
              <w:t>samordning av den nationella energipolitiken, inrättande av en verklig energiunion med en gemensam energimarknad och en gemensam energipolitik, samt genom</w:t>
            </w:r>
            <w:r w:rsidRPr="009E7DFB" w:rsidR="009E7DFB">
              <w:t>"</w:t>
            </w:r>
            <w:r w:rsidR="004A36F4">
              <w:t xml:space="preserve"> </w:t>
            </w:r>
            <w:r w:rsidRPr="002D1861" w:rsidR="009E7DFB">
              <w:t xml:space="preserve">och </w:t>
            </w:r>
            <w:r w:rsidRPr="009E7DFB" w:rsidR="009E7DFB">
              <w:t>"</w:t>
            </w:r>
            <w:r w:rsidRPr="0040400E" w:rsidR="009E7DFB">
              <w:t>Parlamentet anser i detta sammanhang att ytterligare integration av energipolitiken bör komma medlemsstaterna till nytta, vara i linje med EU:s mål och internationella skyldigheter samt med de fastställda målen, och inte bör stå i konflikt med medlemsstaternas eller deras medborgares intressen. Parlamentet stöder arbetet med att utforma en gemensam ståndpunkt för EU i multilaterala energiinstitutioner och ramverk för energi</w:t>
            </w:r>
            <w:r w:rsidRPr="009E7DFB"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10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9E7DFB" w:rsidP="00BC7DF6">
            <w:pPr>
              <w:pStyle w:val="REMARKTABLECELLSIMPLE"/>
              <w:tabs>
                <w:tab w:val="left" w:pos="567"/>
              </w:tabs>
            </w:pPr>
            <w:r w:rsidRPr="009E7DFB" w:rsidR="0088007E">
              <w:t>"</w:t>
            </w:r>
            <w:r w:rsidRPr="0040400E" w:rsidR="009E7DFB">
              <w:t>Europaparlamentet betonar behovet av att göra EU:s gassystem mer diversifierat och flexibelt,</w:t>
            </w:r>
            <w:r w:rsidRPr="009E7DFB"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9E7DFB" w:rsidP="00BC7DF6">
            <w:pPr>
              <w:pStyle w:val="REMARKTABLECELLSIMPLE"/>
              <w:tabs>
                <w:tab w:val="left" w:pos="567"/>
              </w:tabs>
            </w:pPr>
            <w:r w:rsidR="009E7DFB">
              <w:t>"</w:t>
            </w:r>
            <w:r w:rsidRPr="0040400E" w:rsidR="009E7DFB">
              <w:t>och därmed bidra till energiunionens mål att skapa en trygg, motståndskraftig och konkurrenskraftig gasförsörjning. Parlamentet uppmanar kommissionen att ta fram en strategi för att minska EU:s gasberoende på lång sikt, av vilken ska framgå att kommissionen föresatt sig att fram till 2050 minska växthusgasutsläppen med 80–95 % jämfört med deras nivåer 1990.</w:t>
            </w:r>
            <w:r w:rsidRPr="009E7DFB"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RPr="009E7DFB" w:rsidP="009E7DFB">
            <w:pPr>
              <w:pStyle w:val="REMARKTABLECELLSIMPLE"/>
              <w:tabs>
                <w:tab w:val="left" w:pos="567"/>
              </w:tabs>
            </w:pPr>
            <w:r w:rsidRPr="009E7DFB" w:rsidR="0088007E">
              <w:t>"</w:t>
            </w:r>
            <w:r w:rsidRPr="0040400E" w:rsidR="009E7DFB">
              <w:t>Parlamentet betonar här att om energieffektiviteten behandlades som en ”första princip</w:t>
            </w:r>
            <w:r w:rsidRPr="004A36F4" w:rsidR="004A36F4">
              <w:t>"</w:t>
            </w:r>
            <w:r w:rsidRPr="0040400E" w:rsidR="009E7DFB">
              <w:t xml:space="preserve"> och subventionerna till fossila bränslen successivt utfasades skulle detta avsevärt minska EU:s beroende av importerade fossila bränslen.</w:t>
            </w:r>
            <w:r w:rsidRPr="009E7DFB"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9E7DFB"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30</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1E7247" w:rsidP="00BC7DF6">
            <w:pPr>
              <w:pStyle w:val="REMARKTABLECELLSIMPLE"/>
              <w:tabs>
                <w:tab w:val="left" w:pos="567"/>
              </w:tabs>
            </w:pPr>
            <w:r w:rsidRPr="001E7247" w:rsidR="0088007E">
              <w:t>"</w:t>
            </w:r>
            <w:r w:rsidRPr="0040400E" w:rsidR="001E7247">
              <w:t>Europaparlamentet uttrycker oro över att gasimporten från Ryssland var 7 % högre 2015 än 2014 och att 41 % av gasimporten 2015 från länder utanför EU kom från Ryssland.</w:t>
            </w:r>
            <w:r w:rsidRPr="001E7247"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417601" w:rsidP="001E7247">
            <w:pPr>
              <w:pStyle w:val="REMARKTABLECELLSIMPLE"/>
              <w:tabs>
                <w:tab w:val="left" w:pos="567"/>
              </w:tabs>
            </w:pPr>
            <w:r w:rsidRPr="00417601" w:rsidR="0088007E">
              <w:t>"</w:t>
            </w:r>
            <w:r w:rsidRPr="0040400E" w:rsidR="00417601">
              <w:t>Parlamentet framhåller den viktiga roll som LNG och lagring av gas har, vid sidan av ökad effektivitet och spridning av förnybar energi, för att minska beroendet av rysk gas.</w:t>
            </w:r>
            <w:r w:rsidRPr="00417601" w:rsidR="0088007E">
              <w:t xml:space="preserve">" </w:t>
            </w:r>
            <w:r w:rsidRPr="00417601" w:rsidR="001E7247">
              <w:t>utom orden</w:t>
            </w:r>
            <w:r w:rsidRPr="00417601" w:rsidR="0088007E">
              <w:t xml:space="preserve"> </w:t>
            </w:r>
            <w:r w:rsidRPr="00417601" w:rsidR="001E7247">
              <w:t>"</w:t>
            </w:r>
            <w:r w:rsidR="00417601">
              <w:t>viktiga</w:t>
            </w:r>
            <w:r w:rsidRPr="00417601" w:rsidR="0088007E">
              <w:t xml:space="preserve">" </w:t>
            </w:r>
            <w:r w:rsidRPr="00417601" w:rsidR="001E7247">
              <w:t>och</w:t>
            </w:r>
            <w:r w:rsidRPr="00417601" w:rsidR="0088007E">
              <w:t xml:space="preserve"> "</w:t>
            </w:r>
            <w:r w:rsidRPr="0040400E" w:rsidR="00417601">
              <w:t>för att minska beroendet av rysk gas</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32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17601" w:rsidP="00BC7DF6">
            <w:pPr>
              <w:pStyle w:val="REMARKTABLECELLSIMPLE"/>
              <w:tabs>
                <w:tab w:val="left" w:pos="567"/>
              </w:tabs>
            </w:pPr>
            <w:r w:rsidRPr="00417601" w:rsidR="0088007E">
              <w:t xml:space="preserve">Hela texten </w:t>
            </w:r>
            <w:r w:rsidR="004A36F4">
              <w:t xml:space="preserve">utom orden </w:t>
            </w:r>
            <w:r w:rsidRPr="00417601" w:rsidR="0088007E">
              <w:t>"</w:t>
            </w:r>
            <w:r w:rsidRPr="002D1861" w:rsidR="00417601">
              <w:t>vilket strider mot Europas intressen</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46</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17601" w:rsidP="00BC7DF6">
            <w:pPr>
              <w:pStyle w:val="REMARKTABLECELLSIMPLE"/>
              <w:tabs>
                <w:tab w:val="left" w:pos="567"/>
              </w:tabs>
            </w:pPr>
            <w:r w:rsidRPr="00417601" w:rsidR="0088007E">
              <w:t xml:space="preserve">Hela texten </w:t>
            </w:r>
            <w:r w:rsidR="004A36F4">
              <w:t xml:space="preserve">utom orden </w:t>
            </w:r>
            <w:r w:rsidRPr="00417601" w:rsidR="0088007E">
              <w:t>"</w:t>
            </w:r>
            <w:r w:rsidRPr="002D1861" w:rsidR="00417601">
              <w:t>kommissionen, Europeiska utrikestjänsten och</w:t>
            </w:r>
            <w:r w:rsidRPr="00417601" w:rsidR="00417601">
              <w:t>"</w:t>
            </w:r>
            <w:r w:rsidRPr="002D1861" w:rsidR="00417601">
              <w:t xml:space="preserve"> och </w:t>
            </w:r>
            <w:r w:rsidRPr="00417601" w:rsidR="00417601">
              <w:t>"</w:t>
            </w:r>
            <w:r w:rsidRPr="002D1861" w:rsidR="00417601">
              <w:t>för att</w:t>
            </w:r>
            <w:r w:rsidRPr="0040400E" w:rsidR="00417601">
              <w:t xml:space="preserve"> främja en global gasmarknad som bygger på regler, är öppen för insyn och fungerar bra</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E02B77"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 ENF:</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24</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9073E5" w:rsidP="00BC7DF6">
            <w:pPr>
              <w:pStyle w:val="REMARKTABLECELLSIMPLE"/>
              <w:tabs>
                <w:tab w:val="left" w:pos="567"/>
              </w:tabs>
              <w:rPr>
                <w:highlight w:val="yellow"/>
              </w:rPr>
            </w:pPr>
            <w:r w:rsidRPr="009073E5" w:rsidR="0088007E">
              <w:t>"</w:t>
            </w:r>
            <w:r w:rsidRPr="0040400E" w:rsidR="009073E5">
              <w:t>Europaparlamentet framhåller att Ukrainas lagringskapacitet inte kommer att kunna utnyttjas i större utsträckning annat än om där garanteras en lämplig och stabil kommersiell och rättslig ram, tillsammans med integritet för försörjningsinfrastrukturen, och förutsatt att där finns en lämplig nivå av gassammanlänkningar för att energin ska kunna flöda fritt över gränserna utan fysiska hinder. Parlamentet understryker dessutom att</w:t>
            </w:r>
            <w:r w:rsidRPr="009073E5" w:rsidR="0088007E">
              <w:t>"</w:t>
            </w:r>
            <w:r w:rsidRPr="009073E5" w:rsidR="009073E5">
              <w:t xml:space="preserve"> och "</w:t>
            </w:r>
            <w:r w:rsidRPr="0040400E" w:rsidR="009073E5">
              <w:t>medan Ukrainas gasberoende industrisektor återhämtar sig på kort sikt</w:t>
            </w:r>
            <w:r w:rsidRPr="009073E5" w:rsidR="009073E5">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9073E5" w:rsidP="00BC7DF6">
            <w:pPr>
              <w:pStyle w:val="REMARKTABLECELLSIMPLE"/>
              <w:tabs>
                <w:tab w:val="left" w:pos="567"/>
              </w:tabs>
              <w:rPr>
                <w:highlight w:val="yellow"/>
              </w:rPr>
            </w:pPr>
            <w:r w:rsidRPr="009073E5" w:rsidR="0088007E">
              <w:t>"</w:t>
            </w:r>
            <w:r w:rsidRPr="0040400E" w:rsidR="009073E5">
              <w:t>mer gas kommer att behöva importeras</w:t>
            </w:r>
            <w:r w:rsidRPr="009073E5"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P="00BC7DF6">
            <w:pPr>
              <w:pStyle w:val="REMARKTABLECELLSIMPLE"/>
              <w:tabs>
                <w:tab w:val="left" w:pos="567"/>
              </w:tabs>
            </w:pPr>
            <w:r w:rsidR="0088007E">
              <w:t>"</w:t>
            </w:r>
            <w:r w:rsidRPr="0040400E" w:rsidR="00417601">
              <w:t>Parlamentet anser att</w:t>
            </w:r>
            <w:r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Fjärde delen</w:t>
            </w:r>
          </w:p>
        </w:tc>
        <w:tc>
          <w:tcPr>
            <w:tcW w:w="7495" w:type="dxa"/>
            <w:tcMar>
              <w:top w:w="0" w:type="dxa"/>
              <w:left w:w="0" w:type="dxa"/>
              <w:bottom w:w="0" w:type="dxa"/>
              <w:right w:w="0" w:type="dxa"/>
            </w:tcMar>
          </w:tcPr>
          <w:p w:rsidR="003C383B" w:rsidRPr="00417601" w:rsidP="00417601">
            <w:pPr>
              <w:pStyle w:val="REMARKTABLECELLSIMPLE"/>
              <w:tabs>
                <w:tab w:val="left" w:pos="567"/>
              </w:tabs>
            </w:pPr>
            <w:r w:rsidRPr="00417601" w:rsidR="0088007E">
              <w:t>"</w:t>
            </w:r>
            <w:r w:rsidRPr="0040400E" w:rsidR="00417601">
              <w:t>EU bör stödja Ukraina med att gå över från att vara beroende av rysk naturgas</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5ème partie</w:t>
            </w:r>
          </w:p>
        </w:tc>
        <w:tc>
          <w:tcPr>
            <w:tcW w:w="7495" w:type="dxa"/>
            <w:tcMar>
              <w:top w:w="0" w:type="dxa"/>
              <w:left w:w="0" w:type="dxa"/>
              <w:bottom w:w="0" w:type="dxa"/>
              <w:right w:w="0" w:type="dxa"/>
            </w:tcMar>
          </w:tcPr>
          <w:p w:rsidR="003C383B" w:rsidP="00417601">
            <w:pPr>
              <w:pStyle w:val="REMARKTABLECELLSIMPLE"/>
              <w:tabs>
                <w:tab w:val="left" w:pos="567"/>
              </w:tabs>
            </w:pPr>
            <w:r w:rsidR="0088007E">
              <w:t>"</w:t>
            </w:r>
            <w:r w:rsidRPr="0040400E" w:rsidR="00417601">
              <w:t>till att använda LNG</w:t>
            </w:r>
            <w:r w:rsidR="00417601">
              <w:t>.</w:t>
            </w:r>
            <w:r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417601" w:rsidRPr="00E02B77" w:rsidP="009073E5">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Verts/ALE, S&amp;D:</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66</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17601" w:rsidP="00BC7DF6">
            <w:pPr>
              <w:pStyle w:val="REMARKTABLECELLSIMPLE"/>
              <w:tabs>
                <w:tab w:val="left" w:pos="567"/>
              </w:tabs>
            </w:pPr>
            <w:r w:rsidRPr="00417601" w:rsidR="0088007E">
              <w:t>"</w:t>
            </w:r>
            <w:r w:rsidRPr="0040400E" w:rsidR="00417601">
              <w:t>Europaparlamentet uppmanar kommissionen och medlemsstaterna att skapa incitament till frakt av LNG på järnväg, eftersom detta dels avlastar vägtrafiken, och dels bidrar till miljövänlig och säker transport av ett bränsle</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417601" w:rsidP="00BC7DF6">
            <w:pPr>
              <w:pStyle w:val="REMARKTABLECELLSIMPLE"/>
              <w:tabs>
                <w:tab w:val="left" w:pos="567"/>
              </w:tabs>
            </w:pPr>
            <w:r w:rsidRPr="00417601" w:rsidR="0088007E">
              <w:t>"</w:t>
            </w:r>
            <w:r w:rsidRPr="0040400E" w:rsidR="00417601">
              <w:t xml:space="preserve">som är </w:t>
            </w:r>
            <w:r w:rsidRPr="002D1861" w:rsidR="00417601">
              <w:t>hållbart och</w:t>
            </w:r>
            <w:r w:rsidRPr="0040400E" w:rsidR="00417601">
              <w:t xml:space="preserve"> lågförorenande.</w:t>
            </w:r>
            <w:r w:rsidRPr="004A36F4" w:rsidR="004A36F4">
              <w:t xml:space="preserve"> </w:t>
            </w:r>
            <w:r w:rsidRPr="00C02421" w:rsidR="004A36F4">
              <w:rPr>
                <w:lang w:val="fr-FR"/>
              </w:rPr>
              <w:t>"</w:t>
            </w:r>
            <w:r w:rsidRPr="002D1861" w:rsidR="00417601">
              <w:t xml:space="preserve"> </w:t>
            </w:r>
            <w:r w:rsidR="00417601">
              <w:t>utom orden</w:t>
            </w:r>
            <w:r w:rsidRPr="002D1861" w:rsidR="00417601">
              <w:t xml:space="preserve"> "hållbart och</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Tredje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bl>
    <w:p w:rsidR="003C383B" w:rsidP="00BC7DF6">
      <w:pPr>
        <w:pStyle w:val="STYTAB"/>
        <w:tabs>
          <w:tab w:val="left" w:pos="567"/>
        </w:tabs>
      </w:pPr>
    </w:p>
    <w:p w:rsidR="003C383B" w:rsidP="00BC7DF6">
      <w:pPr>
        <w:pStyle w:val="STYTAB"/>
        <w:tabs>
          <w:tab w:val="left" w:pos="567"/>
        </w:tabs>
      </w:pPr>
    </w:p>
    <w:p w:rsidR="003C383B" w:rsidRPr="00BC7DF6" w:rsidP="00BC7DF6">
      <w:pPr>
        <w:pStyle w:val="VOTETITLE"/>
        <w:tabs>
          <w:tab w:val="left" w:pos="567"/>
        </w:tabs>
        <w:outlineLvl w:val="9"/>
      </w:pPr>
      <w:r w:rsidR="0088007E">
        <w:t>Hur fiskerikontrollerna i Europa kan göras enhetliga</w:t>
      </w:r>
    </w:p>
    <w:p w:rsidR="003C383B" w:rsidP="00BC7DF6">
      <w:pPr>
        <w:pStyle w:val="VOTEREPORTTITLE"/>
        <w:tabs>
          <w:tab w:val="left" w:pos="567"/>
        </w:tabs>
      </w:pPr>
      <w:r w:rsidR="0088007E">
        <w:t>Betänkande: Isabelle Thomas (A8-0234/2016)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A21648"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90597B">
              <w:t xml:space="preserve">punkt </w:t>
            </w:r>
            <w:r w:rsidR="0088007E">
              <w:t>69</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r w:rsidR="00DA1025">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513, 148, 27</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72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500, 133, 40</w:t>
            </w: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A21648" w:rsidP="00BC7DF6">
            <w:pPr>
              <w:pStyle w:val="VOTINGTABLECELLOBJECT"/>
              <w:tabs>
                <w:tab w:val="left" w:pos="567"/>
              </w:tabs>
            </w:pPr>
            <w:r w:rsidR="009073E5">
              <w:t>o</w:t>
            </w:r>
            <w:r w:rsidR="0088007E">
              <w:t>mröstning</w:t>
            </w:r>
            <w:r w:rsidR="009073E5">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581, 59, 48</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A21648"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ECR:</w:t>
            </w:r>
          </w:p>
        </w:tc>
        <w:tc>
          <w:tcPr>
            <w:tcW w:w="7495" w:type="dxa"/>
            <w:tcMar>
              <w:top w:w="0" w:type="dxa"/>
              <w:left w:w="0" w:type="dxa"/>
              <w:bottom w:w="0" w:type="dxa"/>
              <w:right w:w="0" w:type="dxa"/>
            </w:tcMar>
          </w:tcPr>
          <w:p w:rsidR="003C383B" w:rsidP="00417601">
            <w:pPr>
              <w:pStyle w:val="REMARKTABLECELLSIMPLE"/>
              <w:tabs>
                <w:tab w:val="left" w:pos="567"/>
              </w:tabs>
            </w:pPr>
            <w:r w:rsidR="0090597B">
              <w:t xml:space="preserve">punkterna </w:t>
            </w:r>
            <w:r w:rsidR="0088007E">
              <w:t>69 (</w:t>
            </w:r>
            <w:r w:rsidR="00417601">
              <w:t>andra delen</w:t>
            </w:r>
            <w:r w:rsidR="0088007E">
              <w:t>), 72</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A21648"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ECR:</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90597B">
              <w:t xml:space="preserve">punkt </w:t>
            </w:r>
            <w:r w:rsidR="0088007E">
              <w:t>69</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417601" w:rsidP="00417601">
            <w:pPr>
              <w:pStyle w:val="REMARKTABLECELLSIMPLE"/>
              <w:tabs>
                <w:tab w:val="left" w:pos="567"/>
              </w:tabs>
            </w:pPr>
            <w:r w:rsidRPr="00417601" w:rsidR="0088007E">
              <w:t>Hela texten utom orden "</w:t>
            </w:r>
            <w:r w:rsidRPr="00417601" w:rsidR="00417601">
              <w:rPr>
                <w:szCs w:val="22"/>
              </w:rPr>
              <w:t>och på strand- och fritidsfiske</w:t>
            </w:r>
            <w:r w:rsidRPr="00417601"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bl>
    <w:p w:rsidR="003C383B" w:rsidP="00BC7DF6">
      <w:pPr>
        <w:pStyle w:val="STYTAB"/>
        <w:tabs>
          <w:tab w:val="left" w:pos="567"/>
        </w:tabs>
      </w:pPr>
    </w:p>
    <w:p w:rsidR="003C383B" w:rsidP="00BC7DF6">
      <w:pPr>
        <w:pStyle w:val="STYTAB"/>
        <w:tabs>
          <w:tab w:val="left" w:pos="567"/>
        </w:tabs>
      </w:pPr>
    </w:p>
    <w:p w:rsidR="003C383B" w:rsidRPr="00A21648" w:rsidP="00BC7DF6">
      <w:pPr>
        <w:pStyle w:val="VOTETITLE"/>
        <w:tabs>
          <w:tab w:val="left" w:pos="567"/>
        </w:tabs>
        <w:outlineLvl w:val="9"/>
      </w:pPr>
      <w:r w:rsidR="0088007E">
        <w:t>Förbättring av transportinfrastrukturens anslutningar och tillgänglighet i Central- och Östeuropa</w:t>
      </w:r>
    </w:p>
    <w:p w:rsidR="003C383B" w:rsidRPr="00C02421" w:rsidP="00BC7DF6">
      <w:pPr>
        <w:pStyle w:val="VOTEREPORTTITLE"/>
        <w:tabs>
          <w:tab w:val="left" w:pos="567"/>
        </w:tabs>
        <w:rPr>
          <w:lang w:val="pl-PL"/>
        </w:rPr>
      </w:pPr>
      <w:r w:rsidRPr="00C02421" w:rsidR="0088007E">
        <w:rPr>
          <w:lang w:val="pl-PL"/>
        </w:rPr>
        <w:t>Betänkande: Tomasz Piotr Poręba (A8-0282/2016)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A21648"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129, 518, 41</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22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104, 545, 40</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481, 147, 65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568, 84, 40</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117, 539, 37</w:t>
            </w: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A21648" w:rsidP="00BC7DF6">
            <w:pPr>
              <w:pStyle w:val="VOTINGTABLECELLOBJECT"/>
              <w:tabs>
                <w:tab w:val="left" w:pos="567"/>
              </w:tabs>
            </w:pPr>
            <w:r w:rsidR="0088007E">
              <w:t>omröstning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532, 142, 16</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A21648"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ECR:</w:t>
            </w:r>
          </w:p>
        </w:tc>
        <w:tc>
          <w:tcPr>
            <w:tcW w:w="7495" w:type="dxa"/>
            <w:tcMar>
              <w:top w:w="0" w:type="dxa"/>
              <w:left w:w="0" w:type="dxa"/>
              <w:bottom w:w="0" w:type="dxa"/>
              <w:right w:w="0" w:type="dxa"/>
            </w:tcMar>
          </w:tcPr>
          <w:p w:rsidR="003C383B" w:rsidP="00BC7DF6">
            <w:pPr>
              <w:pStyle w:val="REMARKTABLECELLSIMPLE"/>
              <w:tabs>
                <w:tab w:val="left" w:pos="567"/>
              </w:tabs>
            </w:pPr>
            <w:r w:rsidR="00417601">
              <w:t>skäl</w:t>
            </w:r>
            <w:r w:rsidR="0088007E">
              <w:t xml:space="preserve"> G, </w:t>
            </w:r>
            <w:r w:rsidR="0090597B">
              <w:t xml:space="preserve">punkterna </w:t>
            </w:r>
            <w:r w:rsidR="0088007E">
              <w:t>2, 22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417601">
              <w:t xml:space="preserve">skäl </w:t>
            </w:r>
            <w:r w:rsidR="0088007E">
              <w:t xml:space="preserve">G, </w:t>
            </w:r>
            <w:r w:rsidR="0090597B">
              <w:t xml:space="preserve">punkterna </w:t>
            </w:r>
            <w:r w:rsidR="0088007E">
              <w:t>22, 34, 56</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TITLE"/>
              <w:tabs>
                <w:tab w:val="left" w:pos="567"/>
              </w:tabs>
            </w:pPr>
            <w:r w:rsidR="0088007E">
              <w:t>Begäranden om särskild omröstning</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S&amp;D, PPE:</w:t>
            </w:r>
          </w:p>
        </w:tc>
        <w:tc>
          <w:tcPr>
            <w:tcW w:w="7495" w:type="dxa"/>
            <w:tcMar>
              <w:top w:w="0" w:type="dxa"/>
              <w:left w:w="0" w:type="dxa"/>
              <w:bottom w:w="0" w:type="dxa"/>
              <w:right w:w="0" w:type="dxa"/>
            </w:tcMar>
          </w:tcPr>
          <w:p w:rsidR="003C383B" w:rsidP="00BC7DF6">
            <w:pPr>
              <w:pStyle w:val="REMARKTABLECELLSIMPLE"/>
              <w:tabs>
                <w:tab w:val="left" w:pos="567"/>
              </w:tabs>
            </w:pPr>
            <w:r w:rsidR="00417601">
              <w:t xml:space="preserve">skäl </w:t>
            </w:r>
            <w:r w:rsidR="0088007E">
              <w:t xml:space="preserve">G, </w:t>
            </w:r>
            <w:r w:rsidR="0090597B">
              <w:t xml:space="preserve">punkterna </w:t>
            </w:r>
            <w:r w:rsidR="0088007E">
              <w:t>2, 22</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Verts/ALE:</w:t>
            </w:r>
          </w:p>
        </w:tc>
        <w:tc>
          <w:tcPr>
            <w:tcW w:w="7495" w:type="dxa"/>
            <w:tcMar>
              <w:top w:w="0" w:type="dxa"/>
              <w:left w:w="0" w:type="dxa"/>
              <w:bottom w:w="0" w:type="dxa"/>
              <w:right w:w="0" w:type="dxa"/>
            </w:tcMar>
          </w:tcPr>
          <w:p w:rsidR="003C383B" w:rsidP="00BC7DF6">
            <w:pPr>
              <w:pStyle w:val="REMARKTABLECELLSIMPLE"/>
              <w:tabs>
                <w:tab w:val="left" w:pos="567"/>
              </w:tabs>
            </w:pPr>
            <w:r w:rsidR="00417601">
              <w:t xml:space="preserve">skäl </w:t>
            </w:r>
            <w:r w:rsidR="0088007E">
              <w:t xml:space="preserve">E, </w:t>
            </w:r>
            <w:r w:rsidR="0090597B">
              <w:t xml:space="preserve">punkterna </w:t>
            </w:r>
            <w:r w:rsidR="0088007E">
              <w:t>2, 32, 33</w:t>
            </w:r>
          </w:p>
        </w:tc>
      </w:tr>
    </w:tbl>
    <w:p w:rsidR="003C383B" w:rsidP="00BC7DF6">
      <w:pPr>
        <w:pStyle w:val="STYTAB"/>
        <w:tabs>
          <w:tab w:val="left" w:pos="567"/>
        </w:tabs>
      </w:pPr>
    </w:p>
    <w:p w:rsidR="003C383B" w:rsidP="00BC7DF6">
      <w:pPr>
        <w:pStyle w:val="STYTAB"/>
        <w:tabs>
          <w:tab w:val="left" w:pos="567"/>
        </w:tabs>
      </w:pPr>
    </w:p>
    <w:p w:rsidR="003C383B" w:rsidRPr="00A21648" w:rsidP="00BC7DF6">
      <w:pPr>
        <w:pStyle w:val="VOTETITLE"/>
        <w:tabs>
          <w:tab w:val="left" w:pos="567"/>
        </w:tabs>
        <w:outlineLvl w:val="9"/>
      </w:pPr>
      <w:r w:rsidR="0088007E">
        <w:t>EU-mekanism för demokrati, rättsstatlighet och grundläggande rättigheter</w:t>
      </w:r>
    </w:p>
    <w:p w:rsidR="003C383B" w:rsidP="00BC7DF6">
      <w:pPr>
        <w:pStyle w:val="VOTEREPORTTITLE"/>
        <w:tabs>
          <w:tab w:val="left" w:pos="567"/>
        </w:tabs>
      </w:pPr>
      <w:r w:rsidR="0088007E">
        <w:t>Betänkande: Sophia in 't Veld (A8-0283/2016)</w:t>
      </w:r>
    </w:p>
    <w:tbl>
      <w:tblPr>
        <w:tblStyle w:val="TableNormal"/>
        <w:tblW w:w="9071" w:type="dxa"/>
        <w:tblLayout w:type="fixed"/>
        <w:tblCellMar>
          <w:left w:w="10" w:type="dxa"/>
          <w:right w:w="10" w:type="dxa"/>
        </w:tblCellMar>
        <w:tblLook w:val="0000"/>
      </w:tblPr>
      <w:tblGrid>
        <w:gridCol w:w="2259"/>
        <w:gridCol w:w="908"/>
        <w:gridCol w:w="1516"/>
        <w:gridCol w:w="982"/>
        <w:gridCol w:w="1419"/>
        <w:gridCol w:w="1987"/>
      </w:tblGrid>
      <w:tr>
        <w:tblPrEx>
          <w:tblW w:w="9071" w:type="dxa"/>
          <w:tblLayout w:type="fixed"/>
          <w:tblCellMar>
            <w:left w:w="10" w:type="dxa"/>
            <w:right w:w="10" w:type="dxa"/>
          </w:tblCellMar>
          <w:tblLook w:val="0000"/>
        </w:tblPrEx>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Avser</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ÄF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Från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ONU osv.</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P="00BC7DF6">
            <w:pPr>
              <w:pStyle w:val="VOTINGTABLEHEADER"/>
              <w:tabs>
                <w:tab w:val="left" w:pos="567"/>
              </w:tabs>
            </w:pPr>
            <w:r w:rsidR="0088007E">
              <w:t>Omröstning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3C383B" w:rsidRPr="00A21648" w:rsidP="00BC7DF6">
            <w:pPr>
              <w:pStyle w:val="VOTINGTABLEHEADER"/>
              <w:tabs>
                <w:tab w:val="left" w:pos="567"/>
              </w:tabs>
            </w:pPr>
            <w:r w:rsidR="0088007E">
              <w:t>ONU/EO – anmärkningar</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120, 543, 29</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E17248">
              <w:t xml:space="preserve">efter </w:t>
            </w:r>
            <w:r w:rsidR="0090597B">
              <w:t xml:space="preserve">punkt </w:t>
            </w:r>
            <w:r w:rsidR="0088007E">
              <w:t>3</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506, 161, 22</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OBJECT"/>
              <w:tabs>
                <w:tab w:val="left" w:pos="567"/>
              </w:tabs>
            </w:pPr>
            <w:r w:rsidR="00E17248">
              <w:t xml:space="preserve">efter </w:t>
            </w:r>
            <w:r w:rsidR="0090597B">
              <w:t xml:space="preserve">punkt </w:t>
            </w:r>
            <w:r w:rsidR="0088007E">
              <w:t>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delad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90597B">
              <w:t xml:space="preserve">punkt </w:t>
            </w:r>
            <w:r w:rsidR="0088007E">
              <w:t>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518, 145, 25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3A05B9">
            <w:pPr>
              <w:pStyle w:val="VOTINGTABLECELLSIMPLEOBJECT"/>
              <w:tabs>
                <w:tab w:val="left" w:pos="567"/>
              </w:tabs>
            </w:pPr>
            <w:r w:rsidR="0090597B">
              <w:t xml:space="preserve">punkt </w:t>
            </w:r>
            <w:r w:rsidR="0088007E">
              <w:t xml:space="preserve">20, </w:t>
            </w:r>
            <w:r w:rsidR="003A05B9">
              <w:t>strecksats</w:t>
            </w:r>
            <w:r w:rsidR="0088007E">
              <w:t xml:space="preserve">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478, 192, 17</w:t>
            </w:r>
          </w:p>
        </w:tc>
      </w:tr>
      <w:tr>
        <w:tblPrEx>
          <w:tblW w:w="9071" w:type="dxa"/>
          <w:tblLayout w:type="fixed"/>
          <w:tblCellMar>
            <w:left w:w="10" w:type="dxa"/>
            <w:right w:w="10" w:type="dxa"/>
          </w:tblCellMar>
          <w:tblLook w:val="0000"/>
        </w:tblPrEx>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3A05B9">
            <w:pPr>
              <w:pStyle w:val="VOTINGTABLECELLSIMPLEOBJECT"/>
              <w:tabs>
                <w:tab w:val="left" w:pos="567"/>
              </w:tabs>
            </w:pPr>
            <w:r w:rsidR="0090597B">
              <w:t xml:space="preserve">punkt </w:t>
            </w:r>
            <w:r w:rsidR="0088007E">
              <w:t xml:space="preserve">20, </w:t>
            </w:r>
            <w:r w:rsidR="003A05B9">
              <w:t>strecksats</w:t>
            </w:r>
            <w:r w:rsidR="0088007E">
              <w:t xml:space="preserve">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2rev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9073E5">
              <w:t>EO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352, 287, 48</w:t>
            </w:r>
          </w:p>
        </w:tc>
      </w:tr>
      <w:tr>
        <w:tblPrEx>
          <w:tblW w:w="9071" w:type="dxa"/>
          <w:tblLayout w:type="fixed"/>
          <w:tblCellMar>
            <w:left w:w="10" w:type="dxa"/>
            <w:right w:w="10" w:type="dxa"/>
          </w:tblCellMar>
          <w:tblLook w:val="0000"/>
        </w:tblPrEx>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007E" w:rsidRPr="00E02B77" w:rsidP="00BC7DF6">
            <w:pPr>
              <w:tabs>
                <w:tab w:val="left" w:pos="567"/>
              </w:tabs>
            </w:pP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3A05B9">
            <w:pPr>
              <w:pStyle w:val="VOTINGTABLECELLSIMPLEOBJECT"/>
              <w:tabs>
                <w:tab w:val="left" w:pos="567"/>
              </w:tabs>
            </w:pPr>
            <w:r w:rsidR="0090597B">
              <w:t xml:space="preserve">punkt </w:t>
            </w:r>
            <w:r w:rsidR="0088007E">
              <w:t xml:space="preserve">20, </w:t>
            </w:r>
            <w:r w:rsidR="003A05B9">
              <w:t>strecksats</w:t>
            </w:r>
            <w:r w:rsidR="0088007E">
              <w:t xml:space="preserve">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480, 176, 29</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3A05B9">
            <w:pPr>
              <w:pStyle w:val="VOTINGTABLECELLSIMPLEOBJECT"/>
              <w:tabs>
                <w:tab w:val="left" w:pos="567"/>
              </w:tabs>
            </w:pPr>
            <w:r w:rsidR="0090597B">
              <w:t xml:space="preserve">punkt </w:t>
            </w:r>
            <w:r w:rsidR="0088007E">
              <w:t xml:space="preserve">20, </w:t>
            </w:r>
            <w:r w:rsidR="003A05B9">
              <w:t>efter strecksats</w:t>
            </w:r>
            <w:r w:rsidR="0088007E">
              <w:t xml:space="preserve">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FA49C1">
            <w:pPr>
              <w:pStyle w:val="VOTINGTABLECELLSIMPLEOBJECT"/>
              <w:tabs>
                <w:tab w:val="left" w:pos="567"/>
              </w:tabs>
            </w:pPr>
            <w:r w:rsidR="0090597B">
              <w:t xml:space="preserve">punkt </w:t>
            </w:r>
            <w:r w:rsidR="0088007E">
              <w:t xml:space="preserve">20, </w:t>
            </w:r>
            <w:r w:rsidR="003A05B9">
              <w:t>strecksats</w:t>
            </w:r>
            <w:r w:rsidR="0088007E">
              <w:t xml:space="preserve"> 6</w:t>
            </w:r>
            <w:r w:rsidR="00FA49C1">
              <w:t>–</w:t>
            </w:r>
            <w:r w:rsidR="0088007E">
              <w:t>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458, 205, 25</w:t>
            </w: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SIMPLEOBJECT"/>
              <w:tabs>
                <w:tab w:val="left" w:pos="567"/>
              </w:tabs>
            </w:pPr>
            <w:r w:rsidR="00E17248">
              <w:t xml:space="preserve">skäl </w:t>
            </w:r>
            <w:r w:rsidR="0088007E">
              <w:t>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7900F8">
            <w:pPr>
              <w:pStyle w:val="VOTINGTABLECELLSIMPLEOBJECT"/>
              <w:tabs>
                <w:tab w:val="left" w:pos="567"/>
              </w:tabs>
            </w:pPr>
            <w:r w:rsidR="003A05B9">
              <w:t>Bilaga</w:t>
            </w:r>
            <w:r w:rsidR="009073E5">
              <w:t>n</w:t>
            </w:r>
            <w:r w:rsidR="0088007E">
              <w:t xml:space="preserve">, </w:t>
            </w:r>
            <w:r w:rsidR="007900F8">
              <w:t>sista beaktandeled</w:t>
            </w:r>
            <w:r w:rsidR="009073E5">
              <w:t>et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UTHOR"/>
              <w:tabs>
                <w:tab w:val="left" w:pos="567"/>
              </w:tabs>
            </w:pPr>
            <w:r w:rsidR="0088007E">
              <w:t>originaltexten</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s</w:t>
            </w:r>
            <w:r w:rsidR="0088007E">
              <w:t>ärsk.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p>
        </w:tc>
      </w:tr>
      <w:tr>
        <w:tblPrEx>
          <w:tblW w:w="9071" w:type="dxa"/>
          <w:tblLayout w:type="fixed"/>
          <w:tblCellMar>
            <w:left w:w="10" w:type="dxa"/>
            <w:right w:w="10" w:type="dxa"/>
          </w:tblCellMar>
          <w:tblLook w:val="0000"/>
        </w:tblPrEx>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RPr="00A21648" w:rsidP="00BC7DF6">
            <w:pPr>
              <w:pStyle w:val="VOTINGTABLECELLOBJECT"/>
              <w:tabs>
                <w:tab w:val="left" w:pos="567"/>
              </w:tabs>
            </w:pPr>
            <w:r w:rsidR="009073E5">
              <w:t>o</w:t>
            </w:r>
            <w:r w:rsidR="0088007E">
              <w:t>mröstning</w:t>
            </w:r>
            <w:r w:rsidR="009073E5">
              <w:t>:</w:t>
            </w:r>
            <w:r w:rsidR="0088007E">
              <w:t xml:space="preserve"> resolution (texten i sin helhet)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AN"/>
              <w:tabs>
                <w:tab w:val="left" w:pos="567"/>
              </w:tabs>
            </w:pPr>
            <w:r w:rsidR="0088007E">
              <w:t>ONU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VOTE"/>
              <w:tabs>
                <w:tab w:val="left" w:pos="567"/>
              </w:tabs>
            </w:pPr>
            <w:r w:rsidR="0088007E">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383B" w:rsidP="00BC7DF6">
            <w:pPr>
              <w:pStyle w:val="VOTINGTABLECELLREMARK"/>
              <w:tabs>
                <w:tab w:val="left" w:pos="567"/>
              </w:tabs>
            </w:pPr>
            <w:r w:rsidR="0088007E">
              <w:t>405, 171, 39</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A21648" w:rsidP="00BC7DF6">
            <w:pPr>
              <w:pStyle w:val="REMARKTABLECELLTITLE"/>
              <w:tabs>
                <w:tab w:val="left" w:pos="567"/>
              </w:tabs>
            </w:pPr>
            <w:r w:rsidR="0088007E">
              <w:t>Begäranden om omröstning med namnupprop</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ENF:</w:t>
            </w:r>
          </w:p>
        </w:tc>
        <w:tc>
          <w:tcPr>
            <w:tcW w:w="7495" w:type="dxa"/>
            <w:tcMar>
              <w:top w:w="0" w:type="dxa"/>
              <w:left w:w="0" w:type="dxa"/>
              <w:bottom w:w="0" w:type="dxa"/>
              <w:right w:w="0" w:type="dxa"/>
            </w:tcMar>
          </w:tcPr>
          <w:p w:rsidR="003C383B" w:rsidP="00BC7DF6">
            <w:pPr>
              <w:pStyle w:val="REMARKTABLECELLSIMPLE"/>
              <w:tabs>
                <w:tab w:val="left" w:pos="567"/>
              </w:tabs>
            </w:pPr>
            <w:r w:rsidR="003A05B9">
              <w:t>ÄF</w:t>
            </w:r>
            <w:r w:rsidR="0088007E">
              <w:t xml:space="preserve"> 1, </w:t>
            </w:r>
            <w:r w:rsidR="0090597B">
              <w:t xml:space="preserve">punkterna </w:t>
            </w:r>
            <w:r w:rsidR="0088007E">
              <w:t>5, 11, 20</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TITLE"/>
              <w:tabs>
                <w:tab w:val="left" w:pos="567"/>
              </w:tabs>
            </w:pPr>
            <w:r w:rsidR="0088007E">
              <w:t>Begäranden om särskild omröstning</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SIMPLE"/>
              <w:tabs>
                <w:tab w:val="left" w:pos="567"/>
              </w:tabs>
            </w:pPr>
            <w:r w:rsidR="0088007E">
              <w:t>PPE:</w:t>
            </w:r>
          </w:p>
        </w:tc>
        <w:tc>
          <w:tcPr>
            <w:tcW w:w="7495" w:type="dxa"/>
            <w:tcMar>
              <w:top w:w="0" w:type="dxa"/>
              <w:left w:w="0" w:type="dxa"/>
              <w:bottom w:w="0" w:type="dxa"/>
              <w:right w:w="0" w:type="dxa"/>
            </w:tcMar>
          </w:tcPr>
          <w:p w:rsidR="003C383B" w:rsidP="007900F8">
            <w:pPr>
              <w:pStyle w:val="REMARKTABLECELLSIMPLE"/>
              <w:tabs>
                <w:tab w:val="left" w:pos="567"/>
              </w:tabs>
            </w:pPr>
            <w:r w:rsidR="003A05B9">
              <w:t>bilaga</w:t>
            </w:r>
            <w:r w:rsidR="009073E5">
              <w:t>n</w:t>
            </w:r>
            <w:r w:rsidR="0088007E">
              <w:t xml:space="preserve">, </w:t>
            </w:r>
            <w:r w:rsidR="007900F8">
              <w:t>sista beaktandeled</w:t>
            </w:r>
            <w:r w:rsidR="009073E5">
              <w:t>et</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1570"/>
        <w:gridCol w:w="7495"/>
      </w:tblGrid>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RPr="00A21648" w:rsidP="00BC7DF6">
            <w:pPr>
              <w:pStyle w:val="REMARKTABLECELLTITLE"/>
              <w:tabs>
                <w:tab w:val="left" w:pos="567"/>
              </w:tabs>
            </w:pPr>
            <w:r w:rsidR="0088007E">
              <w:t>Begäranden om delad omröstning</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88007E">
              <w:t>ENF:</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7900F8">
              <w:t>ÄF</w:t>
            </w:r>
            <w:r w:rsidR="0088007E">
              <w:t xml:space="preserve"> 6</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delen</w:t>
            </w:r>
          </w:p>
        </w:tc>
        <w:tc>
          <w:tcPr>
            <w:tcW w:w="7495" w:type="dxa"/>
            <w:tcMar>
              <w:top w:w="0" w:type="dxa"/>
              <w:left w:w="0" w:type="dxa"/>
              <w:bottom w:w="0" w:type="dxa"/>
              <w:right w:w="0" w:type="dxa"/>
            </w:tcMar>
          </w:tcPr>
          <w:p w:rsidR="003C383B" w:rsidRPr="007900F8" w:rsidP="00BC7DF6">
            <w:pPr>
              <w:pStyle w:val="REMARKTABLECELLSIMPLE"/>
              <w:tabs>
                <w:tab w:val="left" w:pos="567"/>
              </w:tabs>
            </w:pPr>
            <w:r w:rsidRPr="007900F8" w:rsidR="0088007E">
              <w:t>"</w:t>
            </w:r>
            <w:r w:rsidRPr="00635648" w:rsidR="007900F8">
              <w:t>Europaparlamentet är djupt oroat över den brist på öppenhet och demokratisk ansvarsskyldighet som präglar Eurogruppen.</w:t>
            </w:r>
            <w:r w:rsidRPr="007900F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RPr="007900F8" w:rsidP="00BC7DF6">
            <w:pPr>
              <w:pStyle w:val="REMARKTABLECELLSIMPLE"/>
              <w:tabs>
                <w:tab w:val="left" w:pos="567"/>
              </w:tabs>
            </w:pPr>
            <w:r w:rsidRPr="007900F8" w:rsidR="0088007E">
              <w:t>"</w:t>
            </w:r>
            <w:r w:rsidRPr="00635648" w:rsidR="007900F8">
              <w:t>Parlamentet rekommenderar att EU:s pakt för DRG tillämpas även på Eurogruppen.</w:t>
            </w:r>
            <w:r w:rsidRPr="007900F8" w:rsidR="0088007E">
              <w:t>"</w:t>
            </w: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88007E" w:rsidRPr="007900F8" w:rsidP="00BC7DF6">
            <w:pPr>
              <w:tabs>
                <w:tab w:val="left" w:pos="567"/>
              </w:tabs>
            </w:pPr>
          </w:p>
        </w:tc>
      </w:tr>
      <w:tr>
        <w:tblPrEx>
          <w:tblW w:w="9065" w:type="dxa"/>
          <w:tblLayout w:type="fixed"/>
          <w:tblCellMar>
            <w:left w:w="10" w:type="dxa"/>
            <w:right w:w="10" w:type="dxa"/>
          </w:tblCellMar>
          <w:tblLook w:val="0000"/>
        </w:tblPrEx>
        <w:trPr>
          <w:cantSplit/>
        </w:trPr>
        <w:tc>
          <w:tcPr>
            <w:tcW w:w="9065" w:type="dxa"/>
            <w:gridSpan w:val="2"/>
            <w:tcMar>
              <w:top w:w="0" w:type="dxa"/>
              <w:left w:w="0" w:type="dxa"/>
              <w:bottom w:w="0" w:type="dxa"/>
              <w:right w:w="0" w:type="dxa"/>
            </w:tcMar>
          </w:tcPr>
          <w:p w:rsidR="003C383B" w:rsidP="00BC7DF6">
            <w:pPr>
              <w:pStyle w:val="REMARKTABLECELLSIMPLE"/>
              <w:tabs>
                <w:tab w:val="left" w:pos="567"/>
              </w:tabs>
            </w:pPr>
            <w:r w:rsidR="007900F8">
              <w:t>ÄF</w:t>
            </w:r>
            <w:r w:rsidR="0088007E">
              <w:t xml:space="preserve"> 7</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Första de</w:t>
            </w:r>
            <w:r w:rsidR="0088007E">
              <w:t>len</w:t>
            </w:r>
          </w:p>
        </w:tc>
        <w:tc>
          <w:tcPr>
            <w:tcW w:w="7495" w:type="dxa"/>
            <w:tcMar>
              <w:top w:w="0" w:type="dxa"/>
              <w:left w:w="0" w:type="dxa"/>
              <w:bottom w:w="0" w:type="dxa"/>
              <w:right w:w="0" w:type="dxa"/>
            </w:tcMar>
          </w:tcPr>
          <w:p w:rsidR="003C383B" w:rsidRPr="007900F8" w:rsidP="007900F8">
            <w:pPr>
              <w:pStyle w:val="REMARKTABLECELLSIMPLE"/>
              <w:tabs>
                <w:tab w:val="left" w:pos="567"/>
              </w:tabs>
            </w:pPr>
            <w:r w:rsidRPr="007900F8" w:rsidR="0088007E">
              <w:t xml:space="preserve">Hela texten </w:t>
            </w:r>
            <w:r w:rsidR="004A36F4">
              <w:t xml:space="preserve">utom orden </w:t>
            </w:r>
            <w:r w:rsidRPr="007900F8" w:rsidR="0088007E">
              <w:t>"</w:t>
            </w:r>
            <w:r w:rsidRPr="00D97E1B" w:rsidR="007900F8">
              <w:t>i förslaget till EU:s pakt för DRG</w:t>
            </w:r>
            <w:r w:rsidRPr="007900F8" w:rsidR="0088007E">
              <w:t>"</w:t>
            </w:r>
          </w:p>
        </w:tc>
      </w:tr>
      <w:tr>
        <w:tblPrEx>
          <w:tblW w:w="9065" w:type="dxa"/>
          <w:tblLayout w:type="fixed"/>
          <w:tblCellMar>
            <w:left w:w="10" w:type="dxa"/>
            <w:right w:w="10" w:type="dxa"/>
          </w:tblCellMar>
          <w:tblLook w:val="0000"/>
        </w:tblPrEx>
        <w:trPr>
          <w:cantSplit/>
        </w:trPr>
        <w:tc>
          <w:tcPr>
            <w:tcW w:w="1570" w:type="dxa"/>
            <w:tcMar>
              <w:top w:w="0" w:type="dxa"/>
              <w:left w:w="0" w:type="dxa"/>
              <w:bottom w:w="0" w:type="dxa"/>
              <w:right w:w="0" w:type="dxa"/>
            </w:tcMar>
          </w:tcPr>
          <w:p w:rsidR="003C383B" w:rsidP="00BC7DF6">
            <w:pPr>
              <w:pStyle w:val="REMARKTABLECELLITALIC"/>
              <w:tabs>
                <w:tab w:val="left" w:pos="567"/>
              </w:tabs>
            </w:pPr>
            <w:r w:rsidR="0088007E">
              <w:t>Andra delen</w:t>
            </w:r>
          </w:p>
        </w:tc>
        <w:tc>
          <w:tcPr>
            <w:tcW w:w="7495" w:type="dxa"/>
            <w:tcMar>
              <w:top w:w="0" w:type="dxa"/>
              <w:left w:w="0" w:type="dxa"/>
              <w:bottom w:w="0" w:type="dxa"/>
              <w:right w:w="0" w:type="dxa"/>
            </w:tcMar>
          </w:tcPr>
          <w:p w:rsidR="003C383B" w:rsidP="00BC7DF6">
            <w:pPr>
              <w:pStyle w:val="REMARKTABLECELLSIMPLE"/>
              <w:tabs>
                <w:tab w:val="left" w:pos="567"/>
              </w:tabs>
            </w:pPr>
            <w:r w:rsidR="0088007E">
              <w:t>dessa ord</w:t>
            </w:r>
          </w:p>
        </w:tc>
      </w:tr>
    </w:tbl>
    <w:p w:rsidR="003C383B" w:rsidP="00BC7DF6">
      <w:pPr>
        <w:pStyle w:val="STYTAB"/>
        <w:tabs>
          <w:tab w:val="left" w:pos="567"/>
        </w:tabs>
      </w:pPr>
    </w:p>
    <w:tbl>
      <w:tblPr>
        <w:tblStyle w:val="TableNormal"/>
        <w:tblW w:w="9065" w:type="dxa"/>
        <w:tblLayout w:type="fixed"/>
        <w:tblCellMar>
          <w:left w:w="10" w:type="dxa"/>
          <w:right w:w="10" w:type="dxa"/>
        </w:tblCellMar>
        <w:tblLook w:val="0000"/>
      </w:tblPr>
      <w:tblGrid>
        <w:gridCol w:w="9065"/>
      </w:tblGrid>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P="00BC7DF6">
            <w:pPr>
              <w:pStyle w:val="REMARKTABLECELLTITLE"/>
              <w:tabs>
                <w:tab w:val="left" w:pos="567"/>
              </w:tabs>
            </w:pPr>
            <w:r w:rsidR="0088007E">
              <w:t>Övrigt</w:t>
            </w:r>
          </w:p>
        </w:tc>
      </w:tr>
      <w:tr>
        <w:tblPrEx>
          <w:tblW w:w="9065" w:type="dxa"/>
          <w:tblLayout w:type="fixed"/>
          <w:tblCellMar>
            <w:left w:w="10" w:type="dxa"/>
            <w:right w:w="10" w:type="dxa"/>
          </w:tblCellMar>
          <w:tblLook w:val="0000"/>
        </w:tblPrEx>
        <w:trPr>
          <w:cantSplit/>
        </w:trPr>
        <w:tc>
          <w:tcPr>
            <w:tcW w:w="9065" w:type="dxa"/>
            <w:tcMar>
              <w:top w:w="0" w:type="dxa"/>
              <w:left w:w="0" w:type="dxa"/>
              <w:bottom w:w="0" w:type="dxa"/>
              <w:right w:w="0" w:type="dxa"/>
            </w:tcMar>
          </w:tcPr>
          <w:p w:rsidR="003C383B" w:rsidRPr="009073E5" w:rsidP="009073E5">
            <w:pPr>
              <w:pStyle w:val="REMARKTABLECELLSIMPLE"/>
              <w:tabs>
                <w:tab w:val="left" w:pos="567"/>
              </w:tabs>
            </w:pPr>
            <w:r w:rsidRPr="009073E5" w:rsidR="0088007E">
              <w:t xml:space="preserve">Jiří Maštálka </w:t>
            </w:r>
            <w:r w:rsidRPr="009073E5" w:rsidR="009073E5">
              <w:t xml:space="preserve">hade dragit tillbaka sin underskrift från de ändringsförslag som </w:t>
            </w:r>
            <w:r w:rsidRPr="009073E5" w:rsidR="0088007E">
              <w:t>GUE/NGL</w:t>
            </w:r>
            <w:r w:rsidR="009073E5">
              <w:t xml:space="preserve"> lagt fram</w:t>
            </w:r>
            <w:r w:rsidRPr="009073E5" w:rsidR="0088007E">
              <w:t>.</w:t>
            </w:r>
          </w:p>
        </w:tc>
      </w:tr>
    </w:tbl>
    <w:p w:rsidR="00F36840" w:rsidRPr="009073E5" w:rsidP="00BC7DF6">
      <w:pPr>
        <w:tabs>
          <w:tab w:val="left" w:pos="567"/>
        </w:tabs>
      </w:pPr>
    </w:p>
    <w:sectPr>
      <w:footerReference w:type="default" r:id="rId4"/>
      <w:pgSz w:w="11905" w:h="16837"/>
      <w:pgMar w:top="1440" w:right="1418" w:bottom="1440" w:left="1418" w:header="720" w:footer="45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065" w:type="dxa"/>
      <w:tblLayout w:type="fixed"/>
      <w:tblCellMar>
        <w:left w:w="10" w:type="dxa"/>
        <w:right w:w="10" w:type="dxa"/>
      </w:tblCellMar>
      <w:tblLook w:val="0000"/>
    </w:tblPr>
    <w:tblGrid>
      <w:gridCol w:w="4121"/>
      <w:gridCol w:w="822"/>
      <w:gridCol w:w="4122"/>
    </w:tblGrid>
    <w:tr>
      <w:tblPrEx>
        <w:tblW w:w="9065" w:type="dxa"/>
        <w:tblLayout w:type="fixed"/>
        <w:tblCellMar>
          <w:left w:w="10" w:type="dxa"/>
          <w:right w:w="10" w:type="dxa"/>
        </w:tblCellMar>
        <w:tblLook w:val="0000"/>
      </w:tblPrEx>
      <w:tc>
        <w:tcPr>
          <w:tcW w:w="4122" w:type="dxa"/>
        </w:tcPr>
        <w:p w:rsidR="004D4507" w:rsidRPr="00A21648" w:rsidP="00FF1CF2">
          <w:pPr>
            <w:pStyle w:val="FOOTERSTYLELEFTSTYLE"/>
          </w:pPr>
          <w:r w:rsidR="00FF1CF2">
            <w:t>P8_PV</w:t>
          </w:r>
          <w:r>
            <w:t>(2016)10-25(VOT)_</w:t>
          </w:r>
          <w:r w:rsidR="00344386">
            <w:t>SV</w:t>
          </w:r>
          <w:r>
            <w:t>.doc</w:t>
          </w:r>
        </w:p>
      </w:tc>
      <w:tc>
        <w:tcPr>
          <w:tcW w:w="822" w:type="dxa"/>
        </w:tcPr>
        <w:p w:rsidR="004D4507">
          <w:pPr>
            <w:pStyle w:val="FOOTERSTYLECENTERSTYLE"/>
          </w:pPr>
          <w:r>
            <w:fldChar w:fldCharType="begin"/>
          </w:r>
          <w:r>
            <w:instrText xml:space="preserve"> PAGE </w:instrText>
          </w:r>
          <w:r>
            <w:fldChar w:fldCharType="separate"/>
          </w:r>
          <w:r w:rsidR="00DA1DE4">
            <w:rPr>
              <w:noProof/>
            </w:rPr>
            <w:t>2</w:t>
          </w:r>
          <w:r>
            <w:fldChar w:fldCharType="end"/>
          </w:r>
        </w:p>
      </w:tc>
      <w:tc>
        <w:tcPr>
          <w:tcW w:w="4122" w:type="dxa"/>
        </w:tcPr>
        <w:p w:rsidR="004D4507">
          <w:pPr>
            <w:pStyle w:val="FOOTERSTYLERIGHTSTYLE"/>
          </w:pPr>
          <w:r>
            <w:t>PE 593.</w:t>
          </w:r>
          <w:r>
            <w:t>069</w:t>
          </w:r>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369BE"/>
    <w:multiLevelType w:val="multilevel"/>
    <w:tmpl w:val="BB728186"/>
    <w:styleLink w:val="Numbering1"/>
    <w:lvl w:ilvl="0">
      <w:start w:val="1"/>
      <w:numFmt w:val="decimal"/>
      <w:pStyle w:val="VOTETITLE"/>
      <w:lvlText w:val="%1."/>
      <w:lvlJc w:val="left"/>
      <w:pPr>
        <w:ind w:left="567" w:hanging="567"/>
      </w:pPr>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sv-SE" w:eastAsia="sv-SE" w:bidi="sv-SE"/>
    </w:rPr>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lang w:val="sv-SE" w:eastAsia="sv-SE" w:bidi="sv-S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widowControl w:val="0"/>
      <w:suppressAutoHyphens/>
      <w:autoSpaceDN w:val="0"/>
      <w:spacing w:before="283" w:after="283"/>
      <w:jc w:val="center"/>
      <w:textAlignment w:val="baseline"/>
    </w:pPr>
    <w:rPr>
      <w:b/>
      <w:kern w:val="3"/>
      <w:sz w:val="32"/>
      <w:szCs w:val="24"/>
      <w:lang w:val="sv-SE" w:eastAsia="sv-SE" w:bidi="sv-SE"/>
    </w:rPr>
  </w:style>
  <w:style w:type="paragraph" w:customStyle="1" w:styleId="SIGNIFICATIONABR">
    <w:name w:val="SIGNIFICATION ABR"/>
    <w:pPr>
      <w:widowControl w:val="0"/>
      <w:suppressAutoHyphens/>
      <w:autoSpaceDN w:val="0"/>
      <w:ind w:left="108"/>
      <w:textAlignment w:val="baseline"/>
    </w:pPr>
    <w:rPr>
      <w:kern w:val="3"/>
      <w:sz w:val="22"/>
      <w:szCs w:val="24"/>
      <w:lang w:val="sv-SE" w:eastAsia="sv-SE" w:bidi="sv-SE"/>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keepNext/>
      <w:widowControl w:val="0"/>
      <w:suppressAutoHyphens/>
      <w:autoSpaceDN w:val="0"/>
      <w:spacing w:after="227"/>
      <w:textAlignment w:val="baseline"/>
    </w:pPr>
    <w:rPr>
      <w:i/>
      <w:kern w:val="3"/>
      <w:sz w:val="22"/>
      <w:szCs w:val="24"/>
      <w:lang w:val="sv-SE" w:eastAsia="sv-SE" w:bidi="sv-SE"/>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A21648"/>
    <w:rPr>
      <w:rFonts w:ascii="Segoe UI" w:hAnsi="Segoe UI" w:cs="Mangal"/>
      <w:sz w:val="18"/>
      <w:szCs w:val="16"/>
    </w:rPr>
  </w:style>
  <w:style w:type="character" w:customStyle="1" w:styleId="BalloonTextChar">
    <w:name w:val="Balloon Text Char"/>
    <w:link w:val="BalloonText"/>
    <w:uiPriority w:val="99"/>
    <w:semiHidden/>
    <w:rsid w:val="00A21648"/>
    <w:rPr>
      <w:rFonts w:ascii="Segoe UI" w:hAnsi="Segoe UI" w:cs="Mangal"/>
      <w:kern w:val="3"/>
      <w:sz w:val="18"/>
      <w:szCs w:val="16"/>
      <w:lang w:val="sv-SE" w:eastAsia="sv-SE" w:bidi="sv-S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261E7C21.dotm</Template>
  <TotalTime>1</TotalTime>
  <Pages>32</Pages>
  <Words>6309</Words>
  <Characters>41201</Characters>
  <Application>Microsoft Office Word</Application>
  <DocSecurity>0</DocSecurity>
  <Lines>2060</Lines>
  <Paragraphs>1032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ANDERSSON Monica</cp:lastModifiedBy>
  <cp:revision>2</cp:revision>
  <cp:lastPrinted>2016-10-25T18:24:00Z</cp:lastPrinted>
  <dcterms:created xsi:type="dcterms:W3CDTF">2016-11-24T13:47:00Z</dcterms:created>
  <dcterms:modified xsi:type="dcterms:W3CDTF">2016-11-24T13:47:00Z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extension">
    <vt:lpwstr>.doc</vt:lpwstr>
  </property>
</Properties>
</file>