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p w:rsidR="00494823">
      <w:pPr>
        <w:pStyle w:val="ANNEXTITLE"/>
      </w:pPr>
      <w:r w:rsidR="00D8010F">
        <w:t>ANEXĂ</w:t>
      </w:r>
    </w:p>
    <w:p w:rsidR="00494823">
      <w:pPr>
        <w:pStyle w:val="STYTAB"/>
      </w:pPr>
    </w:p>
    <w:p w:rsidR="00494823">
      <w:pPr>
        <w:pStyle w:val="VOTERESULT"/>
      </w:pPr>
      <w:r w:rsidR="00D8010F">
        <w:t>REZULTATELE VOTURILOR</w:t>
      </w:r>
    </w:p>
    <w:tbl>
      <w:tblPr>
        <w:tblStyle w:val="TableNormal"/>
        <w:tblW w:w="8377" w:type="dxa"/>
        <w:tblInd w:w="421" w:type="dxa"/>
        <w:tblLayout w:type="fixed"/>
        <w:tblCellMar>
          <w:left w:w="10" w:type="dxa"/>
          <w:right w:w="10" w:type="dxa"/>
        </w:tblCellMar>
        <w:tblLook w:val="04A0"/>
      </w:tblPr>
      <w:tblGrid>
        <w:gridCol w:w="2550"/>
        <w:gridCol w:w="5827"/>
      </w:tblGrid>
      <w:tr>
        <w:tblPrEx>
          <w:tblW w:w="8377" w:type="dxa"/>
          <w:tblInd w:w="421" w:type="dxa"/>
          <w:tblLayout w:type="fixed"/>
          <w:tblCellMar>
            <w:left w:w="10" w:type="dxa"/>
            <w:right w:w="10" w:type="dxa"/>
          </w:tblCellMar>
          <w:tblLook w:val="04A0"/>
        </w:tblPrEx>
        <w:trPr>
          <w:trHeight w:hRule="exact" w:val="1106"/>
        </w:trPr>
        <w:tc>
          <w:tcPr>
            <w:tcW w:w="8377"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494823" w:rsidRPr="00CD18B9">
            <w:pPr>
              <w:pStyle w:val="SIGNIFICATIONTITLE"/>
              <w:snapToGrid w:val="0"/>
            </w:pPr>
            <w:r w:rsidR="00D8010F">
              <w:t>Semnificația abrevierilor și simbolurilor</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494823" w:rsidRPr="00CD18B9">
            <w:pPr>
              <w:pStyle w:val="SIGNIFICATIONABR"/>
            </w:pPr>
            <w:r w:rsidR="00D8010F">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494823" w:rsidRPr="00CD18B9">
            <w:pPr>
              <w:pStyle w:val="SIGNIFICATIONDESC"/>
            </w:pPr>
            <w:r w:rsidR="00D8010F">
              <w:t>adoptat</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494823" w:rsidRPr="00CD18B9">
            <w:pPr>
              <w:pStyle w:val="SIGNIFICATIONABR"/>
            </w:pPr>
            <w:r w:rsidR="00D8010F">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494823" w:rsidRPr="00CD18B9">
            <w:pPr>
              <w:pStyle w:val="SIGNIFICATIONDESC"/>
            </w:pPr>
            <w:r w:rsidR="00D8010F">
              <w:t>respins</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391C80">
            <w:pPr>
              <w:pStyle w:val="SIGNIFICATIONABR"/>
            </w:pP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91C80">
            <w:pPr>
              <w:pStyle w:val="SIGNIFICATIONDESC"/>
            </w:pP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494823" w:rsidRPr="00CD18B9">
            <w:pPr>
              <w:pStyle w:val="SIGNIFICATIONABR"/>
            </w:pPr>
            <w:r w:rsidR="00D8010F">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494823" w:rsidRPr="00CD18B9">
            <w:pPr>
              <w:pStyle w:val="SIGNIFICATIONDESC"/>
            </w:pPr>
            <w:r w:rsidR="00D8010F">
              <w:t>caduc</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494823" w:rsidRPr="00CD18B9">
            <w:pPr>
              <w:pStyle w:val="SIGNIFICATIONABR"/>
            </w:pPr>
            <w:r w:rsidR="00D8010F">
              <w:t>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494823" w:rsidRPr="00CD18B9">
            <w:pPr>
              <w:pStyle w:val="SIGNIFICATIONDESC"/>
            </w:pPr>
            <w:r w:rsidR="00D8010F">
              <w:t>retras</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494823" w:rsidRPr="00CD18B9">
            <w:pPr>
              <w:pStyle w:val="SIGNIFICATIONABR"/>
            </w:pPr>
            <w:r w:rsidR="00D8010F">
              <w:t>AN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494823" w:rsidRPr="00CD18B9">
            <w:pPr>
              <w:pStyle w:val="SIGNIFICATIONDESC"/>
            </w:pPr>
            <w:r w:rsidR="00D8010F">
              <w:t>vot prin apel nominal (voturi pentru, voturi împotrivă, abțineri)</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494823" w:rsidRPr="00CD18B9">
            <w:pPr>
              <w:pStyle w:val="SIGNIFICATIONABR"/>
            </w:pPr>
            <w:r w:rsidR="00D8010F">
              <w:t>VE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494823" w:rsidRPr="00CD18B9">
            <w:pPr>
              <w:pStyle w:val="SIGNIFICATIONDESC"/>
            </w:pPr>
            <w:r w:rsidR="00D8010F">
              <w:t>vot electronic (voturi pentru, voturi împotrivă, abțineri)</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494823" w:rsidRPr="00CD18B9">
            <w:pPr>
              <w:pStyle w:val="SIGNIFICATIONABR"/>
            </w:pPr>
            <w:r w:rsidR="00D8010F">
              <w:t>div</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494823" w:rsidRPr="00CD18B9">
            <w:pPr>
              <w:pStyle w:val="SIGNIFICATIONDESC"/>
            </w:pPr>
            <w:r w:rsidR="00D8010F">
              <w:t>vot pe părți</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494823" w:rsidRPr="00CD18B9">
            <w:pPr>
              <w:pStyle w:val="SIGNIFICATIONABR"/>
            </w:pPr>
            <w:r w:rsidR="00D8010F">
              <w:t>vs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494823" w:rsidRPr="00CD18B9">
            <w:pPr>
              <w:pStyle w:val="SIGNIFICATIONDESC"/>
            </w:pPr>
            <w:r w:rsidR="00D8010F">
              <w:t>vot separat</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494823" w:rsidRPr="00CD18B9">
            <w:pPr>
              <w:pStyle w:val="SIGNIFICATIONABR"/>
            </w:pPr>
            <w:r w:rsidR="00D8010F">
              <w:t>am</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494823" w:rsidRPr="00CD18B9">
            <w:pPr>
              <w:pStyle w:val="SIGNIFICATIONDESC"/>
            </w:pPr>
            <w:r w:rsidR="00D8010F">
              <w:t>amendament</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494823" w:rsidRPr="00CD18B9">
            <w:pPr>
              <w:pStyle w:val="SIGNIFICATIONABR"/>
            </w:pPr>
            <w:r w:rsidR="00D8010F">
              <w:t>AC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494823" w:rsidRPr="00CD18B9">
            <w:pPr>
              <w:pStyle w:val="SIGNIFICATIONDESC"/>
            </w:pPr>
            <w:r w:rsidR="00D8010F">
              <w:t>amendament de compromis</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494823" w:rsidRPr="00CD18B9">
            <w:pPr>
              <w:pStyle w:val="SIGNIFICATIONABR"/>
            </w:pPr>
            <w:r w:rsidR="00D8010F">
              <w:t>PC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494823" w:rsidRPr="00CD18B9">
            <w:pPr>
              <w:pStyle w:val="SIGNIFICATIONDESC"/>
            </w:pPr>
            <w:r w:rsidR="00D8010F">
              <w:t>partea corespunzătoare</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494823" w:rsidRPr="00CD18B9">
            <w:pPr>
              <w:pStyle w:val="SIGNIFICATIONABR"/>
            </w:pPr>
            <w:r w:rsidR="00D8010F">
              <w:t>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494823" w:rsidRPr="00CD18B9">
            <w:pPr>
              <w:pStyle w:val="SIGNIFICATIONDESC"/>
            </w:pPr>
            <w:r w:rsidR="00D8010F">
              <w:t>amendament supresiv</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494823" w:rsidRPr="00CD18B9">
            <w:pPr>
              <w:pStyle w:val="SIGNIFICATIONABR"/>
            </w:pPr>
            <w:r w:rsidR="00D8010F">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494823" w:rsidRPr="00CD18B9">
            <w:pPr>
              <w:pStyle w:val="SIGNIFICATIONDESC"/>
            </w:pPr>
            <w:r w:rsidR="00D8010F">
              <w:t>amendamente identice</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494823" w:rsidRPr="00CD18B9">
            <w:pPr>
              <w:pStyle w:val="SIGNIFICATIONABR"/>
            </w:pPr>
            <w:r w:rsidR="00D8010F">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494823" w:rsidRPr="00CD18B9">
            <w:pPr>
              <w:pStyle w:val="SIGNIFICATIONDESC"/>
            </w:pPr>
            <w:r w:rsidR="00D8010F">
              <w:t>alineat / punct</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494823" w:rsidRPr="00CD18B9">
            <w:pPr>
              <w:pStyle w:val="SIGNIFICATIONABR"/>
            </w:pPr>
            <w:r w:rsidR="00D8010F">
              <w:t>art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494823" w:rsidRPr="00CD18B9">
            <w:pPr>
              <w:pStyle w:val="SIGNIFICATIONDESC"/>
            </w:pPr>
            <w:r w:rsidR="00D8010F">
              <w:t>articol</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494823" w:rsidRPr="00CD18B9">
            <w:pPr>
              <w:pStyle w:val="SIGNIFICATIONABR"/>
            </w:pPr>
            <w:r w:rsidR="00D8010F">
              <w:t>cons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494823" w:rsidRPr="00CD18B9">
            <w:pPr>
              <w:pStyle w:val="SIGNIFICATIONDESC"/>
            </w:pPr>
            <w:r w:rsidR="00D8010F">
              <w:t>considerent</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494823" w:rsidRPr="00CD18B9">
            <w:pPr>
              <w:pStyle w:val="SIGNIFICATIONABR"/>
            </w:pPr>
            <w:r w:rsidR="00D8010F">
              <w:t>PR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494823" w:rsidRPr="00CD18B9">
            <w:pPr>
              <w:pStyle w:val="SIGNIFICATIONDESC"/>
            </w:pPr>
            <w:r w:rsidR="00D8010F">
              <w:t>propunere de rezoluție</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494823" w:rsidRPr="00CD18B9">
            <w:pPr>
              <w:pStyle w:val="SIGNIFICATIONABR"/>
            </w:pPr>
            <w:r w:rsidR="00D8010F">
              <w:t>PRC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494823" w:rsidRPr="00CD18B9">
            <w:pPr>
              <w:pStyle w:val="SIGNIFICATIONDESC"/>
            </w:pPr>
            <w:r w:rsidR="00D8010F">
              <w:t>propunere comună de rezoluție</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494823" w:rsidRPr="00CD18B9">
            <w:pPr>
              <w:pStyle w:val="SIGNIFICATIONABR"/>
            </w:pPr>
            <w:r w:rsidR="00D8010F">
              <w:t>SEC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494823" w:rsidRPr="00CD18B9">
            <w:pPr>
              <w:pStyle w:val="SIGNIFICATIONDESC"/>
            </w:pPr>
            <w:r w:rsidR="00D8010F">
              <w:t>vot secret</w:t>
            </w:r>
          </w:p>
        </w:tc>
      </w:tr>
    </w:tbl>
    <w:p w:rsidR="00494823"/>
    <w:p w:rsidR="00494823" w:rsidRPr="00CD18B9">
      <w:pPr>
        <w:pStyle w:val="VOTEFIRSTTITLE"/>
        <w:outlineLvl w:val="9"/>
      </w:pPr>
      <w:r w:rsidR="00D8010F">
        <w:t>Descărcarea de gestiune 2014: bugetul general al UE - Consiliul European şi Consiliul</w:t>
      </w:r>
    </w:p>
    <w:p w:rsidR="00494823" w:rsidRPr="00CD18B9">
      <w:pPr>
        <w:pStyle w:val="VOTEREPORTTITLE"/>
      </w:pPr>
      <w:r w:rsidR="00D8010F">
        <w:t>Al doilea raport: Ryszard Czarnecki (A8-0271/2016)</w:t>
      </w:r>
    </w:p>
    <w:tbl>
      <w:tblPr>
        <w:tblStyle w:val="TableNormal"/>
        <w:tblW w:w="9071" w:type="dxa"/>
        <w:tblLayout w:type="fixed"/>
        <w:tblCellMar>
          <w:left w:w="10" w:type="dxa"/>
          <w:right w:w="10" w:type="dxa"/>
        </w:tblCellMar>
        <w:tblLook w:val="04A0"/>
      </w:tblPr>
      <w:tblGrid>
        <w:gridCol w:w="3260"/>
        <w:gridCol w:w="2409"/>
        <w:gridCol w:w="1440"/>
        <w:gridCol w:w="1962"/>
      </w:tblGrid>
      <w:tr>
        <w:tblPrEx>
          <w:tblW w:w="9071" w:type="dxa"/>
          <w:tblLayout w:type="fixed"/>
          <w:tblCellMar>
            <w:left w:w="10" w:type="dxa"/>
            <w:right w:w="10" w:type="dxa"/>
          </w:tblCellMar>
          <w:tblLook w:val="04A0"/>
        </w:tblPrEx>
        <w:trPr>
          <w:cantSplit/>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Obiect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AN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Vot</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rsidRPr="00CD18B9">
            <w:pPr>
              <w:pStyle w:val="VOTINGTABLEHEADER"/>
            </w:pPr>
            <w:r w:rsidR="00D8010F">
              <w:t>AN/VE - comentarii</w:t>
            </w:r>
          </w:p>
        </w:tc>
      </w:tr>
      <w:tr>
        <w:tblPrEx>
          <w:tblW w:w="9071" w:type="dxa"/>
          <w:tblLayout w:type="fixed"/>
          <w:tblCellMar>
            <w:left w:w="10" w:type="dxa"/>
            <w:right w:w="10" w:type="dxa"/>
          </w:tblCellMar>
          <w:tblLook w:val="04A0"/>
        </w:tblPrEx>
        <w:trPr>
          <w:cantSplit/>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Decizie de refuzare a descărcării d</w:t>
            </w:r>
            <w:r w:rsidR="00D8010F">
              <w:t>e gestiune</w:t>
            </w:r>
          </w:p>
        </w:tc>
      </w:tr>
      <w:tr>
        <w:tblPrEx>
          <w:tblW w:w="9071" w:type="dxa"/>
          <w:tblLayout w:type="fixed"/>
          <w:tblCellMar>
            <w:left w:w="10" w:type="dxa"/>
            <w:right w:w="10" w:type="dxa"/>
          </w:tblCellMar>
          <w:tblLook w:val="04A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 xml:space="preserve">vot: decizie </w:t>
              <w:br/>
              <w:t>(întregul text)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AN"/>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Propunere de rezoluție</w:t>
            </w:r>
          </w:p>
        </w:tc>
      </w:tr>
      <w:tr>
        <w:tblPrEx>
          <w:tblW w:w="9071" w:type="dxa"/>
          <w:tblLayout w:type="fixed"/>
          <w:tblCellMar>
            <w:left w:w="10" w:type="dxa"/>
            <w:right w:w="10" w:type="dxa"/>
          </w:tblCellMar>
          <w:tblLook w:val="04A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 xml:space="preserve">vot: rezoluție </w:t>
              <w:br/>
              <w:t>(întregul text)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AN"/>
            </w:pPr>
            <w:r w:rsidR="00D8010F">
              <w:t>AN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VOTE"/>
            </w:pPr>
            <w:r w:rsidR="00D8010F">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REMARK"/>
            </w:pPr>
            <w:r w:rsidR="00D8010F">
              <w:t>615, 0, 1</w:t>
            </w:r>
          </w:p>
        </w:tc>
      </w:tr>
    </w:tbl>
    <w:p w:rsidR="00494823" w:rsidRPr="00CD18B9">
      <w:pPr>
        <w:pStyle w:val="STYTAB"/>
      </w:pPr>
    </w:p>
    <w:tbl>
      <w:tblPr>
        <w:tblStyle w:val="TableNormal"/>
        <w:tblW w:w="9065" w:type="dxa"/>
        <w:tblLayout w:type="fixed"/>
        <w:tblCellMar>
          <w:left w:w="10" w:type="dxa"/>
          <w:right w:w="10" w:type="dxa"/>
        </w:tblCellMar>
        <w:tblLook w:val="04A0"/>
      </w:tblPr>
      <w:tblGrid>
        <w:gridCol w:w="9065"/>
      </w:tblGrid>
      <w:tr>
        <w:tblPrEx>
          <w:tblW w:w="9065" w:type="dxa"/>
          <w:tblLayout w:type="fixed"/>
          <w:tblCellMar>
            <w:left w:w="10" w:type="dxa"/>
            <w:right w:w="10" w:type="dxa"/>
          </w:tblCellMar>
          <w:tblLook w:val="04A0"/>
        </w:tblPrEx>
        <w:trPr>
          <w:cantSplit/>
        </w:trPr>
        <w:tc>
          <w:tcPr>
            <w:tcW w:w="9065" w:type="dxa"/>
            <w:tcMar>
              <w:top w:w="0" w:type="dxa"/>
              <w:left w:w="0" w:type="dxa"/>
              <w:bottom w:w="0" w:type="dxa"/>
              <w:right w:w="0" w:type="dxa"/>
            </w:tcMar>
          </w:tcPr>
          <w:p w:rsidR="00494823" w:rsidRPr="00CD18B9">
            <w:pPr>
              <w:pStyle w:val="REMARKTABLECELLSIMPLE"/>
            </w:pPr>
            <w:r w:rsidR="00D8010F">
              <w:t>A se vedea anexa V articolul 5 alineatul (2) litera (b) din Regulamentul de procedură.</w:t>
            </w:r>
          </w:p>
        </w:tc>
      </w:tr>
    </w:tbl>
    <w:p w:rsidR="00494823" w:rsidRPr="00CD18B9">
      <w:pPr>
        <w:pStyle w:val="STYTAB"/>
      </w:pPr>
    </w:p>
    <w:p w:rsidR="00494823" w:rsidRPr="00CD18B9">
      <w:pPr>
        <w:pStyle w:val="STYTAB"/>
      </w:pPr>
    </w:p>
    <w:p w:rsidR="00494823" w:rsidRPr="00CD18B9">
      <w:pPr>
        <w:pStyle w:val="VOTETITLE"/>
        <w:outlineLvl w:val="9"/>
      </w:pPr>
      <w:r w:rsidR="00D8010F">
        <w:t>Descărcarea de gestiune 2014: Întreprinderea comună ENIAC</w:t>
      </w:r>
    </w:p>
    <w:p w:rsidR="00494823" w:rsidRPr="00CD18B9">
      <w:pPr>
        <w:pStyle w:val="VOTEREPORTTITLE"/>
      </w:pPr>
      <w:r w:rsidR="00D8010F">
        <w:t>Al doilea raport: Marian-Jean Marinescu (A8-0264/2016)</w:t>
      </w:r>
    </w:p>
    <w:tbl>
      <w:tblPr>
        <w:tblStyle w:val="TableNormal"/>
        <w:tblW w:w="9071" w:type="dxa"/>
        <w:tblLayout w:type="fixed"/>
        <w:tblCellMar>
          <w:left w:w="10" w:type="dxa"/>
          <w:right w:w="10" w:type="dxa"/>
        </w:tblCellMar>
        <w:tblLook w:val="04A0"/>
      </w:tblPr>
      <w:tblGrid>
        <w:gridCol w:w="3260"/>
        <w:gridCol w:w="2409"/>
        <w:gridCol w:w="1440"/>
        <w:gridCol w:w="1962"/>
      </w:tblGrid>
      <w:tr>
        <w:tblPrEx>
          <w:tblW w:w="9071" w:type="dxa"/>
          <w:tblLayout w:type="fixed"/>
          <w:tblCellMar>
            <w:left w:w="10" w:type="dxa"/>
            <w:right w:w="10" w:type="dxa"/>
          </w:tblCellMar>
          <w:tblLook w:val="04A0"/>
        </w:tblPrEx>
        <w:trPr>
          <w:cantSplit/>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Obiect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AN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Vot</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rsidRPr="00CD18B9">
            <w:pPr>
              <w:pStyle w:val="VOTINGTABLEHEADER"/>
            </w:pPr>
            <w:r w:rsidR="00D8010F">
              <w:t>AN/VE - comentarii</w:t>
            </w:r>
          </w:p>
        </w:tc>
      </w:tr>
      <w:tr>
        <w:tblPrEx>
          <w:tblW w:w="9071" w:type="dxa"/>
          <w:tblLayout w:type="fixed"/>
          <w:tblCellMar>
            <w:left w:w="10" w:type="dxa"/>
            <w:right w:w="10" w:type="dxa"/>
          </w:tblCellMar>
          <w:tblLook w:val="04A0"/>
        </w:tblPrEx>
        <w:trPr>
          <w:cantSplit/>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Decizie privind descărcarea de gestiune</w:t>
            </w:r>
          </w:p>
        </w:tc>
      </w:tr>
      <w:tr>
        <w:tblPrEx>
          <w:tblW w:w="9071" w:type="dxa"/>
          <w:tblLayout w:type="fixed"/>
          <w:tblCellMar>
            <w:left w:w="10" w:type="dxa"/>
            <w:right w:w="10" w:type="dxa"/>
          </w:tblCellMar>
          <w:tblLook w:val="04A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 xml:space="preserve">vot: decizie </w:t>
              <w:br/>
              <w:t>(întregul text)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AN"/>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VOTE"/>
            </w:pPr>
            <w:r w:rsidR="00D8010F">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REMARK"/>
            </w:pPr>
          </w:p>
        </w:tc>
      </w:tr>
      <w:tr>
        <w:tblPrEx>
          <w:tblW w:w="9071" w:type="dxa"/>
          <w:tblLayout w:type="fixed"/>
          <w:tblCellMar>
            <w:left w:w="10" w:type="dxa"/>
            <w:right w:w="10" w:type="dxa"/>
          </w:tblCellMar>
          <w:tblLook w:val="04A0"/>
        </w:tblPrEx>
        <w:trPr>
          <w:cantSplit/>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Propunere de rezoluție</w:t>
            </w:r>
          </w:p>
        </w:tc>
      </w:tr>
      <w:tr>
        <w:tblPrEx>
          <w:tblW w:w="9071" w:type="dxa"/>
          <w:tblLayout w:type="fixed"/>
          <w:tblCellMar>
            <w:left w:w="10" w:type="dxa"/>
            <w:right w:w="10" w:type="dxa"/>
          </w:tblCellMar>
          <w:tblLook w:val="04A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 xml:space="preserve">vot: rezoluție </w:t>
              <w:br/>
              <w:t>(întregul text)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AN"/>
            </w:pPr>
            <w:r w:rsidR="00D8010F">
              <w:t>AN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VOTE"/>
            </w:pPr>
            <w:r w:rsidR="00D8010F">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REMARK"/>
            </w:pPr>
            <w:r w:rsidR="00D8010F">
              <w:t>501, 107, 17</w:t>
            </w:r>
          </w:p>
        </w:tc>
      </w:tr>
    </w:tbl>
    <w:p w:rsidR="00494823" w:rsidRPr="00CD18B9">
      <w:pPr>
        <w:pStyle w:val="STYTAB"/>
      </w:pPr>
    </w:p>
    <w:tbl>
      <w:tblPr>
        <w:tblStyle w:val="TableNormal"/>
        <w:tblW w:w="9065" w:type="dxa"/>
        <w:tblLayout w:type="fixed"/>
        <w:tblCellMar>
          <w:left w:w="10" w:type="dxa"/>
          <w:right w:w="10" w:type="dxa"/>
        </w:tblCellMar>
        <w:tblLook w:val="04A0"/>
      </w:tblPr>
      <w:tblGrid>
        <w:gridCol w:w="9065"/>
      </w:tblGrid>
      <w:tr>
        <w:tblPrEx>
          <w:tblW w:w="9065" w:type="dxa"/>
          <w:tblLayout w:type="fixed"/>
          <w:tblCellMar>
            <w:left w:w="10" w:type="dxa"/>
            <w:right w:w="10" w:type="dxa"/>
          </w:tblCellMar>
          <w:tblLook w:val="04A0"/>
        </w:tblPrEx>
        <w:trPr>
          <w:cantSplit/>
        </w:trPr>
        <w:tc>
          <w:tcPr>
            <w:tcW w:w="9065" w:type="dxa"/>
            <w:tcMar>
              <w:top w:w="0" w:type="dxa"/>
              <w:left w:w="0" w:type="dxa"/>
              <w:bottom w:w="0" w:type="dxa"/>
              <w:right w:w="0" w:type="dxa"/>
            </w:tcMar>
          </w:tcPr>
          <w:p w:rsidR="00494823" w:rsidRPr="00CD18B9">
            <w:pPr>
              <w:pStyle w:val="REMARKTABLECELLSIMPLE"/>
            </w:pPr>
            <w:r w:rsidR="00D8010F">
              <w:t>Votul pe marginea deciziei privind descărcarea de gestiune include închiderea conturilor [a se vedea anexa V articolul 5 alineatul (2) litera (a) din Regulamentul de procedură].</w:t>
            </w:r>
          </w:p>
        </w:tc>
      </w:tr>
    </w:tbl>
    <w:p w:rsidR="00494823" w:rsidRPr="00CD18B9">
      <w:pPr>
        <w:pStyle w:val="STYTAB"/>
      </w:pPr>
    </w:p>
    <w:p w:rsidR="00494823" w:rsidRPr="00CD18B9">
      <w:pPr>
        <w:pStyle w:val="STYTAB"/>
      </w:pPr>
    </w:p>
    <w:p w:rsidR="00494823">
      <w:pPr>
        <w:pStyle w:val="VOTETITLE"/>
        <w:outlineLvl w:val="9"/>
      </w:pPr>
      <w:r w:rsidR="00D8010F">
        <w:t>Descărcarea de gestiune 2014: Întreprinderea comună Artemis</w:t>
      </w:r>
    </w:p>
    <w:p w:rsidR="00494823" w:rsidRPr="00CD18B9">
      <w:pPr>
        <w:pStyle w:val="VOTEREPORTTITLE"/>
      </w:pPr>
      <w:r w:rsidR="00D8010F">
        <w:t>Al doilea rap</w:t>
      </w:r>
      <w:r w:rsidR="00D8010F">
        <w:t>ort: Marian-Jean Marinescu (A8-0276/2016)</w:t>
      </w:r>
    </w:p>
    <w:tbl>
      <w:tblPr>
        <w:tblStyle w:val="TableNormal"/>
        <w:tblW w:w="9071" w:type="dxa"/>
        <w:tblLayout w:type="fixed"/>
        <w:tblCellMar>
          <w:left w:w="10" w:type="dxa"/>
          <w:right w:w="10" w:type="dxa"/>
        </w:tblCellMar>
        <w:tblLook w:val="04A0"/>
      </w:tblPr>
      <w:tblGrid>
        <w:gridCol w:w="3260"/>
        <w:gridCol w:w="2409"/>
        <w:gridCol w:w="1440"/>
        <w:gridCol w:w="1962"/>
      </w:tblGrid>
      <w:tr>
        <w:tblPrEx>
          <w:tblW w:w="9071" w:type="dxa"/>
          <w:tblLayout w:type="fixed"/>
          <w:tblCellMar>
            <w:left w:w="10" w:type="dxa"/>
            <w:right w:w="10" w:type="dxa"/>
          </w:tblCellMar>
          <w:tblLook w:val="04A0"/>
        </w:tblPrEx>
        <w:trPr>
          <w:cantSplit/>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Obiect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AN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Vot</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rsidRPr="00CD18B9">
            <w:pPr>
              <w:pStyle w:val="VOTINGTABLEHEADER"/>
            </w:pPr>
            <w:r w:rsidR="00D8010F">
              <w:t>AN/VE - comentarii</w:t>
            </w:r>
          </w:p>
        </w:tc>
      </w:tr>
      <w:tr>
        <w:tblPrEx>
          <w:tblW w:w="9071" w:type="dxa"/>
          <w:tblLayout w:type="fixed"/>
          <w:tblCellMar>
            <w:left w:w="10" w:type="dxa"/>
            <w:right w:w="10" w:type="dxa"/>
          </w:tblCellMar>
          <w:tblLook w:val="04A0"/>
        </w:tblPrEx>
        <w:trPr>
          <w:cantSplit/>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Decizie privind descărcarea de gestiune</w:t>
            </w:r>
          </w:p>
        </w:tc>
      </w:tr>
      <w:tr>
        <w:tblPrEx>
          <w:tblW w:w="9071" w:type="dxa"/>
          <w:tblLayout w:type="fixed"/>
          <w:tblCellMar>
            <w:left w:w="10" w:type="dxa"/>
            <w:right w:w="10" w:type="dxa"/>
          </w:tblCellMar>
          <w:tblLook w:val="04A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 xml:space="preserve">vot: decizie </w:t>
              <w:br/>
              <w:t>(întregul text)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AN"/>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VOTE"/>
            </w:pPr>
            <w:r w:rsidR="00D8010F">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REMARK"/>
            </w:pPr>
          </w:p>
        </w:tc>
      </w:tr>
      <w:tr>
        <w:tblPrEx>
          <w:tblW w:w="9071" w:type="dxa"/>
          <w:tblLayout w:type="fixed"/>
          <w:tblCellMar>
            <w:left w:w="10" w:type="dxa"/>
            <w:right w:w="10" w:type="dxa"/>
          </w:tblCellMar>
          <w:tblLook w:val="04A0"/>
        </w:tblPrEx>
        <w:trPr>
          <w:cantSplit/>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Propunere de rezoluție</w:t>
            </w:r>
          </w:p>
        </w:tc>
      </w:tr>
      <w:tr>
        <w:tblPrEx>
          <w:tblW w:w="9071" w:type="dxa"/>
          <w:tblLayout w:type="fixed"/>
          <w:tblCellMar>
            <w:left w:w="10" w:type="dxa"/>
            <w:right w:w="10" w:type="dxa"/>
          </w:tblCellMar>
          <w:tblLook w:val="04A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 xml:space="preserve">vot: rezoluție </w:t>
              <w:br/>
              <w:t>(întregul text)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AN"/>
            </w:pPr>
            <w:r w:rsidR="00D8010F">
              <w:t>AN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VOTE"/>
            </w:pPr>
            <w:r w:rsidR="00D8010F">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REMARK"/>
            </w:pPr>
            <w:r w:rsidR="00D8010F">
              <w:t>498, 108, 18</w:t>
            </w:r>
          </w:p>
        </w:tc>
      </w:tr>
    </w:tbl>
    <w:p w:rsidR="00494823" w:rsidRPr="00CD18B9">
      <w:pPr>
        <w:pStyle w:val="STYTAB"/>
      </w:pPr>
    </w:p>
    <w:tbl>
      <w:tblPr>
        <w:tblStyle w:val="TableNormal"/>
        <w:tblW w:w="9065" w:type="dxa"/>
        <w:tblLayout w:type="fixed"/>
        <w:tblCellMar>
          <w:left w:w="10" w:type="dxa"/>
          <w:right w:w="10" w:type="dxa"/>
        </w:tblCellMar>
        <w:tblLook w:val="04A0"/>
      </w:tblPr>
      <w:tblGrid>
        <w:gridCol w:w="9065"/>
      </w:tblGrid>
      <w:tr>
        <w:tblPrEx>
          <w:tblW w:w="9065" w:type="dxa"/>
          <w:tblLayout w:type="fixed"/>
          <w:tblCellMar>
            <w:left w:w="10" w:type="dxa"/>
            <w:right w:w="10" w:type="dxa"/>
          </w:tblCellMar>
          <w:tblLook w:val="04A0"/>
        </w:tblPrEx>
        <w:trPr>
          <w:cantSplit/>
        </w:trPr>
        <w:tc>
          <w:tcPr>
            <w:tcW w:w="9065" w:type="dxa"/>
            <w:tcMar>
              <w:top w:w="0" w:type="dxa"/>
              <w:left w:w="0" w:type="dxa"/>
              <w:bottom w:w="0" w:type="dxa"/>
              <w:right w:w="0" w:type="dxa"/>
            </w:tcMar>
          </w:tcPr>
          <w:p w:rsidR="00494823" w:rsidRPr="00CD18B9">
            <w:pPr>
              <w:pStyle w:val="REMARKTABLECELLSIMPLE"/>
            </w:pPr>
            <w:r w:rsidR="00D8010F">
              <w:t>Votul pe marginea deciziei privind descărcarea de gestiune include închiderea conturilor [a se vedea anexa V articolul 5 alineatul (2) litera (a) din Regulamentul de procedură].</w:t>
            </w:r>
          </w:p>
        </w:tc>
      </w:tr>
    </w:tbl>
    <w:p w:rsidR="00494823" w:rsidRPr="00CD18B9">
      <w:pPr>
        <w:pStyle w:val="STYTAB"/>
      </w:pPr>
    </w:p>
    <w:tbl>
      <w:tblPr>
        <w:tblStyle w:val="TableNormal"/>
        <w:tblW w:w="9065" w:type="dxa"/>
        <w:tblLayout w:type="fixed"/>
        <w:tblCellMar>
          <w:left w:w="10" w:type="dxa"/>
          <w:right w:w="10" w:type="dxa"/>
        </w:tblCellMar>
        <w:tblLook w:val="04A0"/>
      </w:tblPr>
      <w:tblGrid>
        <w:gridCol w:w="9065"/>
      </w:tblGrid>
      <w:tr>
        <w:tblPrEx>
          <w:tblW w:w="9065" w:type="dxa"/>
          <w:tblLayout w:type="fixed"/>
          <w:tblCellMar>
            <w:left w:w="10" w:type="dxa"/>
            <w:right w:w="10" w:type="dxa"/>
          </w:tblCellMar>
          <w:tblLook w:val="04A0"/>
        </w:tblPrEx>
        <w:trPr>
          <w:cantSplit/>
        </w:trPr>
        <w:tc>
          <w:tcPr>
            <w:tcW w:w="9065" w:type="dxa"/>
            <w:tcMar>
              <w:top w:w="0" w:type="dxa"/>
              <w:left w:w="0" w:type="dxa"/>
              <w:bottom w:w="0" w:type="dxa"/>
              <w:right w:w="0" w:type="dxa"/>
            </w:tcMar>
          </w:tcPr>
          <w:p w:rsidR="00494823">
            <w:pPr>
              <w:pStyle w:val="REMARKTABLECELLTITLE"/>
            </w:pPr>
            <w:r w:rsidR="00D8010F">
              <w:t>Diverse</w:t>
            </w:r>
          </w:p>
        </w:tc>
      </w:tr>
      <w:tr>
        <w:tblPrEx>
          <w:tblW w:w="9065" w:type="dxa"/>
          <w:tblLayout w:type="fixed"/>
          <w:tblCellMar>
            <w:left w:w="10" w:type="dxa"/>
            <w:right w:w="10" w:type="dxa"/>
          </w:tblCellMar>
          <w:tblLook w:val="04A0"/>
        </w:tblPrEx>
        <w:trPr>
          <w:cantSplit/>
        </w:trPr>
        <w:tc>
          <w:tcPr>
            <w:tcW w:w="9065" w:type="dxa"/>
            <w:tcMar>
              <w:top w:w="0" w:type="dxa"/>
              <w:left w:w="0" w:type="dxa"/>
              <w:bottom w:w="0" w:type="dxa"/>
              <w:right w:w="0" w:type="dxa"/>
            </w:tcMar>
          </w:tcPr>
          <w:p w:rsidR="00494823" w:rsidRPr="00CD18B9">
            <w:pPr>
              <w:pStyle w:val="REMARKTABLECELLSIMPLE"/>
            </w:pPr>
            <w:r w:rsidR="00D8010F">
              <w:t>Erată: toate versiunile lingvistice, cu excepția BG, IT, PT și SV.</w:t>
            </w:r>
          </w:p>
        </w:tc>
      </w:tr>
    </w:tbl>
    <w:p w:rsidR="00494823" w:rsidRPr="00CD18B9">
      <w:pPr>
        <w:pStyle w:val="STYTAB"/>
      </w:pPr>
    </w:p>
    <w:p w:rsidR="00494823" w:rsidRPr="00CD18B9">
      <w:pPr>
        <w:pStyle w:val="STYTAB"/>
      </w:pPr>
    </w:p>
    <w:p w:rsidR="00494823" w:rsidRPr="00CD18B9">
      <w:pPr>
        <w:pStyle w:val="VOTETITLE"/>
        <w:outlineLvl w:val="9"/>
      </w:pPr>
      <w:r w:rsidR="00D8010F">
        <w:t>Descărcarea de gestiune 2014: Întreprinderea comună pentru ITER și pentru dezvoltarea energiei de fuziune</w:t>
      </w:r>
    </w:p>
    <w:p w:rsidR="00494823" w:rsidRPr="00CD18B9">
      <w:pPr>
        <w:pStyle w:val="VOTEREPORTTITLE"/>
      </w:pPr>
      <w:r w:rsidR="00D8010F">
        <w:t>Al doilea raport: Marian-Jean Marinescu (A8-0275/2016)</w:t>
      </w:r>
    </w:p>
    <w:tbl>
      <w:tblPr>
        <w:tblStyle w:val="TableNormal"/>
        <w:tblW w:w="9071" w:type="dxa"/>
        <w:tblLayout w:type="fixed"/>
        <w:tblCellMar>
          <w:left w:w="10" w:type="dxa"/>
          <w:right w:w="10" w:type="dxa"/>
        </w:tblCellMar>
        <w:tblLook w:val="04A0"/>
      </w:tblPr>
      <w:tblGrid>
        <w:gridCol w:w="3260"/>
        <w:gridCol w:w="2409"/>
        <w:gridCol w:w="1440"/>
        <w:gridCol w:w="1962"/>
      </w:tblGrid>
      <w:tr>
        <w:tblPrEx>
          <w:tblW w:w="9071" w:type="dxa"/>
          <w:tblLayout w:type="fixed"/>
          <w:tblCellMar>
            <w:left w:w="10" w:type="dxa"/>
            <w:right w:w="10" w:type="dxa"/>
          </w:tblCellMar>
          <w:tblLook w:val="04A0"/>
        </w:tblPrEx>
        <w:trPr>
          <w:cantSplit/>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Obiect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AN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Vot</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rsidRPr="00CD18B9">
            <w:pPr>
              <w:pStyle w:val="VOTINGTABLEHEADER"/>
            </w:pPr>
            <w:r w:rsidR="00D8010F">
              <w:t>AN/VE - comentarii</w:t>
            </w:r>
          </w:p>
        </w:tc>
      </w:tr>
      <w:tr>
        <w:tblPrEx>
          <w:tblW w:w="9071" w:type="dxa"/>
          <w:tblLayout w:type="fixed"/>
          <w:tblCellMar>
            <w:left w:w="10" w:type="dxa"/>
            <w:right w:w="10" w:type="dxa"/>
          </w:tblCellMar>
          <w:tblLook w:val="04A0"/>
        </w:tblPrEx>
        <w:trPr>
          <w:cantSplit/>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Decizie privind descărcarea de gestiune</w:t>
            </w:r>
          </w:p>
        </w:tc>
      </w:tr>
      <w:tr>
        <w:tblPrEx>
          <w:tblW w:w="9071" w:type="dxa"/>
          <w:tblLayout w:type="fixed"/>
          <w:tblCellMar>
            <w:left w:w="10" w:type="dxa"/>
            <w:right w:w="10" w:type="dxa"/>
          </w:tblCellMar>
          <w:tblLook w:val="04A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 xml:space="preserve">vot: decizie </w:t>
              <w:br/>
              <w:t>(întregul text)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AN"/>
            </w:pPr>
            <w:r w:rsidR="00D8010F">
              <w:t>VE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VOTE"/>
            </w:pPr>
            <w:r w:rsidR="00D8010F">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REMARK"/>
            </w:pPr>
            <w:r w:rsidR="00D8010F">
              <w:t>436, 170, 15</w:t>
            </w:r>
          </w:p>
        </w:tc>
      </w:tr>
      <w:tr>
        <w:tblPrEx>
          <w:tblW w:w="9071" w:type="dxa"/>
          <w:tblLayout w:type="fixed"/>
          <w:tblCellMar>
            <w:left w:w="10" w:type="dxa"/>
            <w:right w:w="10" w:type="dxa"/>
          </w:tblCellMar>
          <w:tblLook w:val="04A0"/>
        </w:tblPrEx>
        <w:trPr>
          <w:cantSplit/>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Propunere de rezoluție</w:t>
            </w:r>
          </w:p>
        </w:tc>
      </w:tr>
      <w:tr>
        <w:tblPrEx>
          <w:tblW w:w="9071" w:type="dxa"/>
          <w:tblLayout w:type="fixed"/>
          <w:tblCellMar>
            <w:left w:w="10" w:type="dxa"/>
            <w:right w:w="10" w:type="dxa"/>
          </w:tblCellMar>
          <w:tblLook w:val="04A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 xml:space="preserve">vot: rezoluție </w:t>
              <w:br/>
              <w:t>(întregul text)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AN"/>
            </w:pPr>
            <w:r w:rsidR="00D8010F">
              <w:t>AN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VOTE"/>
            </w:pPr>
            <w:r w:rsidR="00D8010F">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REMARK"/>
            </w:pPr>
            <w:r w:rsidR="00D8010F">
              <w:t>441, 166, 19</w:t>
            </w:r>
          </w:p>
        </w:tc>
      </w:tr>
    </w:tbl>
    <w:p w:rsidR="00494823" w:rsidRPr="00CD18B9">
      <w:pPr>
        <w:pStyle w:val="STYTAB"/>
      </w:pPr>
    </w:p>
    <w:tbl>
      <w:tblPr>
        <w:tblStyle w:val="TableNormal"/>
        <w:tblW w:w="9065" w:type="dxa"/>
        <w:tblLayout w:type="fixed"/>
        <w:tblCellMar>
          <w:left w:w="10" w:type="dxa"/>
          <w:right w:w="10" w:type="dxa"/>
        </w:tblCellMar>
        <w:tblLook w:val="04A0"/>
      </w:tblPr>
      <w:tblGrid>
        <w:gridCol w:w="9065"/>
      </w:tblGrid>
      <w:tr>
        <w:tblPrEx>
          <w:tblW w:w="9065" w:type="dxa"/>
          <w:tblLayout w:type="fixed"/>
          <w:tblCellMar>
            <w:left w:w="10" w:type="dxa"/>
            <w:right w:w="10" w:type="dxa"/>
          </w:tblCellMar>
          <w:tblLook w:val="04A0"/>
        </w:tblPrEx>
        <w:trPr>
          <w:cantSplit/>
        </w:trPr>
        <w:tc>
          <w:tcPr>
            <w:tcW w:w="9065" w:type="dxa"/>
            <w:tcMar>
              <w:top w:w="0" w:type="dxa"/>
              <w:left w:w="0" w:type="dxa"/>
              <w:bottom w:w="0" w:type="dxa"/>
              <w:right w:w="0" w:type="dxa"/>
            </w:tcMar>
          </w:tcPr>
          <w:p w:rsidR="00494823" w:rsidRPr="00CD18B9">
            <w:pPr>
              <w:pStyle w:val="REMARKTABLECELLSIMPLE"/>
            </w:pPr>
            <w:r w:rsidR="00D8010F">
              <w:t>Votul pe marginea deciziei privind descărcarea de gestiune include închiderea conturilor [a se vedea anexa V articolul 5 alineatul (2) litera (a) din Regulamentul de procedură].</w:t>
            </w:r>
          </w:p>
        </w:tc>
      </w:tr>
    </w:tbl>
    <w:p w:rsidR="00494823" w:rsidRPr="00CD18B9">
      <w:pPr>
        <w:pStyle w:val="STYTAB"/>
      </w:pPr>
    </w:p>
    <w:p w:rsidR="00494823">
      <w:pPr>
        <w:pStyle w:val="STYTAB"/>
      </w:pPr>
    </w:p>
    <w:p w:rsidR="00CD18B9">
      <w:pPr>
        <w:pStyle w:val="STYTAB"/>
      </w:pPr>
      <w:r>
        <w:br/>
      </w:r>
    </w:p>
    <w:p w:rsidR="00CD18B9">
      <w:pPr>
        <w:rPr>
          <w:sz w:val="18"/>
          <w:szCs w:val="20"/>
        </w:rPr>
      </w:pPr>
      <w:r>
        <w:br w:type="page"/>
      </w:r>
    </w:p>
    <w:p w:rsidR="00CD18B9" w:rsidRPr="00CD18B9">
      <w:pPr>
        <w:pStyle w:val="STYTAB"/>
      </w:pPr>
    </w:p>
    <w:p w:rsidR="00494823" w:rsidRPr="00CD18B9">
      <w:pPr>
        <w:pStyle w:val="VOTETITLE"/>
        <w:outlineLvl w:val="9"/>
      </w:pPr>
      <w:r w:rsidR="00D8010F">
        <w:t>Situația din nordul Irakului/Mosul</w:t>
      </w:r>
    </w:p>
    <w:p w:rsidR="00494823" w:rsidRPr="00CD18B9">
      <w:pPr>
        <w:pStyle w:val="VOTEREPORTTITLE"/>
      </w:pPr>
      <w:r w:rsidR="00D8010F">
        <w:t>Propuneri de rezoluție: B8-1159/2016, B8-1160/2016, B8-1161/2016, B8-1164/2016, B8-1165/2016, B8-1166/2016, B8-1169/2016</w:t>
      </w:r>
    </w:p>
    <w:tbl>
      <w:tblPr>
        <w:tblStyle w:val="TableNormal"/>
        <w:tblW w:w="9071" w:type="dxa"/>
        <w:tblLayout w:type="fixed"/>
        <w:tblCellMar>
          <w:left w:w="10" w:type="dxa"/>
          <w:right w:w="10" w:type="dxa"/>
        </w:tblCellMar>
        <w:tblLook w:val="04A0"/>
      </w:tblPr>
      <w:tblGrid>
        <w:gridCol w:w="2259"/>
        <w:gridCol w:w="908"/>
        <w:gridCol w:w="1516"/>
        <w:gridCol w:w="982"/>
        <w:gridCol w:w="1419"/>
        <w:gridCol w:w="1987"/>
      </w:tblGrid>
      <w:tr>
        <w:tblPrEx>
          <w:tblW w:w="9071" w:type="dxa"/>
          <w:tblLayout w:type="fixed"/>
          <w:tblCellMar>
            <w:left w:w="10" w:type="dxa"/>
            <w:right w:w="10" w:type="dxa"/>
          </w:tblCellMar>
          <w:tblLook w:val="04A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Obiect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AN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Vot</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rsidRPr="00CD18B9">
            <w:pPr>
              <w:pStyle w:val="VOTINGTABLEHEADER"/>
            </w:pPr>
            <w:r w:rsidR="00D8010F">
              <w:t>AN/VE - comentarii</w:t>
            </w:r>
          </w:p>
        </w:tc>
      </w:tr>
      <w:tr>
        <w:tblPrEx>
          <w:tblW w:w="9071" w:type="dxa"/>
          <w:tblLayout w:type="fixed"/>
          <w:tblCellMar>
            <w:left w:w="10" w:type="dxa"/>
            <w:right w:w="10" w:type="dxa"/>
          </w:tblCellMar>
          <w:tblLook w:val="04A0"/>
        </w:tblPrEx>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Propunerea comună de rezoluț</w:t>
            </w:r>
            <w:r w:rsidR="00D8010F">
              <w:t xml:space="preserve">ie RC-B8-1159/2016 </w:t>
              <w:br/>
              <w:t>(PPE, S&amp;D, ECR, ALDE, GUE/NGL, EFDD)</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17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499, 105, 21</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23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600, 0, 21</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Considerentul B</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vot: rezoluție (întregul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488, 11, 128</w:t>
            </w:r>
          </w:p>
        </w:tc>
      </w:tr>
      <w:tr>
        <w:tblPrEx>
          <w:tblW w:w="9071" w:type="dxa"/>
          <w:tblLayout w:type="fixed"/>
          <w:tblCellMar>
            <w:left w:w="10" w:type="dxa"/>
            <w:right w:w="10" w:type="dxa"/>
          </w:tblCellMar>
          <w:tblLook w:val="04A0"/>
        </w:tblPrEx>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Propuneri de rezoluție ale grupurilor politice</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B8-1159/2016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B8-1160/2016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B8-1161/2016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B8-1164/2016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B8-1165/2016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B8-1166/2016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B8-1169/2016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bl>
    <w:p w:rsidR="00494823">
      <w:pPr>
        <w:pStyle w:val="STYTAB"/>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rsidRPr="00CD18B9">
            <w:pPr>
              <w:pStyle w:val="REMARKTABLECELLTITLE"/>
            </w:pPr>
            <w:r w:rsidR="00D8010F">
              <w:t>Solicitări de vot p</w:t>
            </w:r>
            <w:r w:rsidR="00D8010F">
              <w:t>rin apel nominal</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SIMPLE"/>
            </w:pPr>
            <w:r w:rsidR="00D8010F">
              <w:t>GUE/NGL:</w:t>
            </w:r>
          </w:p>
        </w:tc>
        <w:tc>
          <w:tcPr>
            <w:tcW w:w="7495" w:type="dxa"/>
            <w:tcMar>
              <w:top w:w="0" w:type="dxa"/>
              <w:left w:w="0" w:type="dxa"/>
              <w:bottom w:w="0" w:type="dxa"/>
              <w:right w:w="0" w:type="dxa"/>
            </w:tcMar>
          </w:tcPr>
          <w:p w:rsidR="00494823">
            <w:pPr>
              <w:pStyle w:val="REMARKTABLECELLSIMPLE"/>
            </w:pPr>
            <w:r w:rsidR="00D8010F">
              <w:t>§ 17</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SIMPLE"/>
            </w:pPr>
            <w:r w:rsidR="00D8010F">
              <w:t>ENF:</w:t>
            </w:r>
          </w:p>
        </w:tc>
        <w:tc>
          <w:tcPr>
            <w:tcW w:w="7495" w:type="dxa"/>
            <w:tcMar>
              <w:top w:w="0" w:type="dxa"/>
              <w:left w:w="0" w:type="dxa"/>
              <w:bottom w:w="0" w:type="dxa"/>
              <w:right w:w="0" w:type="dxa"/>
            </w:tcMar>
          </w:tcPr>
          <w:p w:rsidR="00494823">
            <w:pPr>
              <w:pStyle w:val="REMARKTABLECELLSIMPLE"/>
            </w:pPr>
            <w:r w:rsidR="00D8010F">
              <w:t>§ 23</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SIMPLE"/>
            </w:pPr>
            <w:r w:rsidR="00D8010F">
              <w:t>Vert/ALE:</w:t>
            </w:r>
          </w:p>
        </w:tc>
        <w:tc>
          <w:tcPr>
            <w:tcW w:w="7495" w:type="dxa"/>
            <w:tcMar>
              <w:top w:w="0" w:type="dxa"/>
              <w:left w:w="0" w:type="dxa"/>
              <w:bottom w:w="0" w:type="dxa"/>
              <w:right w:w="0" w:type="dxa"/>
            </w:tcMar>
          </w:tcPr>
          <w:p w:rsidR="00494823">
            <w:pPr>
              <w:pStyle w:val="REMARKTABLECELLSIMPLE"/>
            </w:pPr>
            <w:r w:rsidR="00D8010F">
              <w:t>vot final</w:t>
            </w:r>
          </w:p>
        </w:tc>
      </w:tr>
    </w:tbl>
    <w:p w:rsidR="00494823">
      <w:pPr>
        <w:pStyle w:val="STYTAB"/>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TITLE"/>
            </w:pPr>
            <w:r w:rsidR="00D8010F">
              <w:t>Solicitări de vot separat</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SIMPLE"/>
            </w:pPr>
            <w:r w:rsidR="00D8010F">
              <w:t>EFDD:</w:t>
            </w:r>
          </w:p>
        </w:tc>
        <w:tc>
          <w:tcPr>
            <w:tcW w:w="7495" w:type="dxa"/>
            <w:tcMar>
              <w:top w:w="0" w:type="dxa"/>
              <w:left w:w="0" w:type="dxa"/>
              <w:bottom w:w="0" w:type="dxa"/>
              <w:right w:w="0" w:type="dxa"/>
            </w:tcMar>
          </w:tcPr>
          <w:p w:rsidR="00494823">
            <w:pPr>
              <w:pStyle w:val="REMARKTABLECELLSIMPLE"/>
            </w:pPr>
            <w:r w:rsidR="00D8010F">
              <w:t>§ 17</w:t>
            </w:r>
          </w:p>
        </w:tc>
      </w:tr>
    </w:tbl>
    <w:p w:rsidR="00494823">
      <w:pPr>
        <w:pStyle w:val="STYTAB"/>
      </w:pPr>
    </w:p>
    <w:p w:rsidR="00494823">
      <w:pPr>
        <w:pStyle w:val="STYTAB"/>
      </w:pPr>
    </w:p>
    <w:p w:rsidR="00494823">
      <w:pPr>
        <w:pStyle w:val="VOTETITLE"/>
        <w:outlineLvl w:val="9"/>
      </w:pPr>
      <w:r w:rsidR="00D8010F">
        <w:t>Situația jurnaliștilor din Turcia</w:t>
      </w:r>
    </w:p>
    <w:p w:rsidR="00494823" w:rsidRPr="00CD18B9">
      <w:pPr>
        <w:pStyle w:val="VOTEREPORTTITLE"/>
      </w:pPr>
      <w:r w:rsidR="00D8010F">
        <w:t>Propuneri de rezoluție: B8-1158/2016, B8-1162/2016, B8-1163/2016, B8-1167/2016, B8-1168/2016, B8-1170/2016, B8-1171</w:t>
      </w:r>
      <w:r w:rsidR="00D8010F">
        <w:t>/2016, B8-1172/2016</w:t>
      </w:r>
    </w:p>
    <w:tbl>
      <w:tblPr>
        <w:tblStyle w:val="TableNormal"/>
        <w:tblW w:w="9071" w:type="dxa"/>
        <w:tblLayout w:type="fixed"/>
        <w:tblCellMar>
          <w:left w:w="10" w:type="dxa"/>
          <w:right w:w="10" w:type="dxa"/>
        </w:tblCellMar>
        <w:tblLook w:val="04A0"/>
      </w:tblPr>
      <w:tblGrid>
        <w:gridCol w:w="2259"/>
        <w:gridCol w:w="908"/>
        <w:gridCol w:w="1516"/>
        <w:gridCol w:w="982"/>
        <w:gridCol w:w="1419"/>
        <w:gridCol w:w="1987"/>
      </w:tblGrid>
      <w:tr>
        <w:tblPrEx>
          <w:tblW w:w="9071" w:type="dxa"/>
          <w:tblLayout w:type="fixed"/>
          <w:tblCellMar>
            <w:left w:w="10" w:type="dxa"/>
            <w:right w:w="10" w:type="dxa"/>
          </w:tblCellMar>
          <w:tblLook w:val="04A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Obiect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AN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Vot</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rsidRPr="00CD18B9">
            <w:pPr>
              <w:pStyle w:val="VOTINGTABLEHEADER"/>
            </w:pPr>
            <w:r w:rsidR="00D8010F">
              <w:t>AN/VE - comentarii</w:t>
            </w:r>
          </w:p>
        </w:tc>
      </w:tr>
      <w:tr>
        <w:tblPrEx>
          <w:tblW w:w="9071" w:type="dxa"/>
          <w:tblLayout w:type="fixed"/>
          <w:tblCellMar>
            <w:left w:w="10" w:type="dxa"/>
            <w:right w:w="10" w:type="dxa"/>
          </w:tblCellMar>
          <w:tblLook w:val="04A0"/>
        </w:tblPrEx>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Propunere de rezoluție a unui grup politic</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B8-1158/2016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83, 537, 2</w:t>
            </w:r>
          </w:p>
        </w:tc>
      </w:tr>
      <w:tr>
        <w:tblPrEx>
          <w:tblW w:w="9071" w:type="dxa"/>
          <w:tblLayout w:type="fixed"/>
          <w:tblCellMar>
            <w:left w:w="10" w:type="dxa"/>
            <w:right w:w="10" w:type="dxa"/>
          </w:tblCellMar>
          <w:tblLook w:val="04A0"/>
        </w:tblPrEx>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 xml:space="preserve">Propunere comună de rezoluție RC-B8-1162/2016 </w:t>
              <w:br/>
              <w:t>(PPE, S&amp;D, ECR, ALDE, GUE/NGL, Verts/ALE, EFDD)</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După § 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După § 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93, 518, 12</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După considerentul 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vot: rezoluție (întregul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Propuneri de rezoluție ale grupurilor politic</w:t>
            </w:r>
            <w:r w:rsidR="00D8010F">
              <w:t>e</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B8-1162/2016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B8-1163/2016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B8-1167/2016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B8-1168/2016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B8-1170/2016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B8-1171/2016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B8-1172/2016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bl>
    <w:p w:rsidR="00494823">
      <w:pPr>
        <w:pStyle w:val="STYTAB"/>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rsidRPr="00CD18B9">
            <w:pPr>
              <w:pStyle w:val="REMARKTABLECELLTITLE"/>
            </w:pPr>
            <w:r w:rsidR="00D8010F">
              <w:t>Solicitări de vot prin apel nominal</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SIMPLE"/>
            </w:pPr>
            <w:r w:rsidR="00D8010F">
              <w:t>ENF:</w:t>
            </w:r>
          </w:p>
        </w:tc>
        <w:tc>
          <w:tcPr>
            <w:tcW w:w="7495" w:type="dxa"/>
            <w:tcMar>
              <w:top w:w="0" w:type="dxa"/>
              <w:left w:w="0" w:type="dxa"/>
              <w:bottom w:w="0" w:type="dxa"/>
              <w:right w:w="0" w:type="dxa"/>
            </w:tcMar>
          </w:tcPr>
          <w:p w:rsidR="00494823">
            <w:pPr>
              <w:pStyle w:val="REMARKTABLECELLSIMPLE"/>
            </w:pPr>
            <w:r w:rsidR="00D8010F">
              <w:t xml:space="preserve">B8-1158/2016 </w:t>
              <w:br/>
              <w:t>RC-B8-1162/2016: amenda</w:t>
            </w:r>
            <w:r w:rsidR="00D8010F">
              <w:t>mentul 3</w:t>
            </w:r>
          </w:p>
        </w:tc>
      </w:tr>
    </w:tbl>
    <w:p w:rsidR="00494823">
      <w:pPr>
        <w:pStyle w:val="STYTAB"/>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rsidRPr="00CD18B9">
            <w:pPr>
              <w:pStyle w:val="REMARKTABLECELLTITLE"/>
            </w:pPr>
            <w:r w:rsidR="00D8010F">
              <w:t>Solicitări de vot pe părți</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ENF:</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8</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„subliniază că Turcia se confruntă cu o amenințare teroristă reală; reamintește, cu toate acestea, că legislația turcă împotriva terorismului, definită în sens larg, nu ar trebui folosită pentru a pedepsi jurnaliștii pentru exercitarea dreptului lor la libertatea de exprimare;”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„solicită punerea în aplicare de urgență a recomandărilor Comisiei de la Veneția din martie 2016 și realizarea reformei legislației privind combaterea terorismului;” cu excepția cuvintelor: „punerea în aplicare de urgență a recomandărilor Comisiei de la Veneția din martie 2016 și”</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treia parte</w:t>
            </w:r>
          </w:p>
        </w:tc>
        <w:tc>
          <w:tcPr>
            <w:tcW w:w="7495" w:type="dxa"/>
            <w:tcMar>
              <w:top w:w="0" w:type="dxa"/>
              <w:left w:w="0" w:type="dxa"/>
              <w:bottom w:w="0" w:type="dxa"/>
              <w:right w:w="0" w:type="dxa"/>
            </w:tcMar>
          </w:tcPr>
          <w:p w:rsidR="00494823" w:rsidRPr="00CD18B9">
            <w:pPr>
              <w:pStyle w:val="REMARKTABLECELLSIMPLE"/>
            </w:pPr>
            <w:r w:rsidR="00D8010F">
              <w:t>„punerea în aplicare de urgență a recomandărilor Comisiei de la Veneția din martie 2016 și”</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9</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„Serviciului European de Acțiune Externă și”</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bl>
    <w:p w:rsidR="00494823">
      <w:pPr>
        <w:pStyle w:val="STYTAB"/>
      </w:pPr>
    </w:p>
    <w:tbl>
      <w:tblPr>
        <w:tblStyle w:val="TableNormal"/>
        <w:tblW w:w="9065" w:type="dxa"/>
        <w:tblLayout w:type="fixed"/>
        <w:tblCellMar>
          <w:left w:w="10" w:type="dxa"/>
          <w:right w:w="10" w:type="dxa"/>
        </w:tblCellMar>
        <w:tblLook w:val="04A0"/>
      </w:tblPr>
      <w:tblGrid>
        <w:gridCol w:w="9065"/>
      </w:tblGrid>
      <w:tr>
        <w:tblPrEx>
          <w:tblW w:w="9065" w:type="dxa"/>
          <w:tblLayout w:type="fixed"/>
          <w:tblCellMar>
            <w:left w:w="10" w:type="dxa"/>
            <w:right w:w="10" w:type="dxa"/>
          </w:tblCellMar>
          <w:tblLook w:val="04A0"/>
        </w:tblPrEx>
        <w:trPr>
          <w:cantSplit/>
        </w:trPr>
        <w:tc>
          <w:tcPr>
            <w:tcW w:w="9065" w:type="dxa"/>
            <w:tcMar>
              <w:top w:w="0" w:type="dxa"/>
              <w:left w:w="0" w:type="dxa"/>
              <w:bottom w:w="0" w:type="dxa"/>
              <w:right w:w="0" w:type="dxa"/>
            </w:tcMar>
          </w:tcPr>
          <w:p w:rsidR="00494823">
            <w:pPr>
              <w:pStyle w:val="REMARKTABLECELLTITLE"/>
            </w:pPr>
            <w:r w:rsidR="00D8010F">
              <w:t>Diverse</w:t>
            </w:r>
          </w:p>
        </w:tc>
      </w:tr>
      <w:tr>
        <w:tblPrEx>
          <w:tblW w:w="9065" w:type="dxa"/>
          <w:tblLayout w:type="fixed"/>
          <w:tblCellMar>
            <w:left w:w="10" w:type="dxa"/>
            <w:right w:w="10" w:type="dxa"/>
          </w:tblCellMar>
          <w:tblLook w:val="04A0"/>
        </w:tblPrEx>
        <w:trPr>
          <w:cantSplit/>
        </w:trPr>
        <w:tc>
          <w:tcPr>
            <w:tcW w:w="9065" w:type="dxa"/>
            <w:tcMar>
              <w:top w:w="0" w:type="dxa"/>
              <w:left w:w="0" w:type="dxa"/>
              <w:bottom w:w="0" w:type="dxa"/>
              <w:right w:w="0" w:type="dxa"/>
            </w:tcMar>
          </w:tcPr>
          <w:p w:rsidR="00494823" w:rsidRPr="00CD18B9">
            <w:pPr>
              <w:pStyle w:val="REMARKTABLECELLSIMPLE"/>
            </w:pPr>
            <w:r w:rsidR="00D8010F">
              <w:t xml:space="preserve">Ruža Tomašić </w:t>
            </w:r>
            <w:r w:rsidR="00391C80">
              <w:t xml:space="preserve">(Grupul ECR) </w:t>
            </w:r>
            <w:r w:rsidR="00D8010F">
              <w:t>și Beatrix von Storch (Grupul EFDD) au semnat, de asemenea, propunerea com</w:t>
            </w:r>
            <w:r w:rsidR="00F2698D">
              <w:t>ună de rezoluție RC-B8-1162/2016</w:t>
            </w:r>
            <w:r w:rsidR="00D8010F">
              <w:t xml:space="preserve">. </w:t>
              <w:br/>
              <w:t>Mario Borghezio (Grupul ENF) este, de asemenea, semnatar al propunerii de rezoluție B8-1158/2016.</w:t>
            </w:r>
          </w:p>
        </w:tc>
      </w:tr>
    </w:tbl>
    <w:p w:rsidR="00494823" w:rsidRPr="00CD18B9">
      <w:pPr>
        <w:pStyle w:val="STYTAB"/>
      </w:pPr>
    </w:p>
    <w:p w:rsidR="00494823" w:rsidRPr="00CD18B9">
      <w:pPr>
        <w:pStyle w:val="STYTAB"/>
      </w:pPr>
    </w:p>
    <w:p w:rsidR="00494823">
      <w:pPr>
        <w:pStyle w:val="VOTETITLE"/>
        <w:outlineLvl w:val="9"/>
      </w:pPr>
      <w:r w:rsidR="00D8010F">
        <w:t>Securitatea nucleară și neproliferarea</w:t>
      </w:r>
    </w:p>
    <w:p w:rsidR="00494823" w:rsidRPr="00CD18B9">
      <w:pPr>
        <w:pStyle w:val="VOTEREPORTTITLE"/>
      </w:pPr>
      <w:r w:rsidR="00D8010F">
        <w:t>Propuneri de rezoluție: B8-1120/2016, B8-1122/2016, B8-1125/2016, B8-1129/2016, B8-1130/2016, B8-1131/2016, B8-1132/2</w:t>
      </w:r>
      <w:r w:rsidR="00D8010F">
        <w:t>016</w:t>
      </w:r>
    </w:p>
    <w:tbl>
      <w:tblPr>
        <w:tblStyle w:val="TableNormal"/>
        <w:tblW w:w="9071" w:type="dxa"/>
        <w:tblLayout w:type="fixed"/>
        <w:tblCellMar>
          <w:left w:w="10" w:type="dxa"/>
          <w:right w:w="10" w:type="dxa"/>
        </w:tblCellMar>
        <w:tblLook w:val="04A0"/>
      </w:tblPr>
      <w:tblGrid>
        <w:gridCol w:w="2259"/>
        <w:gridCol w:w="908"/>
        <w:gridCol w:w="1516"/>
        <w:gridCol w:w="982"/>
        <w:gridCol w:w="1419"/>
        <w:gridCol w:w="1987"/>
      </w:tblGrid>
      <w:tr>
        <w:tblPrEx>
          <w:tblW w:w="9071" w:type="dxa"/>
          <w:tblLayout w:type="fixed"/>
          <w:tblCellMar>
            <w:left w:w="10" w:type="dxa"/>
            <w:right w:w="10" w:type="dxa"/>
          </w:tblCellMar>
          <w:tblLook w:val="04A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Obiect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AN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Vot</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rsidRPr="00CD18B9">
            <w:pPr>
              <w:pStyle w:val="VOTINGTABLEHEADER"/>
            </w:pPr>
            <w:r w:rsidR="00D8010F">
              <w:t>AN/VE - comentarii</w:t>
            </w:r>
          </w:p>
        </w:tc>
      </w:tr>
      <w:tr>
        <w:tblPrEx>
          <w:tblW w:w="9071" w:type="dxa"/>
          <w:tblLayout w:type="fixed"/>
          <w:tblCellMar>
            <w:left w:w="10" w:type="dxa"/>
            <w:right w:w="10" w:type="dxa"/>
          </w:tblCellMar>
          <w:tblLook w:val="04A0"/>
        </w:tblPrEx>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Propunere de rezoluție a unui grup politic</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B8-1120/2016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Propunere comună de rezoluție RC-B8-1122/2016</w:t>
              <w:br/>
              <w:t xml:space="preserve"> </w:t>
              <w:br/>
              <w:t>(PPE, S&amp;D, ALDE, Verts/ALE)</w:t>
            </w: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 xml:space="preserve">text </w:t>
            </w:r>
            <w:r w:rsidR="00D8010F">
              <w:t>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354, 265, 4</w:t>
            </w: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După § 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189, 418, 16</w:t>
            </w: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156, 436, 25</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După § 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185, 410, 27</w:t>
            </w: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347, 266, 8</w:t>
            </w: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w:t>
            </w:r>
            <w:r w:rsidR="00D8010F">
              <w:t xml:space="preserve"> 7</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11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13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După § 13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3</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159, 432, 30</w:t>
            </w: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129, 456, 30</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14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19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Referirea 10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Referirea 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Considerentul B</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Considerentul D</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Considerentul H</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Considerentul M</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Considerentul N</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Considerentul P</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Considerentul Q</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Considerentul T</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vs/VE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280, 239, 101</w:t>
            </w:r>
          </w:p>
        </w:tc>
      </w:tr>
      <w:tr>
        <w:tblPrEx>
          <w:tblW w:w="9071" w:type="dxa"/>
          <w:tblLayout w:type="fixed"/>
          <w:tblCellMar>
            <w:left w:w="10" w:type="dxa"/>
            <w:right w:w="10" w:type="dxa"/>
          </w:tblCellMar>
          <w:tblLook w:val="04A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vot: rezoluție (întregul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415, 124, 74</w:t>
            </w:r>
          </w:p>
        </w:tc>
      </w:tr>
      <w:tr>
        <w:tblPrEx>
          <w:tblW w:w="9071" w:type="dxa"/>
          <w:tblLayout w:type="fixed"/>
          <w:tblCellMar>
            <w:left w:w="10" w:type="dxa"/>
            <w:right w:w="10" w:type="dxa"/>
          </w:tblCellMar>
          <w:tblLook w:val="04A0"/>
        </w:tblPrEx>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Propuneri de rezoluție ale grupurilor politice</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B8-1122/2016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B8-1125/2016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B8-1129/2016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B8-1130/2016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B8-1131/2016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B8-1132/2016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bl>
    <w:p w:rsidR="00494823">
      <w:pPr>
        <w:pStyle w:val="STYTAB"/>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rsidRPr="00CD18B9">
            <w:pPr>
              <w:pStyle w:val="REMARKTABLECELLTITLE"/>
            </w:pPr>
            <w:r w:rsidR="00D8010F">
              <w:t>Solicitări de vot prin apel nominal</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SIMPLE"/>
            </w:pPr>
            <w:r w:rsidR="00D8010F">
              <w:t>GUE/NGL:</w:t>
            </w:r>
          </w:p>
        </w:tc>
        <w:tc>
          <w:tcPr>
            <w:tcW w:w="7495" w:type="dxa"/>
            <w:tcMar>
              <w:top w:w="0" w:type="dxa"/>
              <w:left w:w="0" w:type="dxa"/>
              <w:bottom w:w="0" w:type="dxa"/>
              <w:right w:w="0" w:type="dxa"/>
            </w:tcMar>
          </w:tcPr>
          <w:p w:rsidR="00494823">
            <w:pPr>
              <w:pStyle w:val="REMARKTABLECELLSIMPLE"/>
            </w:pPr>
            <w:r w:rsidR="00D8010F">
              <w:t>amendamentele 1, 2, 3</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SIMPLE"/>
            </w:pPr>
            <w:r w:rsidR="00D8010F">
              <w:t>ECR:</w:t>
            </w:r>
          </w:p>
        </w:tc>
        <w:tc>
          <w:tcPr>
            <w:tcW w:w="7495" w:type="dxa"/>
            <w:tcMar>
              <w:top w:w="0" w:type="dxa"/>
              <w:left w:w="0" w:type="dxa"/>
              <w:bottom w:w="0" w:type="dxa"/>
              <w:right w:w="0" w:type="dxa"/>
            </w:tcMar>
          </w:tcPr>
          <w:p w:rsidR="00494823">
            <w:pPr>
              <w:pStyle w:val="REMARKTABLECELLSIMPLE"/>
            </w:pPr>
            <w:r w:rsidR="00D8010F">
              <w:t>vot final (RC-B8-1122/2016)</w:t>
            </w:r>
          </w:p>
        </w:tc>
      </w:tr>
    </w:tbl>
    <w:p w:rsidR="00494823">
      <w:pPr>
        <w:pStyle w:val="STYTAB"/>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TITLE"/>
            </w:pPr>
            <w:r w:rsidR="00D8010F">
              <w:t>Solicitări de vot separat</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SIMPLE"/>
            </w:pPr>
            <w:r w:rsidR="00D8010F">
              <w:t>PPE:</w:t>
            </w:r>
          </w:p>
        </w:tc>
        <w:tc>
          <w:tcPr>
            <w:tcW w:w="7495" w:type="dxa"/>
            <w:tcMar>
              <w:top w:w="0" w:type="dxa"/>
              <w:left w:w="0" w:type="dxa"/>
              <w:bottom w:w="0" w:type="dxa"/>
              <w:right w:w="0" w:type="dxa"/>
            </w:tcMar>
          </w:tcPr>
          <w:p w:rsidR="00494823">
            <w:pPr>
              <w:pStyle w:val="REMARKTABLECELLSIMPLE"/>
            </w:pPr>
            <w:r w:rsidR="00D8010F">
              <w:t>§ 2</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SIMPLE"/>
            </w:pPr>
            <w:r w:rsidR="00D8010F">
              <w:t>S&amp;D:</w:t>
            </w:r>
          </w:p>
        </w:tc>
        <w:tc>
          <w:tcPr>
            <w:tcW w:w="7495" w:type="dxa"/>
            <w:tcMar>
              <w:top w:w="0" w:type="dxa"/>
              <w:left w:w="0" w:type="dxa"/>
              <w:bottom w:w="0" w:type="dxa"/>
              <w:right w:w="0" w:type="dxa"/>
            </w:tcMar>
          </w:tcPr>
          <w:p w:rsidR="00494823">
            <w:pPr>
              <w:pStyle w:val="REMARKTABLECELLSIMPLE"/>
            </w:pPr>
            <w:r w:rsidR="00D8010F">
              <w:t>considerentul T</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SIMPLE"/>
            </w:pPr>
            <w:r w:rsidR="00D8010F">
              <w:t>ECR:</w:t>
            </w:r>
          </w:p>
        </w:tc>
        <w:tc>
          <w:tcPr>
            <w:tcW w:w="7495" w:type="dxa"/>
            <w:tcMar>
              <w:top w:w="0" w:type="dxa"/>
              <w:left w:w="0" w:type="dxa"/>
              <w:bottom w:w="0" w:type="dxa"/>
              <w:right w:w="0" w:type="dxa"/>
            </w:tcMar>
          </w:tcPr>
          <w:p w:rsidR="00494823">
            <w:pPr>
              <w:pStyle w:val="REMARKTABLECELLSIMPLE"/>
            </w:pPr>
            <w:r w:rsidR="00D8010F">
              <w:t>referințele 11, 11, considerentul M, §§ 13, 14</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SIMPLE"/>
            </w:pPr>
            <w:r w:rsidR="00D8010F">
              <w:t>GUE/NGL:</w:t>
            </w:r>
          </w:p>
        </w:tc>
        <w:tc>
          <w:tcPr>
            <w:tcW w:w="7495" w:type="dxa"/>
            <w:tcMar>
              <w:top w:w="0" w:type="dxa"/>
              <w:left w:w="0" w:type="dxa"/>
              <w:bottom w:w="0" w:type="dxa"/>
              <w:right w:w="0" w:type="dxa"/>
            </w:tcMar>
          </w:tcPr>
          <w:p w:rsidR="00494823">
            <w:pPr>
              <w:pStyle w:val="REMARKTABLECELLSIMPLE"/>
            </w:pPr>
            <w:r w:rsidR="00D8010F">
              <w:t>§ 4</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SIMPLE"/>
            </w:pPr>
            <w:r w:rsidR="00D8010F">
              <w:t>EFDD:</w:t>
            </w:r>
          </w:p>
        </w:tc>
        <w:tc>
          <w:tcPr>
            <w:tcW w:w="7495" w:type="dxa"/>
            <w:tcMar>
              <w:top w:w="0" w:type="dxa"/>
              <w:left w:w="0" w:type="dxa"/>
              <w:bottom w:w="0" w:type="dxa"/>
              <w:right w:w="0" w:type="dxa"/>
            </w:tcMar>
          </w:tcPr>
          <w:p w:rsidR="00494823">
            <w:pPr>
              <w:pStyle w:val="REMARKTABLECELLSIMPLE"/>
            </w:pPr>
            <w:r w:rsidR="00D8010F">
              <w:t>considerentele P, Q, § 4</w:t>
            </w:r>
          </w:p>
        </w:tc>
      </w:tr>
    </w:tbl>
    <w:p w:rsidR="00494823">
      <w:pPr>
        <w:pStyle w:val="STYTAB"/>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rsidRPr="00CD18B9">
            <w:pPr>
              <w:pStyle w:val="REMARKTABLECELLTITLE"/>
            </w:pPr>
            <w:r w:rsidR="00D8010F">
              <w:t>Solicitări de vot pe părți</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ECR:</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considerentul B</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„cum ar fi Federația Rusă și Statele Unite ale Americii, India și Pakistanul”</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considerentul D</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„Statele Unite ale Americii, Rusia, Regatul Unit, Franța, China, India, Pakistan, Israel și Republica Populară Democrată Coreeană - RPDC”</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considerentul H</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„întrucât este necesar să se consolideze în continuare obiectivele de bază în materie de neproliferare și dezarmare ale celor trei piloni ai TNP, și anume neproliferarea, dezarmarea și cooperarea pentru utilizarea pașnică a energiei nucleare;”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„întrucât statele care dețin arme nucleare și care sunt semnatare ale TNP își modernizează și își consolidează arsenalele de arme nucleare și întârzie să acționeze pentru a reduce sau elimina arsenalele lor nucleare și adeziunea la o doctrină militară care presupune intimidarea prin mij</w:t>
            </w:r>
            <w:r w:rsidR="00D8010F">
              <w:t>loace nucleare;”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1</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„o reapariție a armelor nucleare ca mijloc activ de intimidare și”</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2</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„care să includă reducerea numărului de arme nucleare aflate în stare de funcționare, deplasarea armelor nucleare din zonele de desfășurare spre cele de depozitare, diminuarea rolului armelor nucleare în cadrul doctrinelor militare” și „rapidă”</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11</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„deplânge faptul că, în ciuda așteptărilor contrare, armele nucleare câștigă din nou teren în cadrul planurilor strategice ale statelor care dețin arme nucleare; solicită intensificarea dialogului cu toate statele care dețin arme nucleare, în vederea urmăririi unei agende comune care să vizeze reduceri progresive ale stocurilor de focoase nucleare;”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„sprijină, în special, eforturile depuse de SUA și de Rusia de a reduce armele nucleare desfășurate, după cum au convenit în noul Tr</w:t>
            </w:r>
            <w:r w:rsidR="00D8010F">
              <w:t>atat START;”</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GUE/NGL:</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considerentul 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„întrucât Conceptul strategic din 2010 și Revizuirea posturii de descurajare și apărare din 2012 ale NATO obligă această organizație să creeze condițiile necesare pentru o lume fără arme nucleare; întrucât, în temeiul mecanismelor NATO, bilaterale sau de utilizare comună a armelor nucleare, aproximativ 150-200 de bombe nucleare neghidate cu rază scurtă de acțiune deținute de SUA, considerate drept arme nucleare tactice sau sub-strategice, continuă să fie desfășurate în cinci state nenucleare membre ale NATO (Belgia, Germania, Italia, Țările de Jos și Turcia)”</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„și întrucât armele sunt desfășurate în aceste țări în conformitate cu politicile actuale ale NATO”</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19</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salută prezentarea Strategiei globale a UE și”</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„îndeamnă SEAE să adopte măsuri subsecvente și să actualizeze și să extindă Strategia UE împotriva proliferării armelor de distrugere în masă din 2003 și Noile linii de acțiune din 2009, ținând seama de aspectele și problemele descrise mai sus, pentru ca UE să devină o forță motrice în consolidarea și avansarea acordurilor multilaterale de dezarmare și de neproliferare nucleară;”</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ENF:</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7</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„invită statele membre ale UE să sprijine organizarea unei astfel de conferințe în 2017 și să participe constructiv la procedurile aferente”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„și invită Vicepreședinta / Înalta Reprezentantă Federica Mogherini și Serviciul European de Acțiune Externă să contribuie constructiv la procedurile din cadrul conferinței de negociere din 2017;”</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amendamentul 1</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”să oprească imediat ameliorarea calitativă, dezvoltarea, producția și stocarea focoaselor nucleare și a vectorilor lor purtători; invită aceste state” și „regretă că state care dețin arme nucleare și care sunt semnatare ale TNP își modernizează arsenalele și întârzie să acționeze pentru a-și reduce sau elimina arsenalele nucleare și adeziunea la doctrina militară a intimidării prin mijloace nucle</w:t>
            </w:r>
            <w:r w:rsidR="00D8010F">
              <w:t>are;”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amendamentul 3</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„solicită în special guvernelor Franței și Regatului Unit să renunțe la armele nucleare pe care le dețin;”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PPE, ECR:</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w:t>
            </w:r>
            <w:r w:rsidR="00D8010F">
              <w:t xml:space="preserve"> 6</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„salută finalizarea lucrărilor Grupului de lucru deschis al ONU însărcinat cu continuarea negocierilor multilaterale privind dezarmarea nucleară, în conformitate cu Rezoluția  70/33 a Adunării Generale a ONU;”</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„salută recomandarea adresată Adunării Generale a ONU, cuprinsă în raportul final al Grupului de lucru deschis (A/71/371) și adoptată cu sprijin larg la 19 august 2016, de a organiza o conferință în 2017, deschisă tuturor statelor, pentru a negocia un instrument obligatoriu din punct de vedere juridic prin care să se interzică armele nucleare și care să conducă la eliminarea totală a acestora; recunoaște că un astfel de demers va consolida obiectivele și obligațiile în materie de neproliferare și dezarmare cuprinse în TNP și va contribui la crearea condițiilor de securitate globală și la o lume fără arme nucleare;” cu excepția cuvintelor: „pentru a negocia un instrument obligatoriu din punct de vedere juridic prin care să se interzică armele nucleare și care să conducă la eliminarea totală a acestora”</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treia parte</w:t>
            </w:r>
          </w:p>
        </w:tc>
        <w:tc>
          <w:tcPr>
            <w:tcW w:w="7495" w:type="dxa"/>
            <w:tcMar>
              <w:top w:w="0" w:type="dxa"/>
              <w:left w:w="0" w:type="dxa"/>
              <w:bottom w:w="0" w:type="dxa"/>
              <w:right w:w="0" w:type="dxa"/>
            </w:tcMar>
          </w:tcPr>
          <w:p w:rsidR="00494823" w:rsidRPr="00CD18B9">
            <w:pPr>
              <w:pStyle w:val="REMARKTABLECELLSIMPLE"/>
            </w:pPr>
            <w:r w:rsidR="00D8010F">
              <w:t>„pentru a negocia un instrument obligatoriu din punct de vedere juridic prin care să se interzică armele nucleare și care să conducă la eliminarea totală a acestora”</w:t>
            </w:r>
          </w:p>
        </w:tc>
      </w:tr>
    </w:tbl>
    <w:p w:rsidR="00494823" w:rsidRPr="00CD18B9">
      <w:pPr>
        <w:pStyle w:val="STYTAB"/>
      </w:pPr>
    </w:p>
    <w:tbl>
      <w:tblPr>
        <w:tblStyle w:val="TableNormal"/>
        <w:tblW w:w="9065" w:type="dxa"/>
        <w:tblLayout w:type="fixed"/>
        <w:tblCellMar>
          <w:left w:w="10" w:type="dxa"/>
          <w:right w:w="10" w:type="dxa"/>
        </w:tblCellMar>
        <w:tblLook w:val="04A0"/>
      </w:tblPr>
      <w:tblGrid>
        <w:gridCol w:w="9065"/>
      </w:tblGrid>
      <w:tr>
        <w:tblPrEx>
          <w:tblW w:w="9065" w:type="dxa"/>
          <w:tblLayout w:type="fixed"/>
          <w:tblCellMar>
            <w:left w:w="10" w:type="dxa"/>
            <w:right w:w="10" w:type="dxa"/>
          </w:tblCellMar>
          <w:tblLook w:val="04A0"/>
        </w:tblPrEx>
        <w:trPr>
          <w:cantSplit/>
        </w:trPr>
        <w:tc>
          <w:tcPr>
            <w:tcW w:w="9065" w:type="dxa"/>
            <w:tcMar>
              <w:top w:w="0" w:type="dxa"/>
              <w:left w:w="0" w:type="dxa"/>
              <w:bottom w:w="0" w:type="dxa"/>
              <w:right w:w="0" w:type="dxa"/>
            </w:tcMar>
          </w:tcPr>
          <w:p w:rsidR="00494823">
            <w:pPr>
              <w:pStyle w:val="REMARKTABLECELLTITLE"/>
            </w:pPr>
            <w:r w:rsidR="00D8010F">
              <w:t>Diverse</w:t>
            </w:r>
          </w:p>
        </w:tc>
      </w:tr>
      <w:tr>
        <w:tblPrEx>
          <w:tblW w:w="9065" w:type="dxa"/>
          <w:tblLayout w:type="fixed"/>
          <w:tblCellMar>
            <w:left w:w="10" w:type="dxa"/>
            <w:right w:w="10" w:type="dxa"/>
          </w:tblCellMar>
          <w:tblLook w:val="04A0"/>
        </w:tblPrEx>
        <w:trPr>
          <w:cantSplit/>
        </w:trPr>
        <w:tc>
          <w:tcPr>
            <w:tcW w:w="9065" w:type="dxa"/>
            <w:tcMar>
              <w:top w:w="0" w:type="dxa"/>
              <w:left w:w="0" w:type="dxa"/>
              <w:bottom w:w="0" w:type="dxa"/>
              <w:right w:w="0" w:type="dxa"/>
            </w:tcMar>
          </w:tcPr>
          <w:p w:rsidR="00494823" w:rsidRPr="00CD18B9">
            <w:pPr>
              <w:pStyle w:val="REMARKTABLECELLSIMPLE"/>
            </w:pPr>
            <w:r w:rsidR="00D8010F">
              <w:t xml:space="preserve">Louis-Joseph Manscour, Gilles Pargneaux, Vincent Peillon, Momchil Nekov (Grupul S&amp;D) și Javier Nart (Grupul ALDE) și-au retras semnăturile de pe propunerea comună de rezoluție RC-B8-1122/2016. </w:t>
              <w:br/>
              <w:t xml:space="preserve">João Ferreira, João Pimenta Lopes și Miguel Viegas (Grupul GUE/NGL) și-au retras semnătura de pe </w:t>
            </w:r>
            <w:r w:rsidR="00D8010F">
              <w:t>amendamentul 3.</w:t>
            </w:r>
          </w:p>
        </w:tc>
      </w:tr>
    </w:tbl>
    <w:p w:rsidR="00494823" w:rsidRPr="00CD18B9">
      <w:pPr>
        <w:pStyle w:val="STYTAB"/>
      </w:pPr>
    </w:p>
    <w:p w:rsidR="00CD18B9">
      <w:pPr>
        <w:rPr>
          <w:sz w:val="18"/>
          <w:szCs w:val="20"/>
        </w:rPr>
      </w:pPr>
      <w:r>
        <w:br w:type="page"/>
      </w:r>
    </w:p>
    <w:p w:rsidR="00494823" w:rsidRPr="00CD18B9">
      <w:pPr>
        <w:pStyle w:val="STYTAB"/>
      </w:pPr>
    </w:p>
    <w:p w:rsidR="00494823">
      <w:pPr>
        <w:pStyle w:val="VOTETITLE"/>
        <w:outlineLvl w:val="9"/>
      </w:pPr>
      <w:r w:rsidR="00D8010F">
        <w:t>Serviciul european de voluntariat</w:t>
      </w:r>
    </w:p>
    <w:p w:rsidR="00494823" w:rsidRPr="00CD18B9">
      <w:pPr>
        <w:pStyle w:val="VOTEREPORTTITLE"/>
      </w:pPr>
      <w:r w:rsidR="00D8010F">
        <w:t>Propuneri de rezoluție: B8-1126/2016, B8-1127/2016, B8-1128/2016, B8-1133/2016, B8-1134/2016, B8-1135/2016</w:t>
      </w:r>
    </w:p>
    <w:tbl>
      <w:tblPr>
        <w:tblStyle w:val="TableNormal"/>
        <w:tblW w:w="9071" w:type="dxa"/>
        <w:tblLayout w:type="fixed"/>
        <w:tblCellMar>
          <w:left w:w="10" w:type="dxa"/>
          <w:right w:w="10" w:type="dxa"/>
        </w:tblCellMar>
        <w:tblLook w:val="04A0"/>
      </w:tblPr>
      <w:tblGrid>
        <w:gridCol w:w="2259"/>
        <w:gridCol w:w="908"/>
        <w:gridCol w:w="1516"/>
        <w:gridCol w:w="982"/>
        <w:gridCol w:w="1419"/>
        <w:gridCol w:w="1987"/>
      </w:tblGrid>
      <w:tr>
        <w:tblPrEx>
          <w:tblW w:w="9071" w:type="dxa"/>
          <w:tblLayout w:type="fixed"/>
          <w:tblCellMar>
            <w:left w:w="10" w:type="dxa"/>
            <w:right w:w="10" w:type="dxa"/>
          </w:tblCellMar>
          <w:tblLook w:val="04A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Obiect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AN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Vot</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rsidRPr="00CD18B9">
            <w:pPr>
              <w:pStyle w:val="VOTINGTABLEHEADER"/>
            </w:pPr>
            <w:r w:rsidR="00D8010F">
              <w:t>AN/VE - comentarii</w:t>
            </w:r>
          </w:p>
        </w:tc>
      </w:tr>
      <w:tr>
        <w:tblPrEx>
          <w:tblW w:w="9071" w:type="dxa"/>
          <w:tblLayout w:type="fixed"/>
          <w:tblCellMar>
            <w:left w:w="10" w:type="dxa"/>
            <w:right w:w="10" w:type="dxa"/>
          </w:tblCellMar>
          <w:tblLook w:val="04A0"/>
        </w:tblPrEx>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Propunere comună de rezoluție RC-B8-1126/2</w:t>
            </w:r>
            <w:r w:rsidR="00D8010F">
              <w:t xml:space="preserve">016 </w:t>
              <w:br/>
              <w:t>(PPE, S&amp;D, ECR, ALDE, GUE/NGL, Verts/ALE)</w:t>
            </w: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295, 313, 9</w:t>
            </w: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251, 366, 6</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După § 15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303, 241, 75</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17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După r</w:t>
            </w:r>
            <w:r w:rsidR="00D8010F">
              <w:t>eferirea 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325, 269, 28</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După considerentul D</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Considerentul G</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297, 313, 14</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Considerentul L</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vot: rezoluție (întregul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Propuneri de rezoluție ale grupurilor politic</w:t>
            </w:r>
            <w:r w:rsidR="00D8010F">
              <w:t>e</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B8-1126/2016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B8-1127/2016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B8-1128/2016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B8-1133/2016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B8-1134/2016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B8-1135/2016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bl>
    <w:p w:rsidR="00494823">
      <w:pPr>
        <w:pStyle w:val="STYTAB"/>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rsidRPr="00CD18B9">
            <w:pPr>
              <w:pStyle w:val="REMARKTABLECELLTITLE"/>
            </w:pPr>
            <w:r w:rsidR="00D8010F">
              <w:t>Solicitări de vot pe părți</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ECR:</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2</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 xml:space="preserve">întregul text, cu excepția cuvintelor: „juridic” și </w:t>
            </w:r>
            <w:r w:rsidR="00D8010F">
              <w:t>„statutul voluntarului, cu”</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3</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„concrete de validare”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considerentul G</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„care ar trebui c</w:t>
            </w:r>
            <w:r w:rsidR="00D8010F">
              <w:t>onsolidate în continuare printr-un cadru juridic adecvat”</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bl>
    <w:p w:rsidR="00494823">
      <w:pPr>
        <w:pStyle w:val="STYTAB"/>
      </w:pPr>
    </w:p>
    <w:p w:rsidR="00494823">
      <w:pPr>
        <w:pStyle w:val="STYTAB"/>
      </w:pPr>
    </w:p>
    <w:p w:rsidR="00494823" w:rsidRPr="00CD18B9">
      <w:pPr>
        <w:pStyle w:val="VOTETITLE"/>
        <w:outlineLvl w:val="9"/>
      </w:pPr>
      <w:r w:rsidR="00D8010F">
        <w:t>Evaluarea Strategiei UE pentru tineret pentru perioada 2013-2015</w:t>
      </w:r>
    </w:p>
    <w:p w:rsidR="00494823">
      <w:pPr>
        <w:pStyle w:val="VOTEREPORTTITLE"/>
      </w:pPr>
      <w:r w:rsidR="00D8010F">
        <w:t>Raport: Andrea Bocskor (A8-0250/2016)</w:t>
      </w:r>
    </w:p>
    <w:tbl>
      <w:tblPr>
        <w:tblStyle w:val="TableNormal"/>
        <w:tblW w:w="9071" w:type="dxa"/>
        <w:tblLayout w:type="fixed"/>
        <w:tblCellMar>
          <w:left w:w="10" w:type="dxa"/>
          <w:right w:w="10" w:type="dxa"/>
        </w:tblCellMar>
        <w:tblLook w:val="04A0"/>
      </w:tblPr>
      <w:tblGrid>
        <w:gridCol w:w="2259"/>
        <w:gridCol w:w="908"/>
        <w:gridCol w:w="1516"/>
        <w:gridCol w:w="982"/>
        <w:gridCol w:w="1419"/>
        <w:gridCol w:w="1987"/>
      </w:tblGrid>
      <w:tr>
        <w:tblPrEx>
          <w:tblW w:w="9071" w:type="dxa"/>
          <w:tblLayout w:type="fixed"/>
          <w:tblCellMar>
            <w:left w:w="10" w:type="dxa"/>
            <w:right w:w="10" w:type="dxa"/>
          </w:tblCellMar>
          <w:tblLook w:val="04A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Obiect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AN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Vot</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rsidRPr="00CD18B9">
            <w:pPr>
              <w:pStyle w:val="VOTINGTABLEHEADER"/>
            </w:pPr>
            <w:r w:rsidR="00D8010F">
              <w:t>AN/VE - comentarii</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SIMPLEOBJECT"/>
            </w:pPr>
            <w:r w:rsidR="00D8010F">
              <w:t>Propunere d</w:t>
            </w:r>
            <w:r w:rsidR="00D8010F">
              <w:t>e rezoluţie de înlocuire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16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95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103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276, 320, 23</w:t>
            </w: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Considerentul K</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Considerentul L</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w:t>
            </w:r>
            <w:r w:rsidR="00D8010F">
              <w:t>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332, 284, 3</w:t>
            </w: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Considerentul N</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Considerentul P</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Considerentul Q</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rsidP="00007EA1">
            <w:pPr>
              <w:pStyle w:val="VOTINGTABLECELLOBJECT"/>
            </w:pPr>
            <w:r w:rsidR="00D8010F">
              <w:t>vot: rezoluţia Comisiei CULT (textul în ansa</w:t>
            </w:r>
            <w:r w:rsidR="00D8010F">
              <w:t>mblu)</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432, 131, 55</w:t>
            </w:r>
          </w:p>
        </w:tc>
      </w:tr>
    </w:tbl>
    <w:p w:rsidR="00494823">
      <w:pPr>
        <w:pStyle w:val="STYTAB"/>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rsidRPr="00CD18B9">
            <w:pPr>
              <w:pStyle w:val="REMARKTABLECELLTITLE"/>
            </w:pPr>
            <w:r w:rsidR="00D8010F">
              <w:t>Solicitări de vot prin apel nominal</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SIMPLE"/>
            </w:pPr>
            <w:r w:rsidR="00D8010F">
              <w:t>PPE:</w:t>
            </w:r>
          </w:p>
        </w:tc>
        <w:tc>
          <w:tcPr>
            <w:tcW w:w="7495" w:type="dxa"/>
            <w:tcMar>
              <w:top w:w="0" w:type="dxa"/>
              <w:left w:w="0" w:type="dxa"/>
              <w:bottom w:w="0" w:type="dxa"/>
              <w:right w:w="0" w:type="dxa"/>
            </w:tcMar>
          </w:tcPr>
          <w:p w:rsidR="00494823">
            <w:pPr>
              <w:pStyle w:val="REMARKTABLECELLSIMPLE"/>
            </w:pPr>
            <w:r w:rsidR="00D8010F">
              <w:t>§ 103</w:t>
            </w:r>
          </w:p>
        </w:tc>
      </w:tr>
    </w:tbl>
    <w:p w:rsidR="00494823">
      <w:pPr>
        <w:pStyle w:val="STYTAB"/>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rsidRPr="00CD18B9">
            <w:pPr>
              <w:pStyle w:val="REMARKTABLECELLTITLE"/>
            </w:pPr>
            <w:r w:rsidR="00D8010F">
              <w:t>Solicitări de vot pe părți</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PPE: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95</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„și de gen”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considerentul K</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„migranții”</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considerentul L</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„a tinerilor migranți”</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considerentul 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„și migranților”</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Considerentul P</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„întrucât este esențial să se includă în politicile pentru tineret o perspectivă de gen, care să țină seama, în toate etapele procesului de elaborare a politicilor, de circumstanțele și provocările specifice cu care se confruntă femeile tinere și fetele;”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„întrucât în politica pentru tineret trebuie incluse măsuri specifice, care să țină seama de dimensiunea de gen în chestiuni cum ar fi combaterea violenței împotriva femeilor și fetelor, educația sexuală și relațională și educația privind egalitatea de gen;”</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considerentul Q</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„cum ar fi tinerii cu dizabilități sau cu probleme de sănătate mintală sau cei care se identifică ca fiind LGTBI”</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ALDE: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16</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„comunități religioase”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bl>
    <w:p w:rsidR="00494823">
      <w:pPr>
        <w:pStyle w:val="STYTAB"/>
      </w:pPr>
    </w:p>
    <w:p w:rsidR="00494823">
      <w:pPr>
        <w:pStyle w:val="STYTAB"/>
      </w:pPr>
    </w:p>
    <w:p w:rsidR="00494823" w:rsidRPr="00CD18B9">
      <w:pPr>
        <w:pStyle w:val="VOTETITLE"/>
        <w:outlineLvl w:val="9"/>
      </w:pPr>
      <w:r w:rsidR="00D8010F">
        <w:t>Modul în care PAC poate îmbunătăți crearea de locuri de muncă în zonele rurale</w:t>
      </w:r>
    </w:p>
    <w:p w:rsidR="00494823">
      <w:pPr>
        <w:pStyle w:val="VOTEREPORTTITLE"/>
      </w:pPr>
      <w:r w:rsidR="00D8010F">
        <w:t>Raport: Eric Andrieu (A8-0285/2016)</w:t>
      </w:r>
    </w:p>
    <w:tbl>
      <w:tblPr>
        <w:tblStyle w:val="TableNormal"/>
        <w:tblW w:w="9071" w:type="dxa"/>
        <w:tblLayout w:type="fixed"/>
        <w:tblCellMar>
          <w:left w:w="10" w:type="dxa"/>
          <w:right w:w="10" w:type="dxa"/>
        </w:tblCellMar>
        <w:tblLook w:val="04A0"/>
      </w:tblPr>
      <w:tblGrid>
        <w:gridCol w:w="2259"/>
        <w:gridCol w:w="908"/>
        <w:gridCol w:w="1516"/>
        <w:gridCol w:w="982"/>
        <w:gridCol w:w="1419"/>
        <w:gridCol w:w="1987"/>
      </w:tblGrid>
      <w:tr>
        <w:tblPrEx>
          <w:tblW w:w="9071" w:type="dxa"/>
          <w:tblLayout w:type="fixed"/>
          <w:tblCellMar>
            <w:left w:w="10" w:type="dxa"/>
            <w:right w:w="10" w:type="dxa"/>
          </w:tblCellMar>
          <w:tblLook w:val="04A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Obiect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Am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AN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pPr>
              <w:pStyle w:val="VOTINGTABLEHEADER"/>
            </w:pPr>
            <w:r w:rsidR="00D8010F">
              <w:t>Vot</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94823" w:rsidRPr="00CD18B9">
            <w:pPr>
              <w:pStyle w:val="VOTINGTABLEHEADER"/>
            </w:pPr>
            <w:r w:rsidR="00D8010F">
              <w:t>AN/VE - comentarii</w:t>
            </w: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498, 83, 35</w:t>
            </w: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383, 197, 32</w:t>
            </w: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442, 148, 27</w:t>
            </w: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343, 221, 37</w:t>
            </w: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10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509, 86, 13</w:t>
            </w: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11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483, 105, 27</w:t>
            </w: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335, 269, 9</w:t>
            </w: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3/AN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558, 41, 12</w:t>
            </w: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12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581, 21, 6</w:t>
            </w: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14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298, 297, 10</w:t>
            </w: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15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16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17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vs/VE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355, 246, 8</w:t>
            </w: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20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21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486, 94, 26</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26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27</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30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529, 50, 23</w:t>
            </w: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441, 142, 21</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34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574, 27, 1</w:t>
            </w: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35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284, 309, 2</w:t>
            </w: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36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38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40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514, 73, 13</w:t>
            </w: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309, 283, 4</w:t>
            </w: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3/AN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470, 117, 5</w:t>
            </w: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4/AN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307, 284, 3</w:t>
            </w: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5/AN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308, 281, 3</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41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vs/VE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400, 169, 24</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43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48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erată</w:t>
            </w: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3/AN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467, 94, 32</w:t>
            </w: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4/AN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438, 108, 41</w:t>
            </w: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5/AN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202, 320, 71</w:t>
            </w: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50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51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59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3/AN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466, 45, 62</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60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65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67</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3/AN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467, 81, 22</w:t>
            </w: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68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69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vs/VE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424, 128, 5</w:t>
            </w: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70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71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72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232, 307, 15</w:t>
            </w: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75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252, 298, 0</w:t>
            </w: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 77</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291, 213, 40</w:t>
            </w: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78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 82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Considerentul H</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Considerentul I</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451, 95, 3</w:t>
            </w: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3/AN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441, 102, 2</w:t>
            </w: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Considerentul J</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Considerentul K</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Considerentul 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Considerentul O</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Considerentul R</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Considerentul 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Considerentul T</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240, 256, 38</w:t>
            </w: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185, 312, 33</w:t>
            </w: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Considerentul U</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177, 289, 62</w:t>
            </w: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Considerentul X</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SIMPLEOBJECT"/>
            </w:pPr>
            <w:r w:rsidR="00D8010F">
              <w:t>Considerentul AA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Considerentul AB</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Considerentul AF</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OBJECT"/>
            </w:pPr>
            <w:r w:rsidR="00D8010F">
              <w:t>Considerentul AI</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UTHOR"/>
            </w:pPr>
            <w:r w:rsidR="00D8010F">
              <w:t>text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div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336, 190, 0</w:t>
            </w:r>
          </w:p>
        </w:tc>
      </w:tr>
      <w:tr>
        <w:tblPrEx>
          <w:tblW w:w="9071"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0F" w:rsidRPr="00CD18B9"/>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3/AN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 xml:space="preserve">235, 275, </w:t>
            </w:r>
            <w:r w:rsidR="00D8010F">
              <w:t>7</w:t>
            </w:r>
          </w:p>
        </w:tc>
      </w:tr>
      <w:tr>
        <w:tblPrEx>
          <w:tblW w:w="9071" w:type="dxa"/>
          <w:tblLayout w:type="fixed"/>
          <w:tblCellMar>
            <w:left w:w="10" w:type="dxa"/>
            <w:right w:w="10" w:type="dxa"/>
          </w:tblCellMar>
          <w:tblLook w:val="04A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rsidRPr="00CD18B9">
            <w:pPr>
              <w:pStyle w:val="VOTINGTABLECELLOBJECT"/>
            </w:pPr>
            <w:r w:rsidR="00D8010F">
              <w:t>vot: rezoluție (întregul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AN"/>
            </w:pPr>
            <w:r w:rsidR="00D8010F">
              <w:t>AN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VOTE"/>
            </w:pPr>
            <w:r w:rsidR="00D8010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823">
            <w:pPr>
              <w:pStyle w:val="VOTINGTABLECELLREMARK"/>
            </w:pPr>
            <w:r w:rsidR="00D8010F">
              <w:t>237, 201, 67</w:t>
            </w:r>
          </w:p>
        </w:tc>
      </w:tr>
    </w:tbl>
    <w:p w:rsidR="00494823">
      <w:pPr>
        <w:pStyle w:val="STYTAB"/>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rsidRPr="00CD18B9">
            <w:pPr>
              <w:pStyle w:val="REMARKTABLECELLTITLE"/>
            </w:pPr>
            <w:r w:rsidR="00D8010F">
              <w:t>Solicitări de vot prin apel nominal</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SIMPLE"/>
            </w:pPr>
            <w:r w:rsidR="00D8010F">
              <w:t>ECR:</w:t>
            </w:r>
          </w:p>
        </w:tc>
        <w:tc>
          <w:tcPr>
            <w:tcW w:w="7495" w:type="dxa"/>
            <w:tcMar>
              <w:top w:w="0" w:type="dxa"/>
              <w:left w:w="0" w:type="dxa"/>
              <w:bottom w:w="0" w:type="dxa"/>
              <w:right w:w="0" w:type="dxa"/>
            </w:tcMar>
          </w:tcPr>
          <w:p w:rsidR="00494823">
            <w:pPr>
              <w:pStyle w:val="REMARKTABLECELLSIMPLE"/>
            </w:pPr>
            <w:r w:rsidR="00D8010F">
              <w:t>§ 34</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SIMPLE"/>
            </w:pPr>
            <w:r w:rsidR="00D8010F">
              <w:t>ENF:</w:t>
            </w:r>
          </w:p>
        </w:tc>
        <w:tc>
          <w:tcPr>
            <w:tcW w:w="7495" w:type="dxa"/>
            <w:tcMar>
              <w:top w:w="0" w:type="dxa"/>
              <w:left w:w="0" w:type="dxa"/>
              <w:bottom w:w="0" w:type="dxa"/>
              <w:right w:w="0" w:type="dxa"/>
            </w:tcMar>
          </w:tcPr>
          <w:p w:rsidR="00494823" w:rsidRPr="00CD18B9">
            <w:pPr>
              <w:pStyle w:val="REMARKTABLECELLSIMPLE"/>
            </w:pPr>
            <w:r w:rsidR="00D8010F">
              <w:t>§§ 11, 12 (a doua parte), 21, 48 (erata) (a treia, a patra și a cincea parte), 59 (a treia parte), 67 (a treia parte), 77 (a doua parte), considerentele I (a doua și a treia parte), T, U (a doua parte), AI (a treia parte)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SIMPLE"/>
            </w:pPr>
            <w:r w:rsidR="00D8010F">
              <w:t>S&amp;D:</w:t>
            </w:r>
          </w:p>
        </w:tc>
        <w:tc>
          <w:tcPr>
            <w:tcW w:w="7495" w:type="dxa"/>
            <w:tcMar>
              <w:top w:w="0" w:type="dxa"/>
              <w:left w:w="0" w:type="dxa"/>
              <w:bottom w:w="0" w:type="dxa"/>
              <w:right w:w="0" w:type="dxa"/>
            </w:tcMar>
          </w:tcPr>
          <w:p w:rsidR="00494823">
            <w:pPr>
              <w:pStyle w:val="REMARKTABLECELLSIMPLE"/>
            </w:pPr>
            <w:r w:rsidR="00D8010F">
              <w:t>§§ 2, 5, 10, 30, 40, considerentul R</w:t>
            </w:r>
          </w:p>
        </w:tc>
      </w:tr>
    </w:tbl>
    <w:p w:rsidR="00494823">
      <w:pPr>
        <w:pStyle w:val="STYTAB"/>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TITLE"/>
            </w:pPr>
            <w:r w:rsidR="00D8010F">
              <w:t>Solicitări de vot separat</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SIMPLE"/>
            </w:pPr>
            <w:r w:rsidR="00D8010F">
              <w:t>ECR:</w:t>
            </w:r>
          </w:p>
        </w:tc>
        <w:tc>
          <w:tcPr>
            <w:tcW w:w="7495" w:type="dxa"/>
            <w:tcMar>
              <w:top w:w="0" w:type="dxa"/>
              <w:left w:w="0" w:type="dxa"/>
              <w:bottom w:w="0" w:type="dxa"/>
              <w:right w:w="0" w:type="dxa"/>
            </w:tcMar>
          </w:tcPr>
          <w:p w:rsidR="00494823">
            <w:pPr>
              <w:pStyle w:val="REMARKTABLECELLSIMPLE"/>
            </w:pPr>
            <w:r w:rsidR="00D8010F">
              <w:t>§§ 2, 5, 40, 60, 65, 69, 78, 82, considerentul AA</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SIMPLE"/>
            </w:pPr>
            <w:r w:rsidR="00D8010F">
              <w:t>GUE/NGL:</w:t>
            </w:r>
          </w:p>
        </w:tc>
        <w:tc>
          <w:tcPr>
            <w:tcW w:w="7495" w:type="dxa"/>
            <w:tcMar>
              <w:top w:w="0" w:type="dxa"/>
              <w:left w:w="0" w:type="dxa"/>
              <w:bottom w:w="0" w:type="dxa"/>
              <w:right w:w="0" w:type="dxa"/>
            </w:tcMar>
          </w:tcPr>
          <w:p w:rsidR="00494823">
            <w:pPr>
              <w:pStyle w:val="REMARKTABLECELLSIMPLE"/>
            </w:pPr>
            <w:r w:rsidR="00D8010F">
              <w:t>considerentul N</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SIMPLE"/>
            </w:pPr>
            <w:r w:rsidR="00D8010F">
              <w:t>ALDE:</w:t>
            </w:r>
          </w:p>
        </w:tc>
        <w:tc>
          <w:tcPr>
            <w:tcW w:w="7495" w:type="dxa"/>
            <w:tcMar>
              <w:top w:w="0" w:type="dxa"/>
              <w:left w:w="0" w:type="dxa"/>
              <w:bottom w:w="0" w:type="dxa"/>
              <w:right w:w="0" w:type="dxa"/>
            </w:tcMar>
          </w:tcPr>
          <w:p w:rsidR="00494823" w:rsidRPr="00CD18B9">
            <w:pPr>
              <w:pStyle w:val="REMARKTABLECELLSIMPLE"/>
            </w:pPr>
            <w:r w:rsidR="00D8010F">
              <w:t>§§ 2, 5, 10, 17, 26, 27</w:t>
            </w:r>
            <w:r w:rsidR="00D8010F">
              <w:t>, 43, 72, 77, 78, considerentele H, R, T, U, AA, AB</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SIMPLE"/>
            </w:pPr>
            <w:r w:rsidR="00D8010F">
              <w:t>PPE:</w:t>
            </w:r>
          </w:p>
        </w:tc>
        <w:tc>
          <w:tcPr>
            <w:tcW w:w="7495" w:type="dxa"/>
            <w:tcMar>
              <w:top w:w="0" w:type="dxa"/>
              <w:left w:w="0" w:type="dxa"/>
              <w:bottom w:w="0" w:type="dxa"/>
              <w:right w:w="0" w:type="dxa"/>
            </w:tcMar>
          </w:tcPr>
          <w:p w:rsidR="00494823">
            <w:pPr>
              <w:pStyle w:val="REMARKTABLECELLSIMPLE"/>
            </w:pPr>
            <w:r w:rsidR="00D8010F">
              <w:t>§§ 26, 41, 65, 68, 78, 82, considerentele T, AA, AI</w:t>
            </w:r>
          </w:p>
        </w:tc>
      </w:tr>
    </w:tbl>
    <w:p w:rsidR="00494823">
      <w:pPr>
        <w:pStyle w:val="STYTAB"/>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rsidRPr="00CD18B9">
            <w:pPr>
              <w:pStyle w:val="REMARKTABLECELLTITLE"/>
            </w:pPr>
            <w:r w:rsidR="00D8010F">
              <w:t>Solicitări de vot pe părți</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ECR:</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1</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„invită toate statele membre să asigure prospecte pe termen lung tinerilor agricultori pentru a contracara depopularea zonelor rurale, să pună în aplicare o strategie globală pentru reînnoirea generațiilor și, în acest scop, să utilizeze pe deplin toate posibilitățile oferite de noua PAC pentru a sprijini tinerii agricultori și pe cei care au început recent să lucreze în domeniu, inclusiv în afara cadrului familial, în special prin măsurile de sprijinire a tinerilor agricultori din primul și al doilea pilon, și să faciliteze instalarea și dezvoltarea capacităților antreprenoriale ale persoanelor în vârstă de peste 40 de ani care au început recent să lucreze în domeniu;”</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„de asemenea, consideră că aceste măsuri trebuie să fie completate și să fie în concordanță cu dispozitivele care țin de politicile naționale (politica funciară, politica fiscală și socială etc.), inclusiv prin sprijinul acordat în temeiul articolelor 50 și 51 din Regulamentul (UE) nr. 1307/2013;”</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27</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„obligatorii”</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 cuvânt</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36</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„și de reglementare”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70</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„Comisia Europeană și”</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considerentul J</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„exploatațiilor agricole mici și de familie ”</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considerentul K</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„întrucât agricultura europeană se confruntă cu un număr de provocări legate de producția și securitatea alimentară, mediu, biodiversitate, sustenabilitate, energie și schimbările climatice și întrucât este vital să se întărească relația dintre societate și agricult</w:t>
            </w:r>
            <w:r w:rsidR="00D8010F">
              <w:t>ură, să se dezvolte soluții inovatoare pentru a înfrunta aceste provocări pentru a asigura rezistența și competitivitatea sectorului”</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„și să se regândească obiectivele unei politici cu adevărat publice, aflate în serviciul tuturor, aceasta fiind unul dintre cele mai importante aspecte ale integrării europene;”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Considerentul O</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„întrucât, deși studiile au arătat că plățile directe prin pilonul 1 nu creează locuri de muncă în mod direct, aceste plăți joacă un rol important în menținerea locurilor de muncă și a agricultorilor în zonele agricole;”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„întrucât, dacă acest sprijin oferit în cadrul PAC va fi retras, 30 % dintre agricultorii europeni vor fi forțați să își înceteze activitățile și să părăsească sectorul agricol; întrucât aceste plăți asigură supraviețuirea exploatațiilor agricole mici și a zonelor rurale;”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considerentul T</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„întrucât Comisia, în propriul său studiu de impact privind efectele TTIP, constată că « în mod predominant, zonele predominant rurale axate pe activități specifice și cu alternative limitate sunt mai vulnerabile »;”</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„întrucât zonele rurale și locurile de muncă din mediul rural sunt puse în pericol de schimbarea modelelor agricole tradiționale pe care o va determina acest acord;”</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considerentul X</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„întrucât crearea de locuri de muncă în zonele rurale trebuie să facă parte integrantă dintr-o politică durabilă adaptată teritoriilor specifice și care să implice menținerea și dezvoltarea unor activități agricole și conexe agriculturii și silviculturii, precum și a unor activități rurale, care să creeze legături”</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„sociale, de solidaritate și de îmbunătățire a mediului între diverșii actori;”</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considerentul AB</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„în special micilor exploatații agricole familiale, și anume ”</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GUE/NGL:</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75</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„consideră că este esențial să se solicite autorităților publice să creeze servicii de informare publică și servicii de asistență pentru gestionarea fermelor în zonele rurale, pentru a moderniza agricultura europeană”</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„și a elimina metodele tradiționale învechite”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ALDE: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3</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„încurajează statele membre să consolideze sprijinul acordat exploatațiilor agricole mici și mijlocii, în special prin folosirea mai intensă a plăților redistributive;”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„invită, în plus, statele membre să adopte măsuri care să favorizeze întreprinderile care sunt organizate în mod eficient și care utilizează instrumentele juridice de grupare a întreprinderilor;”</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30</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„fără a pune în discuție susținerea primului pilon, care va trebui reorganizat, printre altele, asigurând o mai bună funcționare și o mai mare stabilitate a piețelor,”</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PPE: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2</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„observă că marea majoritate a plăților directe ale PAC ajung la cele mai bogate exploatații agricole, numai 13 % din beneficiari primind 74 % din cheltuielile cu plățile directe ale PAC în 2014;”</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„consideră că acest lucru nu contribuie la crearea de locuri de muncă în sectorul agricol, din moment ce exploatațiile agricole mici utilizează mai intensiv forța de muncă și 53 % din agricultori lucrează în cadrul unei exploatații agricole clasificate ca având o dimensiune economică redusă; solicită o mai bună distribuire a plăților PAC către exploatațiile mai mici;”</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5</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„reamintește că statele membre au recurs pe scară largă la posibilitatea de a acorda plăți cuplate - care, permițând menținerea în același loc și dezvoltarea producției, fixează locurile de muncă în zonele defavorizate - și solicită statelor membre să crească cota-parte din acest tip de sprijin pentru agricultorii activi, să-l facă mai flexibil și să-l utilizeze mai mult pentru o mai bună aprovizionare cu proteine vegetale a Uniunii, materie primă pentru care depinde de importurile din țări terțe;”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„sugerează, de asemenea, că nivelul plății cuplate voluntare ar putea fi ajustat în funcție de nivelul de ocupare a forței de muncă pentru cultura în cauză, ceea ce ar sprijini în mai mare măsură producțiile care utilizează mai multă forță de muncă;”</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20</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„reprezintă deja un obiectiv al PAC”</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51</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„subliniază, în plus, că plățile directe ar trebui să rămână un instrument al PAC după 2020, pentru a susține și a stabiliza veniturile exploatațiilor agricole, a compensa costurile în creștere rezultate din respectarea standardelor înalte ale UE (în ceea ce privește metodele de producție și, în special, cerințele de mediu), precum și pentru a menține producția agricolă în regiunile defavorizate; subliniază, în plus, că plățile directe ar trebui să servească drept garanție pentru stabilitatea economică a sectorului agricol, precum și pentru securitatea alimentară și a mediului;”</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„subliniază, în acest context, că este esențial să se echilibreze cotele de plăți directe, pentru a se asigura condiții echitabile de concurență pentru concurența pe piața unică a UE, precum și pentru exploatarea sustenabilă a resurselor agricole la nivelul UE;”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EFDD:</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71</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„precum și sectorul privat” și „cum ar fi legăturile de transport public și privat”</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„precum și sectorul privat”</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treia parte</w:t>
            </w:r>
          </w:p>
        </w:tc>
        <w:tc>
          <w:tcPr>
            <w:tcW w:w="7495" w:type="dxa"/>
            <w:tcMar>
              <w:top w:w="0" w:type="dxa"/>
              <w:left w:w="0" w:type="dxa"/>
              <w:bottom w:w="0" w:type="dxa"/>
              <w:right w:w="0" w:type="dxa"/>
            </w:tcMar>
          </w:tcPr>
          <w:p w:rsidR="00494823" w:rsidRPr="00CD18B9">
            <w:pPr>
              <w:pStyle w:val="REMARKTABLECELLSIMPLE"/>
            </w:pPr>
            <w:r w:rsidR="00D8010F">
              <w:t>„cum ar fi legăturile de transport public și privat”</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ENF:</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12</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„și subliniază că sistemele de calitate, indicațiile geografice și agricultura ecologică reprezintă o oportunitate de a dezvolta sectorul agroalimentar și, potențial, de a crea locuri de muncă în mediul rural, iar, în această calitate, ar trebui nu doar protejate, ci și dezvoltate, pentru a crea noi locuri de muncă și a conserva cultura și identitatea regionale;”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77</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„care să faciliteze integrarea socioeconomică a lucrătorilor migranți, inclusiv a lucrătoarelor sezoniere, migrante și refugiate”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Verts/ALE: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9</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rsidP="00CD18B9">
            <w:pPr>
              <w:pStyle w:val="REMARKTABLECELLSIMPLE"/>
            </w:pPr>
            <w:r w:rsidR="00D8010F">
              <w:t>Întregul text, cu excepția cuvintelor: „de gestionare a riscului”, „și din cadrul pilonului 2”, „a riscului” și „ și în pilonul 2”</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38</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pPr>
              <w:pStyle w:val="REMARKTABLECELLSIMPLE"/>
            </w:pPr>
            <w:r w:rsidR="00D8010F">
              <w:t>„și lăsate necultivate”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ECR, PPE: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14</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„constată că programele actuale de dezvoltare rurală sunt mult mai puțin centrate pe proiecte sociale care apără locurile de muncă, în comparație cu cele din perioada anterioară de programare 2007-2013; constată că acest lucru se explică prin modalitatea în care statele membre au ales măsurile de aplicat în cadrul programelor lor de dezvoltare rurală, precum și prin faptul că s-au alocat fonduri mai mici măsurilor din domeniul ocupării forței de muncă;”</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„solicită, prin urmare, statelor membre să își revizuiască alegerile și solicită o mai mare flexibilitate în punerea în aplicare a politicii rurale;” cu excepția cuvintelor „solicită, prin urmare, statelor membre să își revizuiască alegerile și”</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treia parte</w:t>
            </w:r>
          </w:p>
        </w:tc>
        <w:tc>
          <w:tcPr>
            <w:tcW w:w="7495" w:type="dxa"/>
            <w:tcMar>
              <w:top w:w="0" w:type="dxa"/>
              <w:left w:w="0" w:type="dxa"/>
              <w:bottom w:w="0" w:type="dxa"/>
              <w:right w:w="0" w:type="dxa"/>
            </w:tcMar>
          </w:tcPr>
          <w:p w:rsidR="00494823" w:rsidRPr="00CD18B9">
            <w:pPr>
              <w:pStyle w:val="REMARKTABLECELLSIMPLE"/>
            </w:pPr>
            <w:r w:rsidR="00D8010F">
              <w:t>„solicită, prin urmare, statelor membre să își revizuiască alegerile și”</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15</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„că nivelul de complexitate a programelor de dezvoltare rurală reduce semnificativ utilizarea fondurilor din FEADR și frânează, în același timp, proiecte care pot duce la crearea de locuri de muncă;” și „și financiare”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„că nivelul de complexitate a programelor de dezvoltare rurală reduce semnificativ utilizarea fondurilor din FEADR și frânează, în același timp, proiecte care pot duce la crearea de locuri de muncă;”</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treia parte</w:t>
            </w:r>
          </w:p>
        </w:tc>
        <w:tc>
          <w:tcPr>
            <w:tcW w:w="7495" w:type="dxa"/>
            <w:tcMar>
              <w:top w:w="0" w:type="dxa"/>
              <w:left w:w="0" w:type="dxa"/>
              <w:bottom w:w="0" w:type="dxa"/>
              <w:right w:w="0" w:type="dxa"/>
            </w:tcMar>
          </w:tcPr>
          <w:p w:rsidR="00494823">
            <w:pPr>
              <w:pStyle w:val="REMARKTABLECELLSIMPLE"/>
            </w:pPr>
            <w:r w:rsidR="00D8010F">
              <w:t>„și financiare”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50</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„pentru a corecta efectele fluctuante ale piețelor unde înregistrează eșecuri și”, „menite să creeze un echilibru între cerere și ofertă”, „bazându-se, de exemplu, pe ajutoarele contraciclice, care le permit agricultorilor să beneficieze de prețuri mai avantajoase;” și „că ar trebui majorată ponderea finanțării măsurilor de stabilizare a piețelor agricole și, ”</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„pentru a corecta efectele fluctuante ale piețelor unde înregistrează eșecuri și”</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treia parte</w:t>
            </w:r>
          </w:p>
        </w:tc>
        <w:tc>
          <w:tcPr>
            <w:tcW w:w="7495" w:type="dxa"/>
            <w:tcMar>
              <w:top w:w="0" w:type="dxa"/>
              <w:left w:w="0" w:type="dxa"/>
              <w:bottom w:w="0" w:type="dxa"/>
              <w:right w:w="0" w:type="dxa"/>
            </w:tcMar>
          </w:tcPr>
          <w:p w:rsidR="00494823" w:rsidRPr="00CD18B9">
            <w:pPr>
              <w:pStyle w:val="REMARKTABLECELLSIMPLE"/>
            </w:pPr>
            <w:r w:rsidR="00D8010F">
              <w:t>„menite să creeze un echilibru între cerere și ofertă”</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patra parte</w:t>
            </w:r>
          </w:p>
        </w:tc>
        <w:tc>
          <w:tcPr>
            <w:tcW w:w="7495" w:type="dxa"/>
            <w:tcMar>
              <w:top w:w="0" w:type="dxa"/>
              <w:left w:w="0" w:type="dxa"/>
              <w:bottom w:w="0" w:type="dxa"/>
              <w:right w:w="0" w:type="dxa"/>
            </w:tcMar>
          </w:tcPr>
          <w:p w:rsidR="00494823" w:rsidRPr="00CD18B9">
            <w:pPr>
              <w:pStyle w:val="REMARKTABLECELLSIMPLE"/>
            </w:pPr>
            <w:r w:rsidR="00D8010F">
              <w:t>„bazându-se, de exemplu, pe ajutoarele contraciclice, care le permit agricultorilor să beneficieze de prețuri mai avantajoase;”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cincea parte</w:t>
            </w:r>
          </w:p>
        </w:tc>
        <w:tc>
          <w:tcPr>
            <w:tcW w:w="7495" w:type="dxa"/>
            <w:tcMar>
              <w:top w:w="0" w:type="dxa"/>
              <w:left w:w="0" w:type="dxa"/>
              <w:bottom w:w="0" w:type="dxa"/>
              <w:right w:w="0" w:type="dxa"/>
            </w:tcMar>
          </w:tcPr>
          <w:p w:rsidR="00494823" w:rsidRPr="00CD18B9">
            <w:pPr>
              <w:pStyle w:val="REMARKTABLECELLSIMPLE"/>
            </w:pPr>
            <w:r w:rsidR="00D8010F">
              <w:t>„că ar trebui majorată ponderea finanțării măsurilor de stabilizare a piețelor agricole și, ”</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considerentul H</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„întrucât criza economică a afectat întreaga Europă, dar mai ales zonele rurale;”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„întrucât aceste zone au suferit o devastare fără precedent ca urmare a politicilor de austeritate;”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considerentul R</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„și întrucât exploatațiile agricole mici și mijlocii, care în general sunt mai diversificate, mai inovatoare, cu un grad ridicat de flexibilitate, sunt adesea bine organizate sub formă de agricultură în grup sau de cooperative, au o capacitate mai mare de a rezista în perioade de criză și de a se adaptă mai ușor urmărilor crizei, acționează în beneficiul comunităților în care se află”</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„și întrucât exploatațiile agricole mici și mijlocii, care în general sunt mai diversificate, mai inovatoare, cu un grad ridicat de flexibilitate, sunt adesea bine organizate sub formă de agricultură în grup sau de cooperative, au o capacitate mai mare de a rezista în perioade de criză și de a se adaptă mai ușor urmărilor crizei, acționează în beneficiul comunităților în care se află”, cu excepția cuvintelor „au o capacitate mai mare de a rezista în perioade de criză și de a se adaptă mai ușor urmărilor crizei”</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treia parte</w:t>
            </w:r>
          </w:p>
        </w:tc>
        <w:tc>
          <w:tcPr>
            <w:tcW w:w="7495" w:type="dxa"/>
            <w:tcMar>
              <w:top w:w="0" w:type="dxa"/>
              <w:left w:w="0" w:type="dxa"/>
              <w:bottom w:w="0" w:type="dxa"/>
              <w:right w:w="0" w:type="dxa"/>
            </w:tcMar>
          </w:tcPr>
          <w:p w:rsidR="00494823" w:rsidRPr="00CD18B9">
            <w:pPr>
              <w:pStyle w:val="REMARKTABLECELLSIMPLE"/>
            </w:pPr>
            <w:r w:rsidR="00D8010F">
              <w:t>„au o capacitate mai mare de a rezista în perioade de criză și de a se adaptă mai ușor urmărilor crizei”</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considerentul AF</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„întrucât numărul soiurilor de culturi crescute industrial este redus”</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„iar soiurile locale și mijloacele locale de câștigare a existenței sunt înlocuite cu cele industriale”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treia parte</w:t>
            </w:r>
          </w:p>
        </w:tc>
        <w:tc>
          <w:tcPr>
            <w:tcW w:w="7495" w:type="dxa"/>
            <w:tcMar>
              <w:top w:w="0" w:type="dxa"/>
              <w:left w:w="0" w:type="dxa"/>
              <w:bottom w:w="0" w:type="dxa"/>
              <w:right w:w="0" w:type="dxa"/>
            </w:tcMar>
          </w:tcPr>
          <w:p w:rsidR="00494823" w:rsidRPr="00CD18B9">
            <w:pPr>
              <w:pStyle w:val="REMARKTABLECELLSIMPLE"/>
            </w:pPr>
            <w:r w:rsidR="00D8010F">
              <w:t>„întrucât rasele și varietățile locale joacă un rol în menținerea biodiversității și în susținerea mijloacelor de subzistență ale persoanelor din regiuni și a producției locale;”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ALDE, PPE: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11</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„consideră că, pentru a-și juca rolul de plasă de siguranță, prețurile de intervenție trebuie să fie adaptate periodic la evoluția prețurilor de cost, lucru care ar permite să se acționeze în mod direct asupra veniturilor și asupra perenității activității producătorilor”</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„precum și asupra ocupării forței de muncă”</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treia parte</w:t>
            </w:r>
          </w:p>
        </w:tc>
        <w:tc>
          <w:tcPr>
            <w:tcW w:w="7495" w:type="dxa"/>
            <w:tcMar>
              <w:top w:w="0" w:type="dxa"/>
              <w:left w:w="0" w:type="dxa"/>
              <w:bottom w:w="0" w:type="dxa"/>
              <w:right w:w="0" w:type="dxa"/>
            </w:tcMar>
          </w:tcPr>
          <w:p w:rsidR="00494823" w:rsidRPr="00CD18B9">
            <w:pPr>
              <w:pStyle w:val="REMARKTABLECELLSIMPLE"/>
            </w:pPr>
            <w:r w:rsidR="00D8010F">
              <w:t>„dorește ca UE să creeze instrumente de prevenire, de tipul observatorului pieței laptelui, în toate sectoarele majore de producție în scopul de a monitoriza piețele, ceea ce ar ajuta la orientarea producției și ar permite intervenția în situațiile de criză prin instrumente de gestionare a pieței flexibile și reactive, activate atunci când este necesar;”</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40</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„deoarece”, „sunt”, „în general mai diversificate și mai autonome și consumă mai puține resurse, sunt, în același timp, mai ușor de transferat” și „mai eficiente în ceea ce privește crearea de valoare adăugată și de locuri de muncă pe teritoriul lor și reprezintă”</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„deoarece”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treia parte</w:t>
            </w:r>
          </w:p>
        </w:tc>
        <w:tc>
          <w:tcPr>
            <w:tcW w:w="7495" w:type="dxa"/>
            <w:tcMar>
              <w:top w:w="0" w:type="dxa"/>
              <w:left w:w="0" w:type="dxa"/>
              <w:bottom w:w="0" w:type="dxa"/>
              <w:right w:w="0" w:type="dxa"/>
            </w:tcMar>
          </w:tcPr>
          <w:p w:rsidR="00494823">
            <w:pPr>
              <w:pStyle w:val="REMARKTABLECELLSIMPLE"/>
            </w:pPr>
            <w:r w:rsidR="00D8010F">
              <w:t>„sunt”</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patra parte</w:t>
            </w:r>
          </w:p>
        </w:tc>
        <w:tc>
          <w:tcPr>
            <w:tcW w:w="7495" w:type="dxa"/>
            <w:tcMar>
              <w:top w:w="0" w:type="dxa"/>
              <w:left w:w="0" w:type="dxa"/>
              <w:bottom w:w="0" w:type="dxa"/>
              <w:right w:w="0" w:type="dxa"/>
            </w:tcMar>
          </w:tcPr>
          <w:p w:rsidR="00494823" w:rsidRPr="00CD18B9">
            <w:pPr>
              <w:pStyle w:val="REMARKTABLECELLSIMPLE"/>
            </w:pPr>
            <w:r w:rsidR="00D8010F">
              <w:t>„în general mai diversificate și mai autonome și consumă mai puține resurse, sunt, în același timp, mai ușor de transferat”</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cincea parte</w:t>
            </w:r>
          </w:p>
        </w:tc>
        <w:tc>
          <w:tcPr>
            <w:tcW w:w="7495" w:type="dxa"/>
            <w:tcMar>
              <w:top w:w="0" w:type="dxa"/>
              <w:left w:w="0" w:type="dxa"/>
              <w:bottom w:w="0" w:type="dxa"/>
              <w:right w:w="0" w:type="dxa"/>
            </w:tcMar>
          </w:tcPr>
          <w:p w:rsidR="00494823" w:rsidRPr="00CD18B9">
            <w:pPr>
              <w:pStyle w:val="REMARKTABLECELLSIMPLE"/>
            </w:pPr>
            <w:r w:rsidR="00D8010F">
              <w:t>„mai eficiente în ceea ce privește crearea de valoare adăugată și de locuri de muncă pe teritoriul lor și reprezintă”</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EFDD, Verts/ALE: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16</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„producția de energie din surse regenerabile”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ECR, GUE/NGL:</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35</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„să adopte o politică care” și „competitiv și”</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„să adopte o politică care”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treia parte</w:t>
            </w:r>
          </w:p>
        </w:tc>
        <w:tc>
          <w:tcPr>
            <w:tcW w:w="7495" w:type="dxa"/>
            <w:tcMar>
              <w:top w:w="0" w:type="dxa"/>
              <w:left w:w="0" w:type="dxa"/>
              <w:bottom w:w="0" w:type="dxa"/>
              <w:right w:w="0" w:type="dxa"/>
            </w:tcMar>
          </w:tcPr>
          <w:p w:rsidR="00494823">
            <w:pPr>
              <w:pStyle w:val="REMARKTABLECELLSIMPLE"/>
            </w:pPr>
            <w:r w:rsidR="00D8010F">
              <w:t>„competitiv și”</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Considerentul S</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„în cadrul unei politici agricole comune orientate spre piață”, „de reglementare” și „prețurilor”</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„în cadrul unei politici agricole comune orientate spre piață”</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treia parte</w:t>
            </w:r>
          </w:p>
        </w:tc>
        <w:tc>
          <w:tcPr>
            <w:tcW w:w="7495" w:type="dxa"/>
            <w:tcMar>
              <w:top w:w="0" w:type="dxa"/>
              <w:left w:w="0" w:type="dxa"/>
              <w:bottom w:w="0" w:type="dxa"/>
              <w:right w:w="0" w:type="dxa"/>
            </w:tcMar>
          </w:tcPr>
          <w:p w:rsidR="00494823" w:rsidRPr="00CD18B9">
            <w:pPr>
              <w:pStyle w:val="REMARKTABLECELLSIMPLE"/>
            </w:pPr>
            <w:r w:rsidR="00D8010F">
              <w:t>„de reglementare” și „prețurilor”</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ECR, GUE/NGL, ALDE, PPE, ENF:</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48 (erata)</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„consideră că asigurarea securității alimentare în Uniunea Europeană trebuie să rămână principala acțiune de principiu în temeiul viitorului PAC”</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„fără a neglija piețele din afara UE”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treia parte</w:t>
            </w:r>
          </w:p>
        </w:tc>
        <w:tc>
          <w:tcPr>
            <w:tcW w:w="7495" w:type="dxa"/>
            <w:tcMar>
              <w:top w:w="0" w:type="dxa"/>
              <w:left w:w="0" w:type="dxa"/>
              <w:bottom w:w="0" w:type="dxa"/>
              <w:right w:w="0" w:type="dxa"/>
            </w:tcMar>
          </w:tcPr>
          <w:p w:rsidR="00494823" w:rsidRPr="00CD18B9">
            <w:pPr>
              <w:pStyle w:val="REMARKTABLECELLSIMPLE"/>
            </w:pPr>
            <w:r w:rsidR="00D8010F">
              <w:t>„în această privință, consideră că acordurile comerciale pot prezenta un risc real, precum și posibile oportunități pentru agricultura europeană și consideră că acordurile de liber schimb nu ar trebui să conducă la apariția unor condiții de concurență neloială în cazul exploatațiilor agricole mici și mijlocii și nici să submineze economiile și locurile de muncă locale;” cu excepția cuvintelor:</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patra parte</w:t>
            </w:r>
          </w:p>
        </w:tc>
        <w:tc>
          <w:tcPr>
            <w:tcW w:w="7495" w:type="dxa"/>
            <w:tcMar>
              <w:top w:w="0" w:type="dxa"/>
              <w:left w:w="0" w:type="dxa"/>
              <w:bottom w:w="0" w:type="dxa"/>
              <w:right w:w="0" w:type="dxa"/>
            </w:tcMar>
          </w:tcPr>
          <w:p w:rsidR="00494823" w:rsidRPr="00CD18B9">
            <w:pPr>
              <w:pStyle w:val="REMARKTABLECELLSIMPLE"/>
            </w:pPr>
            <w:r w:rsidR="00D8010F">
              <w:t>„precum și posibile oportunități”</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cincea parte</w:t>
            </w:r>
          </w:p>
        </w:tc>
        <w:tc>
          <w:tcPr>
            <w:tcW w:w="7495" w:type="dxa"/>
            <w:tcMar>
              <w:top w:w="0" w:type="dxa"/>
              <w:left w:w="0" w:type="dxa"/>
              <w:bottom w:w="0" w:type="dxa"/>
              <w:right w:w="0" w:type="dxa"/>
            </w:tcMar>
          </w:tcPr>
          <w:p w:rsidR="00494823" w:rsidRPr="00CD18B9">
            <w:pPr>
              <w:pStyle w:val="REMARKTABLECELLSIMPLE"/>
            </w:pPr>
            <w:r w:rsidR="00D8010F">
              <w:t>„în această privință, consideră că acordurile comerciale cum ar fi TTIP, CETA și acordul comercial UE-Mercosur prezintă o amenințare semnificativă pentru piețele europene ale agriculturii și locurile de muncă și vor acționa împotriva politicilor ce vizează stimularea producției locale și sprijinirea nivelului de trai în domeniul agricol;”</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ECR, ENF:</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59</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„consideră că este necesar ca, pe viitor, să se continue să se dezvolte sisteme alimentare de înaltă calitate în teritorii, furnizând produse alimentare brute sau prelucrate, încurajând responsabilitatea civică și participarea părților interesate – fie grupate împreună ca producători, prelucrători, distribuitori și consumatori, fie numai comunitățile de producători și consumatori sau, eventual, toți operatorii economici din sectorul agroalimentar și al turismului alimentar reuniți– la activități calitative și contractuale care să vizeze nu doar asigurarea aprovizionării cu alimente și a siguranței alimentare, ci și remunerarea echitabilă, pentru ca agricultorii să poată avea un trai decent exercitându-și meseria și pentru a menține locurile de muncă în exploatațiile lor; menționează că astfel de sisteme alimentare pot lua în special, dar nu numai, forma unor circuite scurte și/sau a unor piețe locale;”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„consideră că, în viitor, ar trebui să fie alocate mai multe resurse ale Uniunii pentru dezvoltarea și funcționarea anumitor sisteme speciale pentru asigurarea calității alimentelor și pentru dezvoltarea suplimentară a gastronomiei europene, care este, renumită la nivel mondial;”</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treia parte</w:t>
            </w:r>
          </w:p>
        </w:tc>
        <w:tc>
          <w:tcPr>
            <w:tcW w:w="7495" w:type="dxa"/>
            <w:tcMar>
              <w:top w:w="0" w:type="dxa"/>
              <w:left w:w="0" w:type="dxa"/>
              <w:bottom w:w="0" w:type="dxa"/>
              <w:right w:w="0" w:type="dxa"/>
            </w:tcMar>
          </w:tcPr>
          <w:p w:rsidR="00494823" w:rsidRPr="00CD18B9">
            <w:pPr>
              <w:pStyle w:val="REMARKTABLECELLSIMPLE"/>
            </w:pPr>
            <w:r w:rsidR="00D8010F">
              <w:t>„consideră că este esențial, în acest sens, să se adapteze mai bine cadrul legislativ pentru licitațiile publice, astfel încât comunitățile să poată stimula producția locală;”</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67</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„solicită Comisiei Europene să evalueze efectele sociale ale actualei crize agricole, în special în ceea ce privește pierderea de locuri de muncă, îndeosebi în zonele rurale; invită statele membre să analizeze modul în care poate fi îmbunătățită competitivitatea agriculturii, astfel încât acest sector să poată crea locuri de muncă și genera o valoare adăugată partajată în mod echitabil în sectorul agricol și în industria agroalimentară, asigurând concurența loiale și reducând la minimum daunele provocate de dumpingul social și de condițiile de muncă precare și atipice, care afectează în mod disproporționat anumite grupuri; ia act de faptul că mulți membri de familie nu au un statut social sau nu beneficiază de recunoaștere legală și/sau nu sunt incluși în vreun sistem de protecție socială; subliniază că întreprinderile agricole trebuie să respecte legislația națională în domeniul ocupării forței de muncă și în domeniul social; consideră că introducerea oricăror condiționalități suplimentare pentru plățile din primul pilon al PAC ar crește în mod considerabil sarcinile administrative cu care se confruntă agricultorii și ar limita potențialul acestora de a crea locuri de muncă;”</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„solicită ca partenerii sociali, împreună cu autoritățile de management, să aibă un rol mai important și solicită statelor membre să recunoască și să garanteze drepturile sociale ale fermierilor, asigurându-se că toți lucrătorii agricoli, cu fracțiune de normă sau cu normă întreagă, beneficiază de un sistem de protecție socială;”</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treia parte</w:t>
            </w:r>
          </w:p>
        </w:tc>
        <w:tc>
          <w:tcPr>
            <w:tcW w:w="7495" w:type="dxa"/>
            <w:tcMar>
              <w:top w:w="0" w:type="dxa"/>
              <w:left w:w="0" w:type="dxa"/>
              <w:bottom w:w="0" w:type="dxa"/>
              <w:right w:w="0" w:type="dxa"/>
            </w:tcMar>
          </w:tcPr>
          <w:p w:rsidR="00494823" w:rsidRPr="00CD18B9">
            <w:pPr>
              <w:pStyle w:val="REMARKTABLECELLSIMPLE"/>
            </w:pPr>
            <w:r w:rsidR="00D8010F">
              <w:t>„invită statele membre să transpună în legislația națională Directiva 2014/36/UE privind lucrătorii sezonieri;”</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patra parte</w:t>
            </w:r>
          </w:p>
        </w:tc>
        <w:tc>
          <w:tcPr>
            <w:tcW w:w="7495" w:type="dxa"/>
            <w:tcMar>
              <w:top w:w="0" w:type="dxa"/>
              <w:left w:w="0" w:type="dxa"/>
              <w:bottom w:w="0" w:type="dxa"/>
              <w:right w:w="0" w:type="dxa"/>
            </w:tcMar>
          </w:tcPr>
          <w:p w:rsidR="00494823" w:rsidRPr="00CD18B9">
            <w:pPr>
              <w:pStyle w:val="REMARKTABLECELLSIMPLE"/>
            </w:pPr>
            <w:r w:rsidR="00D8010F">
              <w:t>„solicită ca autoritățile naționale de sănătate și de siguranță să primească resurse pentru a disemina informații cu privire la siguranța în exploatațiile agricole;”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ECR, S&amp;D:</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 72</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„cum ar fi pesta porcină africană, care a afectat statele baltice și Polonia, și gripa aviară, care a lovit Franța”</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pPr>
              <w:pStyle w:val="REMARKTABLECELLSIMPLE"/>
            </w:pPr>
            <w:r w:rsidR="00D8010F">
              <w:t>aceste cuvinte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GUE/NGL, ENF:</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considerentul I</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Întregul text, cu excepția cuvintelor: „Uniunea Europeană a transformat ocuparea forței de muncă - în special prin FEIS - într-una dintre principalele sale priorități, iar, în acest context”</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„Uniunea Europeană a transformat ocuparea forței de muncă - în special prin FEIS - într-una dintre principalele sale priorități, iar, în acest context”, cu excepția cuvintelor: „- în special prin FEIS -”</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treia parte</w:t>
            </w:r>
          </w:p>
        </w:tc>
        <w:tc>
          <w:tcPr>
            <w:tcW w:w="7495" w:type="dxa"/>
            <w:tcMar>
              <w:top w:w="0" w:type="dxa"/>
              <w:left w:w="0" w:type="dxa"/>
              <w:bottom w:w="0" w:type="dxa"/>
              <w:right w:w="0" w:type="dxa"/>
            </w:tcMar>
          </w:tcPr>
          <w:p w:rsidR="00494823" w:rsidRPr="00CD18B9">
            <w:pPr>
              <w:pStyle w:val="REMARKTABLECELLSIMPLE"/>
            </w:pPr>
            <w:r w:rsidR="00D8010F">
              <w:t>„- în special prin FEIS -”</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ECR, PPE, ENF:</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considerentul U</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„întrucât agricultorii europeni își desfășoară activitatea pe o piață din ce în ce mai globală și, prin urmare, se confruntă cu o expunere mai mare la volatilitatea prețurilor decât alte sectoare;”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„întrucât acordurile comerciale care sunt negociate în prezent, precum Parteneriatul transatlantic pentru comerț și investiții (TTIP), Acordul economic și comercial cuprinzător (CETA) dintre UE și Canada și Acordul de liber schimb UE-Mercosur, reprezintă o amenințare la adresa creării de locuri de muncă și a creării condițiilor necesare pentru sprijinirea mijloacelor de subzistență în agricultură;”</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D8010F" w:rsidRPr="00CD18B9"/>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ENF, S&amp;D:</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494823">
            <w:pPr>
              <w:pStyle w:val="REMARKTABLECELLSIMPLE"/>
            </w:pPr>
            <w:r w:rsidR="00D8010F">
              <w:t>considerentul AI</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Prima parte</w:t>
            </w:r>
          </w:p>
        </w:tc>
        <w:tc>
          <w:tcPr>
            <w:tcW w:w="7495" w:type="dxa"/>
            <w:tcMar>
              <w:top w:w="0" w:type="dxa"/>
              <w:left w:w="0" w:type="dxa"/>
              <w:bottom w:w="0" w:type="dxa"/>
              <w:right w:w="0" w:type="dxa"/>
            </w:tcMar>
          </w:tcPr>
          <w:p w:rsidR="00494823" w:rsidRPr="00CD18B9">
            <w:pPr>
              <w:pStyle w:val="REMARKTABLECELLSIMPLE"/>
            </w:pPr>
            <w:r w:rsidR="00D8010F">
              <w:t>„întrucât Fondul european agricol pentru dezvoltare rurală (FEADR) furnizează asistență pe termen mediu comunităților marginalizate în ceea ce privește locuințele, asistența medicală, educația și ocuparea forței de muncă în zonele rurale;”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doua parte</w:t>
            </w:r>
          </w:p>
        </w:tc>
        <w:tc>
          <w:tcPr>
            <w:tcW w:w="7495" w:type="dxa"/>
            <w:tcMar>
              <w:top w:w="0" w:type="dxa"/>
              <w:left w:w="0" w:type="dxa"/>
              <w:bottom w:w="0" w:type="dxa"/>
              <w:right w:w="0" w:type="dxa"/>
            </w:tcMar>
          </w:tcPr>
          <w:p w:rsidR="00494823" w:rsidRPr="00CD18B9">
            <w:pPr>
              <w:pStyle w:val="REMARKTABLECELLSIMPLE"/>
            </w:pPr>
            <w:r w:rsidR="00D8010F">
              <w:t>„întrucât FEADR poate lua în considerare nevoile specifice ale refugiaților și poate fi utilizat pentru măsuri de formare profesională și de dobândire de competențe în diverse sectoare de activitate din zonele rurale,”</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494823">
            <w:pPr>
              <w:pStyle w:val="REMARKTABLECELLITALIC"/>
            </w:pPr>
            <w:r w:rsidR="00D8010F">
              <w:t>A treia parte</w:t>
            </w:r>
          </w:p>
        </w:tc>
        <w:tc>
          <w:tcPr>
            <w:tcW w:w="7495" w:type="dxa"/>
            <w:tcMar>
              <w:top w:w="0" w:type="dxa"/>
              <w:left w:w="0" w:type="dxa"/>
              <w:bottom w:w="0" w:type="dxa"/>
              <w:right w:w="0" w:type="dxa"/>
            </w:tcMar>
          </w:tcPr>
          <w:p w:rsidR="00494823" w:rsidRPr="00CD18B9">
            <w:pPr>
              <w:pStyle w:val="REMARKTABLECELLSIMPLE"/>
            </w:pPr>
            <w:r w:rsidR="00D8010F">
              <w:t>„poate lua în considerare nevoile specifice ale refugiaților și”</w:t>
            </w:r>
          </w:p>
        </w:tc>
      </w:tr>
    </w:tbl>
    <w:p w:rsidR="00494823" w:rsidRPr="00CD18B9">
      <w:pPr>
        <w:pStyle w:val="STYTAB"/>
      </w:pPr>
    </w:p>
    <w:tbl>
      <w:tblPr>
        <w:tblStyle w:val="TableNormal"/>
        <w:tblW w:w="9065" w:type="dxa"/>
        <w:tblLayout w:type="fixed"/>
        <w:tblCellMar>
          <w:left w:w="10" w:type="dxa"/>
          <w:right w:w="10" w:type="dxa"/>
        </w:tblCellMar>
        <w:tblLook w:val="04A0"/>
      </w:tblPr>
      <w:tblGrid>
        <w:gridCol w:w="9065"/>
      </w:tblGrid>
      <w:tr>
        <w:tblPrEx>
          <w:tblW w:w="9065" w:type="dxa"/>
          <w:tblLayout w:type="fixed"/>
          <w:tblCellMar>
            <w:left w:w="10" w:type="dxa"/>
            <w:right w:w="10" w:type="dxa"/>
          </w:tblCellMar>
          <w:tblLook w:val="04A0"/>
        </w:tblPrEx>
        <w:trPr>
          <w:cantSplit/>
        </w:trPr>
        <w:tc>
          <w:tcPr>
            <w:tcW w:w="9065" w:type="dxa"/>
            <w:tcMar>
              <w:top w:w="0" w:type="dxa"/>
              <w:left w:w="0" w:type="dxa"/>
              <w:bottom w:w="0" w:type="dxa"/>
              <w:right w:w="0" w:type="dxa"/>
            </w:tcMar>
          </w:tcPr>
          <w:p w:rsidR="00494823">
            <w:pPr>
              <w:pStyle w:val="REMARKTABLECELLTITLE"/>
            </w:pPr>
            <w:r w:rsidR="00D8010F">
              <w:t>Diverse</w:t>
            </w:r>
          </w:p>
        </w:tc>
      </w:tr>
      <w:tr>
        <w:tblPrEx>
          <w:tblW w:w="9065" w:type="dxa"/>
          <w:tblLayout w:type="fixed"/>
          <w:tblCellMar>
            <w:left w:w="10" w:type="dxa"/>
            <w:right w:w="10" w:type="dxa"/>
          </w:tblCellMar>
          <w:tblLook w:val="04A0"/>
        </w:tblPrEx>
        <w:trPr>
          <w:cantSplit/>
        </w:trPr>
        <w:tc>
          <w:tcPr>
            <w:tcW w:w="9065" w:type="dxa"/>
            <w:tcMar>
              <w:top w:w="0" w:type="dxa"/>
              <w:left w:w="0" w:type="dxa"/>
              <w:bottom w:w="0" w:type="dxa"/>
              <w:right w:w="0" w:type="dxa"/>
            </w:tcMar>
          </w:tcPr>
          <w:p w:rsidR="00494823" w:rsidRPr="00CD18B9">
            <w:pPr>
              <w:pStyle w:val="REMARKTABLECELLSIMPLE"/>
            </w:pPr>
            <w:r w:rsidR="00D8010F">
              <w:t>Erată: toate versiunile lingvistice.</w:t>
            </w:r>
          </w:p>
        </w:tc>
      </w:tr>
    </w:tbl>
    <w:p w:rsidR="00D8010F" w:rsidRPr="00CD18B9"/>
    <w:sectPr>
      <w:footerReference w:type="default" r:id="rId4"/>
      <w:pgSz w:w="11905" w:h="16837"/>
      <w:pgMar w:top="1440" w:right="1418" w:bottom="1440" w:left="1418" w:header="720" w:footer="45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9065" w:type="dxa"/>
      <w:tblLayout w:type="fixed"/>
      <w:tblCellMar>
        <w:left w:w="10" w:type="dxa"/>
        <w:right w:w="10" w:type="dxa"/>
      </w:tblCellMar>
      <w:tblLook w:val="04A0"/>
    </w:tblPr>
    <w:tblGrid>
      <w:gridCol w:w="4121"/>
      <w:gridCol w:w="822"/>
      <w:gridCol w:w="4122"/>
    </w:tblGrid>
    <w:tr>
      <w:tblPrEx>
        <w:tblW w:w="9065" w:type="dxa"/>
        <w:tblLayout w:type="fixed"/>
        <w:tblCellMar>
          <w:left w:w="10" w:type="dxa"/>
          <w:right w:w="10" w:type="dxa"/>
        </w:tblCellMar>
        <w:tblLook w:val="04A0"/>
      </w:tblPrEx>
      <w:tc>
        <w:tcPr>
          <w:tcW w:w="4122" w:type="dxa"/>
        </w:tcPr>
        <w:p w:rsidR="00D8010F" w:rsidRPr="00CD18B9" w:rsidP="00391C80">
          <w:pPr>
            <w:pStyle w:val="FOOTERSTYLELEFTSTYLE"/>
          </w:pPr>
          <w:r w:rsidR="00391C80">
            <w:t>P8_PV</w:t>
          </w:r>
          <w:r>
            <w:t>(2016)10-27(VOT)_RO.doc</w:t>
          </w:r>
        </w:p>
      </w:tc>
      <w:tc>
        <w:tcPr>
          <w:tcW w:w="822" w:type="dxa"/>
        </w:tcPr>
        <w:p w:rsidR="00D8010F">
          <w:pPr>
            <w:pStyle w:val="FOOTERSTYLECENTERSTYLE"/>
          </w:pPr>
          <w:r>
            <w:fldChar w:fldCharType="begin"/>
          </w:r>
          <w:r>
            <w:instrText xml:space="preserve"> PAGE </w:instrText>
          </w:r>
          <w:r>
            <w:fldChar w:fldCharType="separate"/>
          </w:r>
          <w:r w:rsidR="00F2698D">
            <w:rPr>
              <w:noProof/>
            </w:rPr>
            <w:t>7</w:t>
          </w:r>
          <w:r>
            <w:fldChar w:fldCharType="end"/>
          </w:r>
        </w:p>
      </w:tc>
      <w:tc>
        <w:tcPr>
          <w:tcW w:w="4122" w:type="dxa"/>
        </w:tcPr>
        <w:p w:rsidR="00D8010F">
          <w:pPr>
            <w:pStyle w:val="FOOTERSTYLERIGHTSTYLE"/>
          </w:pPr>
          <w:r>
            <w:t>PE 593.071</w:t>
          </w:r>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F149A"/>
    <w:multiLevelType w:val="multilevel"/>
    <w:tmpl w:val="F446C870"/>
    <w:styleLink w:val="Numbering1"/>
    <w:lvl w:ilvl="0">
      <w:start w:val="1"/>
      <w:numFmt w:val="decimal"/>
      <w:pStyle w:val="VOTETITLE"/>
      <w:lvlText w:val="%1."/>
      <w:lvlJc w:val="left"/>
      <w:pPr>
        <w:ind w:left="567" w:hanging="567"/>
      </w:pPr>
    </w:lvl>
    <w:lvl w:ilvl="1">
      <w:start w:val="1"/>
      <w:numFmt w:val="none"/>
      <w:lvlJc w:val="left"/>
    </w:lvl>
    <w:lvl w:ilvl="2">
      <w:start w:val="1"/>
      <w:numFmt w:val="none"/>
      <w:lvlJc w:val="left"/>
    </w:lvl>
    <w:lvl w:ilvl="3">
      <w:start w:val="1"/>
      <w:numFmt w:val="none"/>
      <w:lvlJc w:val="left"/>
    </w:lvl>
    <w:lvl w:ilvl="4">
      <w:start w:val="1"/>
      <w:numFmt w:val="none"/>
      <w:lvlJc w:val="left"/>
    </w:lvl>
    <w:lvl w:ilvl="5">
      <w:start w:val="1"/>
      <w:numFmt w:val="none"/>
      <w:lvlJc w:val="left"/>
    </w:lvl>
    <w:lvl w:ilvl="6">
      <w:start w:val="1"/>
      <w:numFmt w:val="none"/>
      <w:lvlJc w:val="left"/>
    </w:lvl>
    <w:lvl w:ilvl="7">
      <w:start w:val="1"/>
      <w:numFmt w:val="none"/>
      <w:lvlJc w:val="left"/>
    </w:lvl>
    <w:lvl w:ilvl="8">
      <w:start w:val="1"/>
      <w:numFmt w:val="none"/>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val="ro-RO" w:eastAsia="ro-RO" w:bidi="ro-RO"/>
    </w:rPr>
  </w:style>
  <w:style w:type="paragraph" w:styleId="Heading1">
    <w:name w:val="heading 1"/>
    <w:basedOn w:val="Standard"/>
    <w:next w:val="Standard"/>
    <w:pPr>
      <w:keepNext/>
      <w:spacing w:before="240" w:after="60"/>
      <w:outlineLvl w:val="0"/>
    </w:pPr>
    <w:rPr>
      <w:rFonts w:cs="Arial"/>
      <w:b/>
      <w:bCs/>
      <w:sz w:val="24"/>
      <w:szCs w:val="32"/>
    </w:rPr>
  </w:style>
  <w:style w:type="paragraph" w:styleId="Heading2">
    <w:name w:val="heading 2"/>
    <w:basedOn w:val="Standard"/>
    <w:next w:val="Textbody"/>
    <w:pPr>
      <w:spacing w:before="100" w:after="1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kern w:val="3"/>
      <w:lang w:val="ro-RO" w:eastAsia="ro-RO" w:bidi="ro-RO"/>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ANNEXTITLE">
    <w:name w:val="ANNEX TITLE"/>
    <w:basedOn w:val="Standard"/>
    <w:pPr>
      <w:jc w:val="right"/>
    </w:pPr>
    <w:rPr>
      <w:b/>
      <w:sz w:val="36"/>
    </w:rPr>
  </w:style>
  <w:style w:type="paragraph" w:customStyle="1" w:styleId="VOTERESULT">
    <w:name w:val="VOTE RESULT"/>
    <w:basedOn w:val="Standard"/>
    <w:pPr>
      <w:spacing w:after="2268"/>
      <w:jc w:val="center"/>
    </w:pPr>
    <w:rPr>
      <w:b/>
      <w:sz w:val="36"/>
    </w:rPr>
  </w:style>
  <w:style w:type="paragraph" w:customStyle="1" w:styleId="SIGNIFICATIONTITLE">
    <w:name w:val="SIGNIFICATION TITLE"/>
    <w:pPr>
      <w:widowControl w:val="0"/>
      <w:suppressAutoHyphens/>
      <w:autoSpaceDN w:val="0"/>
      <w:spacing w:before="283" w:after="283"/>
      <w:jc w:val="center"/>
      <w:textAlignment w:val="baseline"/>
    </w:pPr>
    <w:rPr>
      <w:b/>
      <w:kern w:val="3"/>
      <w:sz w:val="32"/>
      <w:szCs w:val="24"/>
      <w:lang w:val="ro-RO" w:eastAsia="ro-RO" w:bidi="ro-RO"/>
    </w:rPr>
  </w:style>
  <w:style w:type="paragraph" w:customStyle="1" w:styleId="SIGNIFICATIONABR">
    <w:name w:val="SIGNIFICATION ABR"/>
    <w:pPr>
      <w:widowControl w:val="0"/>
      <w:suppressAutoHyphens/>
      <w:autoSpaceDN w:val="0"/>
      <w:ind w:left="108"/>
      <w:textAlignment w:val="baseline"/>
    </w:pPr>
    <w:rPr>
      <w:kern w:val="3"/>
      <w:sz w:val="22"/>
      <w:szCs w:val="24"/>
      <w:lang w:val="ro-RO" w:eastAsia="ro-RO" w:bidi="ro-RO"/>
    </w:rPr>
  </w:style>
  <w:style w:type="paragraph" w:customStyle="1" w:styleId="SIGNIFICATIONDESC">
    <w:name w:val="SIGNIFICATION DESC"/>
    <w:basedOn w:val="SIGNIFICATIONAB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rPr>
      <w:sz w:val="18"/>
    </w:rPr>
  </w:style>
  <w:style w:type="paragraph" w:customStyle="1" w:styleId="VOTETITLE">
    <w:name w:val="VOTE TITLE"/>
    <w:basedOn w:val="Heading"/>
    <w:pPr>
      <w:numPr>
        <w:numId w:val="1"/>
      </w:numPr>
      <w:tabs>
        <w:tab w:val="left" w:pos="1134"/>
        <w:tab w:val="left" w:pos="1701"/>
      </w:tabs>
      <w:spacing w:before="227" w:after="340"/>
      <w:outlineLvl w:val="0"/>
    </w:pPr>
    <w:rPr>
      <w:rFonts w:ascii="Times New Roman" w:hAnsi="Times New Roman"/>
      <w:b/>
      <w:sz w:val="24"/>
    </w:rPr>
  </w:style>
  <w:style w:type="paragraph" w:customStyle="1" w:styleId="VOTEFIRSTTITLE">
    <w:name w:val="VOTE FIRST TITLE"/>
    <w:basedOn w:val="VOTETITLE"/>
    <w:pPr>
      <w:pageBreakBefore/>
    </w:pPr>
  </w:style>
  <w:style w:type="paragraph" w:customStyle="1" w:styleId="VOTEREPORTTITLE">
    <w:name w:val="VOTE REPORT TITLE"/>
    <w:pPr>
      <w:keepNext/>
      <w:widowControl w:val="0"/>
      <w:suppressAutoHyphens/>
      <w:autoSpaceDN w:val="0"/>
      <w:spacing w:after="227"/>
      <w:textAlignment w:val="baseline"/>
    </w:pPr>
    <w:rPr>
      <w:i/>
      <w:kern w:val="3"/>
      <w:sz w:val="22"/>
      <w:szCs w:val="24"/>
      <w:lang w:val="ro-RO" w:eastAsia="ro-RO" w:bidi="ro-RO"/>
    </w:rPr>
  </w:style>
  <w:style w:type="paragraph" w:customStyle="1" w:styleId="VOTINGTABLEHEADER">
    <w:name w:val="VOTING TABLE HEADER"/>
    <w:basedOn w:val="Standard"/>
    <w:pPr>
      <w:tabs>
        <w:tab w:val="left" w:pos="1134"/>
      </w:tabs>
      <w:snapToGrid w:val="0"/>
      <w:spacing w:before="120" w:after="120"/>
      <w:jc w:val="center"/>
    </w:pPr>
    <w:rPr>
      <w:sz w:val="22"/>
    </w:rPr>
  </w:style>
  <w:style w:type="paragraph" w:customStyle="1" w:styleId="VOTINGTABLECELL">
    <w:name w:val="VOTING TABLE CELL"/>
    <w:basedOn w:val="Standard"/>
    <w:pPr>
      <w:keepNext/>
      <w:keepLines/>
      <w:widowControl w:val="0"/>
      <w:tabs>
        <w:tab w:val="left" w:pos="1134"/>
      </w:tabs>
      <w:snapToGrid w:val="0"/>
      <w:spacing w:before="120" w:after="120"/>
      <w:jc w:val="center"/>
    </w:pPr>
  </w:style>
  <w:style w:type="paragraph" w:customStyle="1" w:styleId="VOTINGTABLECELLOBJECT">
    <w:name w:val="VOTING TABLE CELL OBJECT"/>
    <w:basedOn w:val="VOTINGTABLECELL"/>
    <w:rPr>
      <w:sz w:val="22"/>
    </w:rPr>
  </w:style>
  <w:style w:type="paragraph" w:customStyle="1" w:styleId="VOTINGTABLECELLSIMPLEOBJECT">
    <w:name w:val="VOTING TABLE CELL SIMPLE OBJECT"/>
    <w:basedOn w:val="VOTINGTABLECELL"/>
    <w:rPr>
      <w:sz w:val="22"/>
    </w:rPr>
  </w:style>
  <w:style w:type="paragraph" w:customStyle="1" w:styleId="VOTINGTABLECELLAN">
    <w:name w:val="VOTING TABLE CELL AN"/>
    <w:basedOn w:val="VOTINGTABLECELL"/>
    <w:rPr>
      <w:sz w:val="22"/>
    </w:rPr>
  </w:style>
  <w:style w:type="paragraph" w:customStyle="1" w:styleId="VOTINGTABLECELLVOTE">
    <w:name w:val="VOTING TABLE CELL VOTE"/>
    <w:basedOn w:val="VOTINGTABLECELL"/>
    <w:rPr>
      <w:sz w:val="22"/>
    </w:rPr>
  </w:style>
  <w:style w:type="paragraph" w:customStyle="1" w:styleId="VOTINGTABLECELLREMARK">
    <w:name w:val="VOTING TABLE CELL REMARK"/>
    <w:basedOn w:val="VOTINGTABLECELL"/>
    <w:rPr>
      <w:sz w:val="22"/>
    </w:rPr>
  </w:style>
  <w:style w:type="paragraph" w:customStyle="1" w:styleId="VOTINGTABLECELLAM">
    <w:name w:val="VOTING TABLE CELL AM"/>
    <w:basedOn w:val="VOTINGTABLECELL"/>
    <w:rPr>
      <w:sz w:val="22"/>
    </w:rPr>
  </w:style>
  <w:style w:type="paragraph" w:customStyle="1" w:styleId="VOTINGTABLECELLAUTHOR">
    <w:name w:val="VOTING TABLE CELL AUTHOR"/>
    <w:basedOn w:val="VOTINGTABLECELL"/>
    <w:rPr>
      <w:sz w:val="22"/>
    </w:rPr>
  </w:style>
  <w:style w:type="paragraph" w:customStyle="1" w:styleId="REMARKTABLECELL">
    <w:name w:val="REMARK TABLE CELL"/>
    <w:basedOn w:val="Standard"/>
    <w:pPr>
      <w:keepNext/>
      <w:keepLines/>
      <w:widowControl w:val="0"/>
      <w:tabs>
        <w:tab w:val="left" w:pos="1134"/>
      </w:tabs>
      <w:snapToGrid w:val="0"/>
    </w:pPr>
  </w:style>
  <w:style w:type="paragraph" w:customStyle="1" w:styleId="REMARKTABLECELLTITLE">
    <w:name w:val="REMARK TABLE CELL TITLE"/>
    <w:basedOn w:val="REMARKTABLECELL"/>
    <w:rPr>
      <w:i/>
      <w:sz w:val="22"/>
    </w:rPr>
  </w:style>
  <w:style w:type="paragraph" w:customStyle="1" w:styleId="REMARKTABLECELLSIMPLE">
    <w:name w:val="REMARK TABLE CELL SIMPLE"/>
    <w:basedOn w:val="REMARKTABLECELL"/>
    <w:rPr>
      <w:sz w:val="22"/>
    </w:rPr>
  </w:style>
  <w:style w:type="paragraph" w:customStyle="1" w:styleId="REMARKTABLECELLITALIC">
    <w:name w:val="REMARK TABLE CELL ITALIC"/>
    <w:basedOn w:val="REMARKTABLECELL"/>
    <w:rPr>
      <w:i/>
      <w:sz w:val="22"/>
    </w:rPr>
  </w:style>
  <w:style w:type="paragraph" w:customStyle="1" w:styleId="REMARKTABLECELLBOLD">
    <w:name w:val="REMARK TABLE CELL BOLD"/>
    <w:basedOn w:val="REMARKTABLECELL"/>
    <w:rPr>
      <w:b/>
      <w:sz w:val="22"/>
    </w:rPr>
  </w:style>
  <w:style w:type="numbering" w:customStyle="1" w:styleId="Numbering1">
    <w:name w:val="Numbering 1"/>
    <w:basedOn w:val="NoList"/>
    <w:pPr>
      <w:numPr>
        <w:numId w:val="1"/>
      </w:numPr>
    </w:pPr>
  </w:style>
  <w:style w:type="paragraph" w:styleId="BalloonText">
    <w:name w:val="Balloon Text"/>
    <w:basedOn w:val="Normal"/>
    <w:link w:val="BalloonTextChar"/>
    <w:uiPriority w:val="99"/>
    <w:semiHidden/>
    <w:unhideWhenUsed/>
    <w:rsid w:val="00CD18B9"/>
    <w:rPr>
      <w:rFonts w:ascii="Segoe UI" w:hAnsi="Segoe UI" w:cs="Mangal"/>
      <w:sz w:val="18"/>
      <w:szCs w:val="16"/>
    </w:rPr>
  </w:style>
  <w:style w:type="character" w:customStyle="1" w:styleId="BalloonTextChar">
    <w:name w:val="Balloon Text Char"/>
    <w:link w:val="BalloonText"/>
    <w:uiPriority w:val="99"/>
    <w:semiHidden/>
    <w:rsid w:val="00CD18B9"/>
    <w:rPr>
      <w:rFonts w:ascii="Segoe UI" w:hAnsi="Segoe UI" w:cs="Mangal"/>
      <w:sz w:val="18"/>
      <w:szCs w:val="16"/>
    </w:rPr>
  </w:style>
  <w:style w:type="paragraph" w:styleId="CommentText">
    <w:name w:val="annotation text"/>
    <w:basedOn w:val="Normal"/>
    <w:uiPriority w:val="99"/>
    <w:semiHidden/>
    <w:unhideWhenUsed/>
    <w:rPr>
      <w:sz w:val="20"/>
      <w:szCs w:val="20"/>
    </w:rPr>
  </w:style>
  <w:style w:type="character" w:styleId="CommentReference">
    <w:name w:val="annotation reference"/>
    <w:uiPriority w:val="99"/>
    <w:semiHidden/>
    <w:unhideWhenUsed/>
    <w:rPr>
      <w:sz w:val="16"/>
      <w:szCs w:val="16"/>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28156420</Template>
  <TotalTime>1</TotalTime>
  <Pages>30</Pages>
  <Words>6182</Words>
  <Characters>35243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GORI Katia</cp:lastModifiedBy>
  <cp:revision>3</cp:revision>
  <cp:lastPrinted>2016-10-27T11:30:00Z</cp:lastPrinted>
  <dcterms:created xsi:type="dcterms:W3CDTF">2016-11-21T12:37:00Z</dcterms:created>
  <dcterms:modified xsi:type="dcterms:W3CDTF">2017-03-06T14:37:00Z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extension">
    <vt:lpwstr>.doc</vt:lpwstr>
  </property>
</Properties>
</file>