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B86C75">
      <w:pPr>
        <w:pStyle w:val="Arial14"/>
      </w:pPr>
    </w:p>
    <w:p w:rsidR="00B86C7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B86C75">
      <w:pPr>
        <w:pStyle w:val="Arial14"/>
      </w:pPr>
      <w:r>
        <w:t xml:space="preserve"> 2019 - 2020</w:t>
      </w:r>
    </w:p>
    <w:p w:rsidR="00B86C75">
      <w:pPr>
        <w:jc w:val="center"/>
        <w:rPr>
          <w:sz w:val="28"/>
        </w:rPr>
      </w:pPr>
    </w:p>
    <w:p w:rsidR="00B86C75">
      <w:pPr>
        <w:jc w:val="center"/>
        <w:rPr>
          <w:sz w:val="28"/>
        </w:rPr>
      </w:pPr>
    </w:p>
    <w:p w:rsidR="00B86C75">
      <w:pPr>
        <w:jc w:val="center"/>
        <w:rPr>
          <w:sz w:val="48"/>
        </w:rPr>
      </w:pPr>
    </w:p>
    <w:p w:rsidR="00B86C75">
      <w:pPr>
        <w:pStyle w:val="Arial36"/>
      </w:pPr>
      <w:r>
        <w:t>ПРОТОКОЛ</w:t>
      </w:r>
    </w:p>
    <w:p w:rsidR="00B86C75">
      <w:pPr>
        <w:pStyle w:val="Arial14"/>
      </w:pPr>
    </w:p>
    <w:p w:rsidR="00B86C75">
      <w:pPr>
        <w:pStyle w:val="Arial14"/>
      </w:pPr>
    </w:p>
    <w:p w:rsidR="00B86C75">
      <w:pPr>
        <w:pStyle w:val="Arial14"/>
      </w:pPr>
    </w:p>
    <w:p w:rsidR="00B86C75">
      <w:pPr>
        <w:pStyle w:val="Arial14"/>
      </w:pPr>
    </w:p>
    <w:p w:rsidR="00B86C75">
      <w:pPr>
        <w:pStyle w:val="Arial14"/>
      </w:pPr>
      <w:r>
        <w:t>от заседанието от</w:t>
      </w:r>
    </w:p>
    <w:p w:rsidR="00B86C75">
      <w:pPr>
        <w:pStyle w:val="Arial9"/>
      </w:pPr>
    </w:p>
    <w:p w:rsidR="00B86C75">
      <w:pPr>
        <w:pStyle w:val="Arial14B"/>
      </w:pPr>
      <w:r>
        <w:t>вторник</w:t>
      </w:r>
    </w:p>
    <w:p w:rsidR="00B86C75">
      <w:pPr>
        <w:pStyle w:val="Arial9"/>
      </w:pPr>
    </w:p>
    <w:p w:rsidR="00B86C75">
      <w:pPr>
        <w:pStyle w:val="Arial14"/>
      </w:pPr>
      <w:r>
        <w:t>17 септември 2019  г.</w:t>
      </w:r>
    </w:p>
    <w:p w:rsidR="00B86C75">
      <w:pPr>
        <w:pStyle w:val="Arial9"/>
      </w:pPr>
    </w:p>
    <w:p w:rsidR="00B86C75">
      <w:pPr>
        <w:pStyle w:val="Arial9"/>
      </w:pPr>
    </w:p>
    <w:p w:rsidR="00B86C7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B86C75">
      <w:pPr>
        <w:jc w:val="center"/>
        <w:rPr>
          <w:sz w:val="48"/>
        </w:rPr>
      </w:pPr>
    </w:p>
    <w:p w:rsidR="00B86C75">
      <w:pPr>
        <w:pStyle w:val="Arial14B"/>
      </w:pPr>
    </w:p>
    <w:p w:rsidR="00B86C75">
      <w:pPr>
        <w:pStyle w:val="Arial9"/>
      </w:pPr>
    </w:p>
    <w:p w:rsidR="00B86C75">
      <w:pPr>
        <w:pStyle w:val="HorizontalLineSolid"/>
      </w:pPr>
    </w:p>
    <w:p w:rsidR="00B86C75">
      <w:pPr>
        <w:pStyle w:val="Arial9CoverPageReferences"/>
      </w:pPr>
      <w:r>
        <w:t>P9_PV(2019)09-17</w:t>
        <w:tab/>
        <w:tab/>
        <w:t>PE 640.602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B86C75">
            <w:pPr>
              <w:pStyle w:val="TableContents"/>
              <w:rPr>
                <w:rFonts w:ascii="Arial" w:hAnsi="Arial"/>
                <w:b/>
                <w:bCs/>
                <w:sz w:val="48"/>
                <w:szCs w:val="48"/>
                <w:lang w:val="bg-BG"/>
              </w:rPr>
            </w:pPr>
            <w:r>
              <w:rPr>
                <w:rFonts w:ascii="Arial" w:hAnsi="Arial"/>
                <w:b/>
                <w:bCs/>
                <w:sz w:val="48"/>
                <w:szCs w:val="48"/>
                <w:lang w:val="bg-BG"/>
              </w:rPr>
              <w:t>BG</w:t>
            </w:r>
          </w:p>
        </w:tc>
        <w:tc>
          <w:tcPr>
            <w:tcW w:w="7370" w:type="dxa"/>
            <w:shd w:val="clear" w:color="auto" w:fill="FFFFFF"/>
            <w:vAlign w:val="bottom"/>
          </w:tcPr>
          <w:p w:rsidR="00B86C75">
            <w:pPr>
              <w:pStyle w:val="TableContents"/>
              <w:jc w:val="center"/>
              <w:rPr>
                <w:i/>
                <w:iCs/>
                <w:sz w:val="32"/>
                <w:szCs w:val="32"/>
                <w:lang w:val="bg-BG"/>
              </w:rPr>
            </w:pPr>
            <w:r>
              <w:rPr>
                <w:i/>
                <w:iCs/>
                <w:sz w:val="32"/>
                <w:szCs w:val="32"/>
                <w:lang w:val="bg-BG"/>
              </w:rPr>
              <w:t>Единство в многообразието</w:t>
            </w:r>
          </w:p>
        </w:tc>
        <w:tc>
          <w:tcPr>
            <w:tcW w:w="1132" w:type="dxa"/>
            <w:shd w:val="clear" w:color="auto" w:fill="FFFFFF"/>
          </w:tcPr>
          <w:p w:rsidR="00B86C75">
            <w:pPr>
              <w:pStyle w:val="TableContents"/>
              <w:jc w:val="right"/>
              <w:rPr>
                <w:rFonts w:ascii="Arial" w:hAnsi="Arial"/>
                <w:b/>
                <w:bCs/>
                <w:sz w:val="48"/>
                <w:szCs w:val="48"/>
                <w:lang w:val="bg-BG"/>
              </w:rPr>
            </w:pPr>
            <w:r>
              <w:rPr>
                <w:rFonts w:ascii="Arial" w:hAnsi="Arial"/>
                <w:b/>
                <w:bCs/>
                <w:sz w:val="48"/>
                <w:szCs w:val="48"/>
                <w:lang w:val="bg-BG"/>
              </w:rPr>
              <w:t>BG</w:t>
            </w:r>
          </w:p>
        </w:tc>
      </w:tr>
    </w:tbl>
    <w:p w:rsidR="00B86C75">
      <w:pPr>
        <w:rPr>
          <w:sz w:val="20"/>
          <w:szCs w:val="20"/>
          <w:lang w:val="bg-BG"/>
        </w:rPr>
      </w:pPr>
      <w:r>
        <w:br w:type="page"/>
      </w:r>
    </w:p>
    <w:tbl>
      <w:tblPr>
        <w:tblStyle w:val="TableNormal"/>
        <w:tblW w:w="0" w:type="auto"/>
        <w:tblInd w:w="-30" w:type="dxa"/>
        <w:tblLayout w:type="fixed"/>
        <w:tblCellMar>
          <w:left w:w="0" w:type="dxa"/>
          <w:right w:w="0" w:type="dxa"/>
        </w:tblCellMar>
        <w:tblLook w:val="0000"/>
      </w:tblPr>
      <w:tblGrid>
        <w:gridCol w:w="2098"/>
        <w:gridCol w:w="7570"/>
      </w:tblGrid>
      <w:tr>
        <w:tblPrEx>
          <w:tblW w:w="0" w:type="auto"/>
          <w:tblInd w:w="-30" w:type="dxa"/>
          <w:tblLayout w:type="fixed"/>
          <w:tblCellMar>
            <w:left w:w="0" w:type="dxa"/>
            <w:right w:w="0" w:type="dxa"/>
          </w:tblCellMar>
          <w:tblLook w:val="0000"/>
        </w:tblPrEx>
        <w:trPr>
          <w:cantSplit/>
        </w:trPr>
        <w:tc>
          <w:tcPr>
            <w:tcW w:w="9668" w:type="dxa"/>
            <w:gridSpan w:val="2"/>
          </w:tcPr>
          <w:p w:rsidR="00B86C75">
            <w:pPr>
              <w:pStyle w:val="TableContents"/>
              <w:widowControl/>
              <w:spacing w:after="283"/>
              <w:jc w:val="center"/>
              <w:rPr>
                <w:sz w:val="20"/>
                <w:szCs w:val="20"/>
                <w:lang w:val="bg-BG"/>
              </w:rPr>
            </w:pPr>
            <w:r>
              <w:rPr>
                <w:sz w:val="20"/>
                <w:szCs w:val="20"/>
                <w:lang w:val="bg-BG"/>
              </w:rPr>
              <w:br/>
              <w:t>ЛЕГЕНДА НА ИЗПОЛЗВАНИТЕ СИМВОЛИ</w:t>
              <w:br/>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w:t>
            </w:r>
          </w:p>
        </w:tc>
        <w:tc>
          <w:tcPr>
            <w:tcW w:w="7570" w:type="dxa"/>
          </w:tcPr>
          <w:p w:rsidR="00B86C75">
            <w:pPr>
              <w:spacing w:after="1"/>
              <w:rPr>
                <w:sz w:val="20"/>
                <w:szCs w:val="20"/>
                <w:lang w:val="bg-BG"/>
              </w:rPr>
            </w:pPr>
            <w:r>
              <w:rPr>
                <w:sz w:val="20"/>
                <w:szCs w:val="20"/>
                <w:lang w:val="bg-BG"/>
              </w:rPr>
              <w:t>процедура на консултация</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w:t>
            </w:r>
          </w:p>
        </w:tc>
        <w:tc>
          <w:tcPr>
            <w:tcW w:w="7570" w:type="dxa"/>
          </w:tcPr>
          <w:p w:rsidR="00B86C75">
            <w:pPr>
              <w:spacing w:after="1"/>
              <w:rPr>
                <w:sz w:val="20"/>
                <w:szCs w:val="20"/>
                <w:lang w:val="bg-BG"/>
              </w:rPr>
            </w:pPr>
            <w:r>
              <w:rPr>
                <w:sz w:val="20"/>
                <w:szCs w:val="20"/>
                <w:lang w:val="bg-BG"/>
              </w:rPr>
              <w:t>процедура на одобрение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 I</w:t>
            </w:r>
          </w:p>
        </w:tc>
        <w:tc>
          <w:tcPr>
            <w:tcW w:w="7570" w:type="dxa"/>
          </w:tcPr>
          <w:p w:rsidR="00B86C75">
            <w:pPr>
              <w:spacing w:after="1"/>
              <w:rPr>
                <w:sz w:val="20"/>
                <w:szCs w:val="20"/>
                <w:lang w:val="bg-BG"/>
              </w:rPr>
            </w:pPr>
            <w:r>
              <w:rPr>
                <w:sz w:val="20"/>
                <w:szCs w:val="20"/>
                <w:lang w:val="bg-BG"/>
              </w:rPr>
              <w:t>обикновена законодателна процедура, първо четене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***II</w:t>
            </w:r>
          </w:p>
        </w:tc>
        <w:tc>
          <w:tcPr>
            <w:tcW w:w="7570" w:type="dxa"/>
          </w:tcPr>
          <w:p w:rsidR="00B86C75">
            <w:pPr>
              <w:spacing w:after="1"/>
              <w:rPr>
                <w:sz w:val="20"/>
                <w:szCs w:val="20"/>
                <w:lang w:val="bg-BG"/>
              </w:rPr>
            </w:pPr>
            <w:r>
              <w:rPr>
                <w:sz w:val="20"/>
                <w:szCs w:val="20"/>
                <w:lang w:val="bg-BG"/>
              </w:rPr>
              <w:t>обикновена законодателна процедура, второ четене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***III</w:t>
            </w:r>
          </w:p>
        </w:tc>
        <w:tc>
          <w:tcPr>
            <w:tcW w:w="7570" w:type="dxa"/>
          </w:tcPr>
          <w:p w:rsidR="00B86C75">
            <w:pPr>
              <w:spacing w:after="1"/>
              <w:rPr>
                <w:sz w:val="20"/>
                <w:szCs w:val="20"/>
                <w:lang w:val="bg-BG"/>
              </w:rPr>
            </w:pPr>
            <w:r>
              <w:rPr>
                <w:sz w:val="20"/>
                <w:szCs w:val="20"/>
                <w:lang w:val="bg-BG"/>
              </w:rPr>
              <w:t>обикновена законодателна процедура, трето четене</w:t>
            </w: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spacing w:after="1"/>
              <w:rPr>
                <w:sz w:val="20"/>
                <w:szCs w:val="20"/>
                <w:lang w:val="bg-BG"/>
              </w:rPr>
            </w:pPr>
            <w:r>
              <w:rPr>
                <w:sz w:val="20"/>
                <w:szCs w:val="20"/>
                <w:lang w:val="bg-BG"/>
              </w:rPr>
              <w:t>(Посочената процедура се базира на правното основание, предложено от проекта на акт.)</w:t>
            </w: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rPr>
                <w:sz w:val="20"/>
                <w:szCs w:val="20"/>
                <w:lang w:val="bg-BG"/>
              </w:rPr>
            </w:pP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spacing w:after="1"/>
              <w:rPr>
                <w:sz w:val="20"/>
                <w:szCs w:val="20"/>
                <w:lang w:val="bg-BG"/>
              </w:rPr>
            </w:pP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rPr>
                <w:sz w:val="20"/>
                <w:szCs w:val="20"/>
                <w:lang w:val="bg-BG"/>
              </w:rPr>
            </w:pPr>
            <w:r>
              <w:rPr>
                <w:sz w:val="20"/>
                <w:szCs w:val="20"/>
                <w:lang w:val="bg-BG"/>
              </w:rPr>
              <w:t>СЪКРАЩЕНИЯ НА НАИМЕНОВАНИЯТА НА КОМИСИИТЕ</w:t>
            </w: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jc w:val="center"/>
              <w:rPr>
                <w:sz w:val="20"/>
                <w:szCs w:val="20"/>
                <w:lang w:val="bg-BG"/>
              </w:rPr>
            </w:pP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AFET</w:t>
            </w:r>
          </w:p>
        </w:tc>
        <w:tc>
          <w:tcPr>
            <w:tcW w:w="7570" w:type="dxa"/>
          </w:tcPr>
          <w:p w:rsidR="00B86C75">
            <w:pPr>
              <w:spacing w:after="1"/>
              <w:rPr>
                <w:sz w:val="20"/>
                <w:szCs w:val="20"/>
                <w:lang w:val="bg-BG"/>
              </w:rPr>
            </w:pPr>
            <w:r>
              <w:rPr>
                <w:sz w:val="20"/>
                <w:szCs w:val="20"/>
                <w:lang w:val="bg-BG"/>
              </w:rPr>
              <w:t>Комисия по външни работи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DEVE</w:t>
            </w:r>
          </w:p>
        </w:tc>
        <w:tc>
          <w:tcPr>
            <w:tcW w:w="7570" w:type="dxa"/>
          </w:tcPr>
          <w:p w:rsidR="00B86C75">
            <w:pPr>
              <w:spacing w:after="1"/>
              <w:rPr>
                <w:sz w:val="20"/>
                <w:szCs w:val="20"/>
                <w:lang w:val="bg-BG"/>
              </w:rPr>
            </w:pPr>
            <w:r>
              <w:rPr>
                <w:sz w:val="20"/>
                <w:szCs w:val="20"/>
                <w:lang w:val="bg-BG"/>
              </w:rPr>
              <w:t>Комисия по развитие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INTA</w:t>
            </w:r>
          </w:p>
        </w:tc>
        <w:tc>
          <w:tcPr>
            <w:tcW w:w="7570" w:type="dxa"/>
          </w:tcPr>
          <w:p w:rsidR="00B86C75">
            <w:pPr>
              <w:spacing w:after="1"/>
              <w:rPr>
                <w:sz w:val="20"/>
                <w:szCs w:val="20"/>
                <w:lang w:val="bg-BG"/>
              </w:rPr>
            </w:pPr>
            <w:r>
              <w:rPr>
                <w:sz w:val="20"/>
                <w:szCs w:val="20"/>
                <w:lang w:val="bg-BG"/>
              </w:rPr>
              <w:t>Комисия по международна търговия</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BUDG</w:t>
            </w:r>
          </w:p>
        </w:tc>
        <w:tc>
          <w:tcPr>
            <w:tcW w:w="7570" w:type="dxa"/>
          </w:tcPr>
          <w:p w:rsidR="00B86C75">
            <w:pPr>
              <w:spacing w:after="1"/>
              <w:rPr>
                <w:sz w:val="20"/>
                <w:szCs w:val="20"/>
                <w:lang w:val="bg-BG"/>
              </w:rPr>
            </w:pPr>
            <w:r>
              <w:rPr>
                <w:sz w:val="20"/>
                <w:szCs w:val="20"/>
                <w:lang w:val="bg-BG"/>
              </w:rPr>
              <w:t>Комисия по бюджети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CONT</w:t>
            </w:r>
          </w:p>
        </w:tc>
        <w:tc>
          <w:tcPr>
            <w:tcW w:w="7570" w:type="dxa"/>
          </w:tcPr>
          <w:p w:rsidR="00B86C75">
            <w:pPr>
              <w:spacing w:after="1"/>
              <w:rPr>
                <w:sz w:val="20"/>
                <w:szCs w:val="20"/>
                <w:lang w:val="bg-BG"/>
              </w:rPr>
            </w:pPr>
            <w:r>
              <w:rPr>
                <w:sz w:val="20"/>
                <w:szCs w:val="20"/>
                <w:lang w:val="bg-BG"/>
              </w:rPr>
              <w:t>Комисия по бюджетен контрол</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ECON</w:t>
            </w:r>
          </w:p>
        </w:tc>
        <w:tc>
          <w:tcPr>
            <w:tcW w:w="7570" w:type="dxa"/>
          </w:tcPr>
          <w:p w:rsidR="00B86C75">
            <w:pPr>
              <w:spacing w:after="1"/>
              <w:rPr>
                <w:sz w:val="20"/>
                <w:szCs w:val="20"/>
                <w:lang w:val="bg-BG"/>
              </w:rPr>
            </w:pPr>
            <w:r>
              <w:rPr>
                <w:sz w:val="20"/>
                <w:szCs w:val="20"/>
                <w:lang w:val="bg-BG"/>
              </w:rPr>
              <w:t>Комисия по икономически и парични въпроси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EMPL</w:t>
            </w:r>
          </w:p>
        </w:tc>
        <w:tc>
          <w:tcPr>
            <w:tcW w:w="7570" w:type="dxa"/>
          </w:tcPr>
          <w:p w:rsidR="00B86C75">
            <w:pPr>
              <w:spacing w:after="1"/>
              <w:rPr>
                <w:sz w:val="20"/>
                <w:szCs w:val="20"/>
                <w:lang w:val="bg-BG"/>
              </w:rPr>
            </w:pPr>
            <w:r>
              <w:rPr>
                <w:sz w:val="20"/>
                <w:szCs w:val="20"/>
                <w:lang w:val="bg-BG"/>
              </w:rPr>
              <w:t>Комисия по заетост и социални въпроси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ENVI</w:t>
            </w:r>
          </w:p>
        </w:tc>
        <w:tc>
          <w:tcPr>
            <w:tcW w:w="7570" w:type="dxa"/>
          </w:tcPr>
          <w:p w:rsidR="00B86C75">
            <w:pPr>
              <w:spacing w:after="1"/>
              <w:rPr>
                <w:sz w:val="20"/>
                <w:szCs w:val="20"/>
                <w:lang w:val="bg-BG"/>
              </w:rPr>
            </w:pPr>
            <w:r>
              <w:rPr>
                <w:sz w:val="20"/>
                <w:szCs w:val="20"/>
                <w:lang w:val="bg-BG"/>
              </w:rPr>
              <w:t>Комисия по околна среда, обществено здраве и безопасност на храните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ITRE</w:t>
            </w:r>
          </w:p>
        </w:tc>
        <w:tc>
          <w:tcPr>
            <w:tcW w:w="7570" w:type="dxa"/>
          </w:tcPr>
          <w:p w:rsidR="00B86C75">
            <w:pPr>
              <w:spacing w:after="1"/>
              <w:rPr>
                <w:sz w:val="20"/>
                <w:szCs w:val="20"/>
                <w:lang w:val="bg-BG"/>
              </w:rPr>
            </w:pPr>
            <w:r>
              <w:rPr>
                <w:sz w:val="20"/>
                <w:szCs w:val="20"/>
                <w:lang w:val="bg-BG"/>
              </w:rPr>
              <w:t>Комисия по промишленост, изследвания и енергетика</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IMCO</w:t>
            </w:r>
          </w:p>
        </w:tc>
        <w:tc>
          <w:tcPr>
            <w:tcW w:w="7570" w:type="dxa"/>
          </w:tcPr>
          <w:p w:rsidR="00B86C75">
            <w:pPr>
              <w:spacing w:after="1"/>
              <w:rPr>
                <w:sz w:val="20"/>
                <w:szCs w:val="20"/>
                <w:lang w:val="bg-BG"/>
              </w:rPr>
            </w:pPr>
            <w:r>
              <w:rPr>
                <w:sz w:val="20"/>
                <w:szCs w:val="20"/>
                <w:lang w:val="bg-BG"/>
              </w:rPr>
              <w:t>Комисия по вътрешния пазар и защита на потребителите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TRAN</w:t>
            </w:r>
          </w:p>
        </w:tc>
        <w:tc>
          <w:tcPr>
            <w:tcW w:w="7570" w:type="dxa"/>
          </w:tcPr>
          <w:p w:rsidR="00B86C75">
            <w:pPr>
              <w:spacing w:after="1"/>
              <w:rPr>
                <w:sz w:val="20"/>
                <w:szCs w:val="20"/>
                <w:lang w:val="bg-BG"/>
              </w:rPr>
            </w:pPr>
            <w:r>
              <w:rPr>
                <w:sz w:val="20"/>
                <w:szCs w:val="20"/>
                <w:lang w:val="bg-BG"/>
              </w:rPr>
              <w:t>Комисия по транспорт и туризъм</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RE</w:t>
            </w:r>
            <w:r>
              <w:rPr>
                <w:sz w:val="20"/>
                <w:szCs w:val="20"/>
                <w:lang w:val="bg-BG"/>
              </w:rPr>
              <w:t>GI</w:t>
            </w:r>
          </w:p>
        </w:tc>
        <w:tc>
          <w:tcPr>
            <w:tcW w:w="7570" w:type="dxa"/>
          </w:tcPr>
          <w:p w:rsidR="00B86C75">
            <w:pPr>
              <w:spacing w:after="1"/>
              <w:rPr>
                <w:sz w:val="20"/>
                <w:szCs w:val="20"/>
                <w:lang w:val="bg-BG"/>
              </w:rPr>
            </w:pPr>
            <w:r>
              <w:rPr>
                <w:sz w:val="20"/>
                <w:szCs w:val="20"/>
                <w:lang w:val="bg-BG"/>
              </w:rPr>
              <w:t>Комисия по регионално развитие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AGRI</w:t>
            </w:r>
          </w:p>
        </w:tc>
        <w:tc>
          <w:tcPr>
            <w:tcW w:w="7570" w:type="dxa"/>
          </w:tcPr>
          <w:p w:rsidR="00B86C75">
            <w:pPr>
              <w:spacing w:after="1"/>
              <w:rPr>
                <w:sz w:val="20"/>
                <w:szCs w:val="20"/>
                <w:lang w:val="bg-BG"/>
              </w:rPr>
            </w:pPr>
            <w:r>
              <w:rPr>
                <w:sz w:val="20"/>
                <w:szCs w:val="20"/>
                <w:lang w:val="bg-BG"/>
              </w:rPr>
              <w:t>Комисия по земеделие и развитие на селските райони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PECH</w:t>
            </w:r>
          </w:p>
        </w:tc>
        <w:tc>
          <w:tcPr>
            <w:tcW w:w="7570" w:type="dxa"/>
          </w:tcPr>
          <w:p w:rsidR="00B86C75">
            <w:pPr>
              <w:spacing w:after="1"/>
              <w:rPr>
                <w:sz w:val="20"/>
                <w:szCs w:val="20"/>
                <w:lang w:val="bg-BG"/>
              </w:rPr>
            </w:pPr>
            <w:r>
              <w:rPr>
                <w:sz w:val="20"/>
                <w:szCs w:val="20"/>
                <w:lang w:val="bg-BG"/>
              </w:rPr>
              <w:t>Комисия по рибно стопанство</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CULT</w:t>
            </w:r>
          </w:p>
        </w:tc>
        <w:tc>
          <w:tcPr>
            <w:tcW w:w="7570" w:type="dxa"/>
          </w:tcPr>
          <w:p w:rsidR="00B86C75">
            <w:pPr>
              <w:spacing w:after="1"/>
              <w:rPr>
                <w:sz w:val="20"/>
                <w:szCs w:val="20"/>
                <w:lang w:val="bg-BG"/>
              </w:rPr>
            </w:pPr>
            <w:r>
              <w:rPr>
                <w:sz w:val="20"/>
                <w:szCs w:val="20"/>
                <w:lang w:val="bg-BG"/>
              </w:rPr>
              <w:t>Комисия по култура и образование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JURI</w:t>
            </w:r>
          </w:p>
        </w:tc>
        <w:tc>
          <w:tcPr>
            <w:tcW w:w="7570" w:type="dxa"/>
          </w:tcPr>
          <w:p w:rsidR="00B86C75">
            <w:pPr>
              <w:spacing w:after="1"/>
              <w:rPr>
                <w:sz w:val="20"/>
                <w:szCs w:val="20"/>
                <w:lang w:val="bg-BG"/>
              </w:rPr>
            </w:pPr>
            <w:r>
              <w:rPr>
                <w:sz w:val="20"/>
                <w:szCs w:val="20"/>
                <w:lang w:val="bg-BG"/>
              </w:rPr>
              <w:t>Комисия по правни въпроси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LIBE</w:t>
            </w:r>
          </w:p>
        </w:tc>
        <w:tc>
          <w:tcPr>
            <w:tcW w:w="7570" w:type="dxa"/>
          </w:tcPr>
          <w:p w:rsidR="00B86C75">
            <w:pPr>
              <w:spacing w:after="1"/>
              <w:rPr>
                <w:sz w:val="20"/>
                <w:szCs w:val="20"/>
                <w:lang w:val="bg-BG"/>
              </w:rPr>
            </w:pPr>
            <w:r>
              <w:rPr>
                <w:sz w:val="20"/>
                <w:szCs w:val="20"/>
                <w:lang w:val="bg-BG"/>
              </w:rPr>
              <w:t>Комисия по граждански свободи, правосъдие и вътрешни работи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AFCO</w:t>
            </w:r>
          </w:p>
        </w:tc>
        <w:tc>
          <w:tcPr>
            <w:tcW w:w="7570" w:type="dxa"/>
          </w:tcPr>
          <w:p w:rsidR="00B86C75">
            <w:pPr>
              <w:spacing w:after="1"/>
              <w:rPr>
                <w:sz w:val="20"/>
                <w:szCs w:val="20"/>
                <w:lang w:val="bg-BG"/>
              </w:rPr>
            </w:pPr>
            <w:r>
              <w:rPr>
                <w:sz w:val="20"/>
                <w:szCs w:val="20"/>
                <w:lang w:val="bg-BG"/>
              </w:rPr>
              <w:t>Комисия по конституционни въпроси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FEMM</w:t>
            </w:r>
          </w:p>
        </w:tc>
        <w:tc>
          <w:tcPr>
            <w:tcW w:w="7570" w:type="dxa"/>
          </w:tcPr>
          <w:p w:rsidR="00B86C75">
            <w:pPr>
              <w:spacing w:after="1"/>
              <w:rPr>
                <w:sz w:val="20"/>
                <w:szCs w:val="20"/>
                <w:lang w:val="bg-BG"/>
              </w:rPr>
            </w:pPr>
            <w:r>
              <w:rPr>
                <w:sz w:val="20"/>
                <w:szCs w:val="20"/>
                <w:lang w:val="bg-BG"/>
              </w:rPr>
              <w:t>Комисия по правата на жените и равенството между половете</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PETI</w:t>
            </w:r>
          </w:p>
        </w:tc>
        <w:tc>
          <w:tcPr>
            <w:tcW w:w="7570" w:type="dxa"/>
          </w:tcPr>
          <w:p w:rsidR="00B86C75">
            <w:pPr>
              <w:spacing w:after="1"/>
              <w:rPr>
                <w:sz w:val="20"/>
                <w:szCs w:val="20"/>
                <w:lang w:val="bg-BG"/>
              </w:rPr>
            </w:pPr>
            <w:r>
              <w:rPr>
                <w:sz w:val="20"/>
                <w:szCs w:val="20"/>
                <w:lang w:val="bg-BG"/>
              </w:rPr>
              <w:t>Комисия по петиции</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p>
        </w:tc>
        <w:tc>
          <w:tcPr>
            <w:tcW w:w="7570" w:type="dxa"/>
          </w:tcPr>
          <w:p w:rsidR="00B86C75">
            <w:pPr>
              <w:spacing w:after="1"/>
              <w:rPr>
                <w:sz w:val="20"/>
                <w:szCs w:val="20"/>
                <w:lang w:val="bg-BG"/>
              </w:rPr>
            </w:pP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DROI</w:t>
            </w:r>
          </w:p>
        </w:tc>
        <w:tc>
          <w:tcPr>
            <w:tcW w:w="7570" w:type="dxa"/>
          </w:tcPr>
          <w:p w:rsidR="00B86C75">
            <w:pPr>
              <w:spacing w:after="1"/>
              <w:rPr>
                <w:sz w:val="20"/>
                <w:szCs w:val="20"/>
                <w:lang w:val="bg-BG"/>
              </w:rPr>
            </w:pPr>
            <w:r>
              <w:rPr>
                <w:sz w:val="20"/>
                <w:szCs w:val="20"/>
                <w:lang w:val="bg-BG"/>
              </w:rPr>
              <w:t>Подкомисия по правата на човека</w:t>
            </w:r>
          </w:p>
        </w:tc>
      </w:tr>
      <w:tr>
        <w:tblPrEx>
          <w:tblW w:w="0" w:type="auto"/>
          <w:tblInd w:w="-30" w:type="dxa"/>
          <w:tblLayout w:type="fixed"/>
          <w:tblCellMar>
            <w:left w:w="0" w:type="dxa"/>
            <w:right w:w="0" w:type="dxa"/>
          </w:tblCellMar>
          <w:tblLook w:val="0000"/>
        </w:tblPrEx>
        <w:trPr>
          <w:cantSplit/>
        </w:trPr>
        <w:tc>
          <w:tcPr>
            <w:tcW w:w="2098" w:type="dxa"/>
          </w:tcPr>
          <w:p w:rsidR="00B86C75">
            <w:pPr>
              <w:spacing w:after="1"/>
              <w:rPr>
                <w:sz w:val="20"/>
                <w:szCs w:val="20"/>
                <w:lang w:val="bg-BG"/>
              </w:rPr>
            </w:pPr>
            <w:r>
              <w:rPr>
                <w:sz w:val="20"/>
                <w:szCs w:val="20"/>
                <w:lang w:val="bg-BG"/>
              </w:rPr>
              <w:t>SEDE</w:t>
            </w:r>
          </w:p>
        </w:tc>
        <w:tc>
          <w:tcPr>
            <w:tcW w:w="7570" w:type="dxa"/>
          </w:tcPr>
          <w:p w:rsidR="00B86C75">
            <w:pPr>
              <w:spacing w:after="1"/>
              <w:rPr>
                <w:sz w:val="20"/>
                <w:szCs w:val="20"/>
                <w:lang w:val="bg-BG"/>
              </w:rPr>
            </w:pPr>
            <w:r>
              <w:rPr>
                <w:sz w:val="20"/>
                <w:szCs w:val="20"/>
                <w:lang w:val="bg-BG"/>
              </w:rPr>
              <w:t>Подкомисия по сигурност и отбрана</w:t>
            </w: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rPr>
                <w:sz w:val="20"/>
                <w:szCs w:val="20"/>
                <w:lang w:val="bg-BG"/>
              </w:rPr>
            </w:pPr>
          </w:p>
        </w:tc>
      </w:tr>
      <w:tr>
        <w:tblPrEx>
          <w:tblW w:w="0" w:type="auto"/>
          <w:tblInd w:w="-30" w:type="dxa"/>
          <w:tblLayout w:type="fixed"/>
          <w:tblCellMar>
            <w:left w:w="0" w:type="dxa"/>
            <w:right w:w="0" w:type="dxa"/>
          </w:tblCellMar>
          <w:tblLook w:val="0000"/>
        </w:tblPrEx>
        <w:trPr>
          <w:cantSplit/>
        </w:trPr>
        <w:tc>
          <w:tcPr>
            <w:tcW w:w="9668" w:type="dxa"/>
            <w:gridSpan w:val="2"/>
          </w:tcPr>
          <w:p w:rsidR="00B86C75">
            <w:pPr>
              <w:jc w:val="center"/>
              <w:rPr>
                <w:sz w:val="20"/>
                <w:szCs w:val="20"/>
                <w:lang w:val="bg-BG"/>
              </w:rPr>
            </w:pPr>
            <w:r>
              <w:rPr>
                <w:sz w:val="20"/>
                <w:szCs w:val="20"/>
                <w:lang w:val="bg-BG"/>
              </w:rPr>
              <w:t>СЪКРАЩЕНИЯ НА НАИМЕНОВАНИЯТА НА ПОЛИТИЧЕСКИТЕ ГРУПИ</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p>
        </w:tc>
        <w:tc>
          <w:tcPr>
            <w:tcW w:w="7570" w:type="dxa"/>
            <w:shd w:val="clear" w:color="auto" w:fill="FFFFFF"/>
          </w:tcPr>
          <w:p w:rsidR="00B86C75">
            <w:pPr>
              <w:spacing w:after="1"/>
              <w:rPr>
                <w:sz w:val="20"/>
                <w:szCs w:val="20"/>
                <w:lang w:val="bg-BG"/>
              </w:rPr>
            </w:pP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РРЕ</w:t>
            </w:r>
          </w:p>
        </w:tc>
        <w:tc>
          <w:tcPr>
            <w:tcW w:w="7570" w:type="dxa"/>
            <w:shd w:val="clear" w:color="auto" w:fill="FFFFFF"/>
          </w:tcPr>
          <w:p w:rsidR="00B86C75">
            <w:pPr>
              <w:spacing w:after="1"/>
              <w:rPr>
                <w:sz w:val="20"/>
                <w:szCs w:val="20"/>
                <w:lang w:val="bg-BG"/>
              </w:rPr>
            </w:pPr>
            <w:r>
              <w:rPr>
                <w:sz w:val="20"/>
                <w:szCs w:val="20"/>
                <w:lang w:val="bg-BG"/>
              </w:rPr>
              <w:t xml:space="preserve">Група на Европейската народна партия </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S&amp;D</w:t>
            </w:r>
          </w:p>
        </w:tc>
        <w:tc>
          <w:tcPr>
            <w:tcW w:w="7570" w:type="dxa"/>
            <w:shd w:val="clear" w:color="auto" w:fill="FFFFFF"/>
          </w:tcPr>
          <w:p w:rsidR="00B86C75">
            <w:pPr>
              <w:spacing w:after="1"/>
              <w:rPr>
                <w:sz w:val="20"/>
                <w:szCs w:val="20"/>
                <w:lang w:val="bg-BG"/>
              </w:rPr>
            </w:pPr>
            <w:r>
              <w:rPr>
                <w:sz w:val="20"/>
                <w:szCs w:val="20"/>
                <w:lang w:val="bg-BG"/>
              </w:rPr>
              <w:t>Група на Прогресивния алианс на социалистите и демократите в Европейския парламент</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Renew</w:t>
            </w:r>
          </w:p>
        </w:tc>
        <w:tc>
          <w:tcPr>
            <w:tcW w:w="7570" w:type="dxa"/>
            <w:shd w:val="clear" w:color="auto" w:fill="FFFFFF"/>
          </w:tcPr>
          <w:p w:rsidR="00B86C75">
            <w:pPr>
              <w:spacing w:after="1"/>
              <w:rPr>
                <w:sz w:val="20"/>
                <w:szCs w:val="20"/>
                <w:lang w:val="bg-BG"/>
              </w:rPr>
            </w:pPr>
            <w:r>
              <w:rPr>
                <w:sz w:val="20"/>
                <w:szCs w:val="20"/>
                <w:lang w:val="bg-BG"/>
              </w:rPr>
              <w:t>Група „Renew Europe“</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Verts/ALE</w:t>
            </w:r>
          </w:p>
        </w:tc>
        <w:tc>
          <w:tcPr>
            <w:tcW w:w="7570" w:type="dxa"/>
            <w:shd w:val="clear" w:color="auto" w:fill="FFFFFF"/>
          </w:tcPr>
          <w:p w:rsidR="00B86C75">
            <w:pPr>
              <w:spacing w:after="1"/>
              <w:rPr>
                <w:sz w:val="20"/>
                <w:szCs w:val="20"/>
                <w:lang w:val="bg-BG"/>
              </w:rPr>
            </w:pPr>
            <w:r>
              <w:rPr>
                <w:sz w:val="20"/>
                <w:szCs w:val="20"/>
                <w:lang w:val="bg-BG"/>
              </w:rPr>
              <w:t xml:space="preserve">Група на Зелените/Европейски свободен алианс </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ID</w:t>
            </w:r>
          </w:p>
        </w:tc>
        <w:tc>
          <w:tcPr>
            <w:tcW w:w="7570" w:type="dxa"/>
            <w:shd w:val="clear" w:color="auto" w:fill="FFFFFF"/>
          </w:tcPr>
          <w:p w:rsidR="00B86C75">
            <w:pPr>
              <w:spacing w:after="1"/>
              <w:rPr>
                <w:sz w:val="20"/>
                <w:szCs w:val="20"/>
                <w:lang w:val="bg-BG"/>
              </w:rPr>
            </w:pPr>
            <w:r>
              <w:rPr>
                <w:sz w:val="20"/>
                <w:szCs w:val="20"/>
                <w:lang w:val="bg-BG"/>
              </w:rPr>
              <w:t xml:space="preserve">Група „Идентичност и демокрация“ </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ECR</w:t>
            </w:r>
          </w:p>
        </w:tc>
        <w:tc>
          <w:tcPr>
            <w:tcW w:w="7570" w:type="dxa"/>
            <w:shd w:val="clear" w:color="auto" w:fill="FFFFFF"/>
          </w:tcPr>
          <w:p w:rsidR="00B86C75">
            <w:pPr>
              <w:spacing w:after="1"/>
              <w:rPr>
                <w:sz w:val="20"/>
                <w:szCs w:val="20"/>
                <w:lang w:val="bg-BG"/>
              </w:rPr>
            </w:pPr>
            <w:r>
              <w:rPr>
                <w:sz w:val="20"/>
                <w:szCs w:val="20"/>
                <w:lang w:val="bg-BG"/>
              </w:rPr>
              <w:t xml:space="preserve">Група на Европейските консерватори и реформисти </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GUE/NGL</w:t>
            </w:r>
          </w:p>
        </w:tc>
        <w:tc>
          <w:tcPr>
            <w:tcW w:w="7570" w:type="dxa"/>
            <w:shd w:val="clear" w:color="auto" w:fill="FFFFFF"/>
          </w:tcPr>
          <w:p w:rsidR="00B86C75">
            <w:pPr>
              <w:spacing w:after="1"/>
              <w:rPr>
                <w:sz w:val="20"/>
                <w:szCs w:val="20"/>
                <w:lang w:val="bg-BG"/>
              </w:rPr>
            </w:pPr>
            <w:r>
              <w:rPr>
                <w:sz w:val="20"/>
                <w:szCs w:val="20"/>
                <w:lang w:val="bg-BG"/>
              </w:rPr>
              <w:t xml:space="preserve">Група на Европейската обединена левица – Северна зелена левица </w:t>
            </w:r>
          </w:p>
        </w:tc>
      </w:tr>
      <w:tr>
        <w:tblPrEx>
          <w:tblW w:w="0" w:type="auto"/>
          <w:tblInd w:w="-30" w:type="dxa"/>
          <w:tblLayout w:type="fixed"/>
          <w:tblCellMar>
            <w:left w:w="0" w:type="dxa"/>
            <w:right w:w="0" w:type="dxa"/>
          </w:tblCellMar>
          <w:tblLook w:val="0000"/>
        </w:tblPrEx>
        <w:trPr>
          <w:cantSplit/>
        </w:trPr>
        <w:tc>
          <w:tcPr>
            <w:tcW w:w="2098" w:type="dxa"/>
            <w:shd w:val="clear" w:color="auto" w:fill="FFFFFF"/>
          </w:tcPr>
          <w:p w:rsidR="00B86C75">
            <w:pPr>
              <w:spacing w:after="1"/>
              <w:rPr>
                <w:sz w:val="20"/>
                <w:szCs w:val="20"/>
                <w:lang w:val="bg-BG"/>
              </w:rPr>
            </w:pPr>
            <w:r>
              <w:rPr>
                <w:sz w:val="20"/>
                <w:szCs w:val="20"/>
                <w:lang w:val="bg-BG"/>
              </w:rPr>
              <w:t>NI</w:t>
            </w:r>
          </w:p>
        </w:tc>
        <w:tc>
          <w:tcPr>
            <w:tcW w:w="7570" w:type="dxa"/>
            <w:shd w:val="clear" w:color="auto" w:fill="FFFFFF"/>
          </w:tcPr>
          <w:p w:rsidR="00B86C75">
            <w:pPr>
              <w:spacing w:after="1"/>
              <w:rPr>
                <w:sz w:val="20"/>
                <w:szCs w:val="20"/>
                <w:lang w:val="bg-BG"/>
              </w:rPr>
            </w:pPr>
            <w:r>
              <w:rPr>
                <w:sz w:val="20"/>
                <w:szCs w:val="20"/>
                <w:lang w:val="bg-BG"/>
              </w:rPr>
              <w:t>Независими членове</w:t>
            </w:r>
          </w:p>
        </w:tc>
      </w:tr>
    </w:tbl>
    <w:p w:rsidR="00B86C75">
      <w:pPr>
        <w:sectPr>
          <w:pgSz w:w="11906" w:h="16837"/>
          <w:pgMar w:top="567" w:right="1134" w:bottom="567" w:left="1134" w:header="720" w:footer="720" w:gutter="0"/>
          <w:cols w:space="720"/>
          <w:docGrid w:linePitch="360"/>
        </w:sectPr>
      </w:pPr>
    </w:p>
    <w:p w:rsidR="00B86C7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B86C75">
      <w:pPr>
        <w:pStyle w:val="ContentsHeading"/>
        <w:sectPr>
          <w:type w:val="continuous"/>
          <w:pgSz w:w="11906" w:h="16837"/>
          <w:pgMar w:top="567" w:right="1134" w:bottom="1134" w:left="1134" w:header="720" w:footer="720" w:gutter="0"/>
          <w:cols w:space="720"/>
          <w:docGrid w:linePitch="360"/>
        </w:sectPr>
      </w:pPr>
      <w:r>
        <w:t>Съдържание</w:t>
      </w:r>
    </w:p>
    <w:p w:rsidR="00287FBA" w:rsidRPr="00B86C75">
      <w:pPr>
        <w:pStyle w:val="TOC1"/>
        <w:rPr>
          <w:rFonts w:ascii="Calibri" w:eastAsia="Times New Roman" w:hAnsi="Calibri"/>
          <w:noProof/>
          <w:color w:val="auto"/>
          <w:sz w:val="22"/>
          <w:szCs w:val="22"/>
          <w:lang w:eastAsia="fr-FR"/>
        </w:rPr>
      </w:pPr>
      <w:r w:rsidR="00B86C75">
        <w:fldChar w:fldCharType="begin"/>
      </w:r>
      <w:r w:rsidR="00B86C75">
        <w:instrText xml:space="preserve"> TOC \w \x \f \o "1-3" </w:instrText>
      </w:r>
      <w:r w:rsidR="00B86C75">
        <w:fldChar w:fldCharType="separate"/>
      </w:r>
      <w:r>
        <w:rPr>
          <w:noProof/>
        </w:rPr>
        <w:t>1. Откриване на заседанието</w:t>
        <w:tab/>
      </w:r>
      <w:r>
        <w:rPr>
          <w:noProof/>
        </w:rPr>
        <w:fldChar w:fldCharType="begin"/>
      </w:r>
      <w:r>
        <w:rPr>
          <w:noProof/>
        </w:rPr>
        <w:instrText xml:space="preserve"> PAGEREF _Toc25312976 </w:instrText>
      </w:r>
      <w:r>
        <w:rPr>
          <w:noProof/>
        </w:rPr>
        <w:instrText xml:space="preserve">\h </w:instrText>
      </w:r>
      <w:r>
        <w:rPr>
          <w:noProof/>
        </w:rPr>
        <w:fldChar w:fldCharType="separate"/>
      </w:r>
      <w:r>
        <w:rPr>
          <w:noProof/>
        </w:rPr>
        <w:t>3</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2. Подготовка за срещата на върха по въпросите на климата и Срещата на върха за целите на устойчивото развитие в Ню Йорк </w:t>
      </w:r>
      <w:r w:rsidRPr="005072FF">
        <w:rPr>
          <w:noProof/>
          <w:lang w:val="bg-BG"/>
        </w:rPr>
        <w:t>(разискване)</w:t>
      </w:r>
      <w:r>
        <w:rPr>
          <w:noProof/>
        </w:rPr>
        <w:tab/>
      </w:r>
      <w:r>
        <w:rPr>
          <w:noProof/>
        </w:rPr>
        <w:fldChar w:fldCharType="begin"/>
      </w:r>
      <w:r>
        <w:rPr>
          <w:noProof/>
        </w:rPr>
        <w:instrText xml:space="preserve"> PAGEREF _Toc25312977 \h </w:instrText>
      </w:r>
      <w:r>
        <w:rPr>
          <w:noProof/>
        </w:rPr>
        <w:fldChar w:fldCharType="separate"/>
      </w:r>
      <w:r>
        <w:rPr>
          <w:noProof/>
        </w:rPr>
        <w:t>3</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3. Назначаване на председателя на Европейската централна банка - кандидат: г-жа Кристин Лагард </w:t>
      </w:r>
      <w:r w:rsidRPr="005072FF">
        <w:rPr>
          <w:noProof/>
          <w:lang w:val="bg-BG"/>
        </w:rPr>
        <w:t>(разискване)</w:t>
      </w:r>
      <w:r>
        <w:rPr>
          <w:noProof/>
        </w:rPr>
        <w:tab/>
      </w:r>
      <w:r>
        <w:rPr>
          <w:noProof/>
        </w:rPr>
        <w:fldChar w:fldCharType="begin"/>
      </w:r>
      <w:r>
        <w:rPr>
          <w:noProof/>
        </w:rPr>
        <w:instrText xml:space="preserve"> PAGEREF _Toc25312978 \h </w:instrText>
      </w:r>
      <w:r>
        <w:rPr>
          <w:noProof/>
        </w:rPr>
        <w:fldChar w:fldCharType="separate"/>
      </w:r>
      <w:r>
        <w:rPr>
          <w:noProof/>
        </w:rPr>
        <w:t>3</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4. Промяна на дневния ред</w:t>
        <w:tab/>
      </w:r>
      <w:r>
        <w:rPr>
          <w:noProof/>
        </w:rPr>
        <w:fldChar w:fldCharType="begin"/>
      </w:r>
      <w:r>
        <w:rPr>
          <w:noProof/>
        </w:rPr>
        <w:instrText xml:space="preserve"> PAGEREF _Toc25312979 \h </w:instrText>
      </w:r>
      <w:r>
        <w:rPr>
          <w:noProof/>
        </w:rPr>
        <w:fldChar w:fldCharType="separate"/>
      </w:r>
      <w:r>
        <w:rPr>
          <w:noProof/>
        </w:rPr>
        <w:t>4</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5. Състав на Парламента</w:t>
        <w:tab/>
      </w:r>
      <w:r>
        <w:rPr>
          <w:noProof/>
        </w:rPr>
        <w:fldChar w:fldCharType="begin"/>
      </w:r>
      <w:r>
        <w:rPr>
          <w:noProof/>
        </w:rPr>
        <w:instrText xml:space="preserve"> PAGEREF _Toc25312980 \h </w:instrText>
      </w:r>
      <w:r>
        <w:rPr>
          <w:noProof/>
        </w:rPr>
        <w:fldChar w:fldCharType="separate"/>
      </w:r>
      <w:r>
        <w:rPr>
          <w:noProof/>
        </w:rPr>
        <w:t>4</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6. Време за гласуване</w:t>
        <w:tab/>
      </w:r>
      <w:r>
        <w:rPr>
          <w:noProof/>
        </w:rPr>
        <w:fldChar w:fldCharType="begin"/>
      </w:r>
      <w:r>
        <w:rPr>
          <w:noProof/>
        </w:rPr>
        <w:instrText xml:space="preserve"> PAGEREF _Toc25312981 \h </w:instrText>
      </w:r>
      <w:r>
        <w:rPr>
          <w:noProof/>
        </w:rPr>
        <w:fldChar w:fldCharType="separate"/>
      </w:r>
      <w:r>
        <w:rPr>
          <w:noProof/>
        </w:rPr>
        <w:t>5</w:t>
      </w:r>
      <w:r>
        <w:rPr>
          <w:noProof/>
        </w:rPr>
        <w:fldChar w:fldCharType="end"/>
      </w:r>
    </w:p>
    <w:p w:rsidR="00287FBA" w:rsidRPr="00B86C75">
      <w:pPr>
        <w:pStyle w:val="TOC2"/>
        <w:rPr>
          <w:rFonts w:ascii="Calibri" w:eastAsia="Times New Roman" w:hAnsi="Calibri"/>
          <w:noProof/>
          <w:color w:val="auto"/>
          <w:sz w:val="22"/>
          <w:szCs w:val="22"/>
          <w:lang w:eastAsia="fr-FR"/>
        </w:rPr>
      </w:pPr>
      <w:r>
        <w:rPr>
          <w:noProof/>
        </w:rPr>
        <w:t xml:space="preserve">6.1. Назначаване на председателя на Европейската централна банка - кандидат: г-жа Кристин Лагард </w:t>
      </w:r>
      <w:r w:rsidRPr="005072FF">
        <w:rPr>
          <w:noProof/>
          <w:lang w:val="bg-BG"/>
        </w:rPr>
        <w:t>(гласуване)</w:t>
      </w:r>
      <w:r>
        <w:rPr>
          <w:noProof/>
        </w:rPr>
        <w:tab/>
      </w:r>
      <w:r>
        <w:rPr>
          <w:noProof/>
        </w:rPr>
        <w:fldChar w:fldCharType="begin"/>
      </w:r>
      <w:r>
        <w:rPr>
          <w:noProof/>
        </w:rPr>
        <w:instrText xml:space="preserve"> PAGEREF _Toc25312982 \h </w:instrText>
      </w:r>
      <w:r>
        <w:rPr>
          <w:noProof/>
        </w:rPr>
        <w:fldChar w:fldCharType="separate"/>
      </w:r>
      <w:r>
        <w:rPr>
          <w:noProof/>
        </w:rPr>
        <w:t>5</w:t>
      </w:r>
      <w:r>
        <w:rPr>
          <w:noProof/>
        </w:rPr>
        <w:fldChar w:fldCharType="end"/>
      </w:r>
    </w:p>
    <w:p w:rsidR="00287FBA" w:rsidRPr="00B86C75">
      <w:pPr>
        <w:pStyle w:val="TOC2"/>
        <w:rPr>
          <w:rFonts w:ascii="Calibri" w:eastAsia="Times New Roman" w:hAnsi="Calibri"/>
          <w:noProof/>
          <w:color w:val="auto"/>
          <w:sz w:val="22"/>
          <w:szCs w:val="22"/>
          <w:lang w:eastAsia="fr-FR"/>
        </w:rPr>
      </w:pPr>
      <w:r>
        <w:rPr>
          <w:noProof/>
        </w:rPr>
        <w:t xml:space="preserve">6.2. Назначаване на заместник-председателя на Надзорния съвет на Европейската централна банка </w:t>
      </w:r>
      <w:r w:rsidRPr="005072FF">
        <w:rPr>
          <w:noProof/>
          <w:lang w:val="bg-BG"/>
        </w:rPr>
        <w:t>(гласуване)</w:t>
      </w:r>
      <w:r>
        <w:rPr>
          <w:noProof/>
        </w:rPr>
        <w:tab/>
      </w:r>
      <w:r>
        <w:rPr>
          <w:noProof/>
        </w:rPr>
        <w:fldChar w:fldCharType="begin"/>
      </w:r>
      <w:r>
        <w:rPr>
          <w:noProof/>
        </w:rPr>
        <w:instrText xml:space="preserve"> PAGEREF _Toc25312983 \h </w:instrText>
      </w:r>
      <w:r>
        <w:rPr>
          <w:noProof/>
        </w:rPr>
        <w:fldChar w:fldCharType="separate"/>
      </w:r>
      <w:r>
        <w:rPr>
          <w:noProof/>
        </w:rPr>
        <w:t>5</w:t>
      </w:r>
      <w:r>
        <w:rPr>
          <w:noProof/>
        </w:rPr>
        <w:fldChar w:fldCharType="end"/>
      </w:r>
    </w:p>
    <w:p w:rsidR="00287FBA" w:rsidRPr="00B86C75">
      <w:pPr>
        <w:pStyle w:val="TOC2"/>
        <w:rPr>
          <w:rFonts w:ascii="Calibri" w:eastAsia="Times New Roman" w:hAnsi="Calibri"/>
          <w:noProof/>
          <w:color w:val="auto"/>
          <w:sz w:val="22"/>
          <w:szCs w:val="22"/>
          <w:lang w:eastAsia="fr-FR"/>
        </w:rPr>
      </w:pPr>
      <w:r>
        <w:rPr>
          <w:noProof/>
        </w:rPr>
        <w:t xml:space="preserve">6.3. Започване на автоматизиран обмен на данни по отношение на данни за регистрацията на превозните средства в Ирландия * </w:t>
      </w:r>
      <w:r w:rsidRPr="005072FF">
        <w:rPr>
          <w:noProof/>
          <w:lang w:val="bg-BG"/>
        </w:rPr>
        <w:t>(гласуване)</w:t>
      </w:r>
      <w:r>
        <w:rPr>
          <w:noProof/>
        </w:rPr>
        <w:tab/>
      </w:r>
      <w:r>
        <w:rPr>
          <w:noProof/>
        </w:rPr>
        <w:fldChar w:fldCharType="begin"/>
      </w:r>
      <w:r>
        <w:rPr>
          <w:noProof/>
        </w:rPr>
        <w:instrText xml:space="preserve"> PAGEREF _Toc25312984 \h </w:instrText>
      </w:r>
      <w:r>
        <w:rPr>
          <w:noProof/>
        </w:rPr>
        <w:fldChar w:fldCharType="separate"/>
      </w:r>
      <w:r>
        <w:rPr>
          <w:noProof/>
        </w:rPr>
        <w:t>5</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7. Обяснения на вот</w:t>
        <w:tab/>
      </w:r>
      <w:r>
        <w:rPr>
          <w:noProof/>
        </w:rPr>
        <w:fldChar w:fldCharType="begin"/>
      </w:r>
      <w:r>
        <w:rPr>
          <w:noProof/>
        </w:rPr>
        <w:instrText xml:space="preserve"> PAGEREF _Toc25312985 \h </w:instrText>
      </w:r>
      <w:r>
        <w:rPr>
          <w:noProof/>
        </w:rPr>
        <w:fldChar w:fldCharType="separate"/>
      </w:r>
      <w:r>
        <w:rPr>
          <w:noProof/>
        </w:rPr>
        <w:t>6</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8. Поправки на вот и намерения за гласуване</w:t>
        <w:tab/>
      </w:r>
      <w:r>
        <w:rPr>
          <w:noProof/>
        </w:rPr>
        <w:fldChar w:fldCharType="begin"/>
      </w:r>
      <w:r>
        <w:rPr>
          <w:noProof/>
        </w:rPr>
        <w:instrText xml:space="preserve"> PAGEREF </w:instrText>
      </w:r>
      <w:r>
        <w:rPr>
          <w:noProof/>
        </w:rPr>
        <w:instrText xml:space="preserve">_Toc25312986 \h </w:instrText>
      </w:r>
      <w:r>
        <w:rPr>
          <w:noProof/>
        </w:rPr>
        <w:fldChar w:fldCharType="separate"/>
      </w:r>
      <w:r>
        <w:rPr>
          <w:noProof/>
        </w:rPr>
        <w:t>6</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9. Възобновяване на заседанието</w:t>
        <w:tab/>
      </w:r>
      <w:r>
        <w:rPr>
          <w:noProof/>
        </w:rPr>
        <w:fldChar w:fldCharType="begin"/>
      </w:r>
      <w:r>
        <w:rPr>
          <w:noProof/>
        </w:rPr>
        <w:instrText xml:space="preserve"> PAGEREF _Toc25312987 \h </w:instrText>
      </w:r>
      <w:r>
        <w:rPr>
          <w:noProof/>
        </w:rPr>
        <w:fldChar w:fldCharType="separate"/>
      </w:r>
      <w:r>
        <w:rPr>
          <w:noProof/>
        </w:rPr>
        <w:t>6</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10. Одобряване на протокола от предишното заседание</w:t>
        <w:tab/>
      </w:r>
      <w:r>
        <w:rPr>
          <w:noProof/>
        </w:rPr>
        <w:fldChar w:fldCharType="begin"/>
      </w:r>
      <w:r>
        <w:rPr>
          <w:noProof/>
        </w:rPr>
        <w:instrText xml:space="preserve"> PAGEREF _Toc25312988 \h </w:instrText>
      </w:r>
      <w:r>
        <w:rPr>
          <w:noProof/>
        </w:rPr>
        <w:fldChar w:fldCharType="separate"/>
      </w:r>
      <w:r>
        <w:rPr>
          <w:noProof/>
        </w:rPr>
        <w:t>6</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11. Външна намеса в изборите и дезинформация в националните и европейските демократични процеси </w:t>
      </w:r>
      <w:r w:rsidRPr="005072FF">
        <w:rPr>
          <w:noProof/>
          <w:lang w:val="bg-BG"/>
        </w:rPr>
        <w:t>(разискване)</w:t>
      </w:r>
      <w:r>
        <w:rPr>
          <w:noProof/>
        </w:rPr>
        <w:tab/>
      </w:r>
      <w:r>
        <w:rPr>
          <w:noProof/>
        </w:rPr>
        <w:fldChar w:fldCharType="begin"/>
      </w:r>
      <w:r>
        <w:rPr>
          <w:noProof/>
        </w:rPr>
        <w:instrText xml:space="preserve"> PAGEREF _Toc25312989 \h </w:instrText>
      </w:r>
      <w:r>
        <w:rPr>
          <w:noProof/>
        </w:rPr>
        <w:fldChar w:fldCharType="separate"/>
      </w:r>
      <w:r>
        <w:rPr>
          <w:noProof/>
        </w:rPr>
        <w:t>6</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12. Горските пожари в Амазония </w:t>
      </w:r>
      <w:r w:rsidRPr="005072FF">
        <w:rPr>
          <w:noProof/>
          <w:lang w:val="bg-BG"/>
        </w:rPr>
        <w:t>(разискване)</w:t>
      </w:r>
      <w:r>
        <w:rPr>
          <w:noProof/>
        </w:rPr>
        <w:tab/>
      </w:r>
      <w:r>
        <w:rPr>
          <w:noProof/>
        </w:rPr>
        <w:fldChar w:fldCharType="begin"/>
      </w:r>
      <w:r>
        <w:rPr>
          <w:noProof/>
        </w:rPr>
        <w:instrText xml:space="preserve"> PAGEREF _Toc25312990 \h </w:instrText>
      </w:r>
      <w:r>
        <w:rPr>
          <w:noProof/>
        </w:rPr>
        <w:fldChar w:fldCharType="separate"/>
      </w:r>
      <w:r>
        <w:rPr>
          <w:noProof/>
        </w:rPr>
        <w:t>7</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13. Възобновяване на заседанието</w:t>
        <w:tab/>
      </w:r>
      <w:r>
        <w:rPr>
          <w:noProof/>
        </w:rPr>
        <w:fldChar w:fldCharType="begin"/>
      </w:r>
      <w:r>
        <w:rPr>
          <w:noProof/>
        </w:rPr>
        <w:instrText xml:space="preserve"> PAGEREF _Toc25312991 \h </w:instrText>
      </w:r>
      <w:r>
        <w:rPr>
          <w:noProof/>
        </w:rPr>
        <w:fldChar w:fldCharType="separate"/>
      </w:r>
      <w:r>
        <w:rPr>
          <w:noProof/>
        </w:rPr>
        <w:t>8</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14. Поправки </w:t>
      </w:r>
      <w:r w:rsidRPr="005072FF">
        <w:rPr>
          <w:noProof/>
          <w:lang w:val="bg-BG"/>
        </w:rPr>
        <w:t>(член 241 от Правилника за дейността) (предприети действия)</w:t>
      </w:r>
      <w:r>
        <w:rPr>
          <w:noProof/>
        </w:rPr>
        <w:tab/>
      </w:r>
      <w:r>
        <w:rPr>
          <w:noProof/>
        </w:rPr>
        <w:fldChar w:fldCharType="begin"/>
      </w:r>
      <w:r>
        <w:rPr>
          <w:noProof/>
        </w:rPr>
        <w:instrText xml:space="preserve"> PAGEREF _Toc25312992 \h </w:instrText>
      </w:r>
      <w:r>
        <w:rPr>
          <w:noProof/>
        </w:rPr>
        <w:fldChar w:fldCharType="separate"/>
      </w:r>
      <w:r>
        <w:rPr>
          <w:noProof/>
        </w:rPr>
        <w:t>8</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15. Положението със сигурността в Буркина Фасо </w:t>
      </w:r>
      <w:r w:rsidRPr="005072FF">
        <w:rPr>
          <w:noProof/>
          <w:lang w:val="bg-BG"/>
        </w:rPr>
        <w:t>(разискване)</w:t>
      </w:r>
      <w:r>
        <w:rPr>
          <w:noProof/>
        </w:rPr>
        <w:tab/>
      </w:r>
      <w:r>
        <w:rPr>
          <w:noProof/>
        </w:rPr>
        <w:fldChar w:fldCharType="begin"/>
      </w:r>
      <w:r>
        <w:rPr>
          <w:noProof/>
        </w:rPr>
        <w:instrText xml:space="preserve"> PAGEREF _Toc25312993 \h </w:instrText>
      </w:r>
      <w:r>
        <w:rPr>
          <w:noProof/>
        </w:rPr>
        <w:fldChar w:fldCharType="separate"/>
      </w:r>
      <w:r>
        <w:rPr>
          <w:noProof/>
        </w:rPr>
        <w:t>8</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16. Развитието на политическата ситуация и изпълнението на мирния процес в Колумбия </w:t>
      </w:r>
      <w:r w:rsidRPr="005072FF">
        <w:rPr>
          <w:noProof/>
          <w:lang w:val="bg-BG"/>
        </w:rPr>
        <w:t>(разискване)</w:t>
      </w:r>
      <w:r>
        <w:rPr>
          <w:noProof/>
        </w:rPr>
        <w:tab/>
      </w:r>
      <w:r>
        <w:rPr>
          <w:noProof/>
        </w:rPr>
        <w:fldChar w:fldCharType="begin"/>
      </w:r>
      <w:r>
        <w:rPr>
          <w:noProof/>
        </w:rPr>
        <w:instrText xml:space="preserve"> PAGEREF _Toc25312994 \h </w:instrText>
      </w:r>
      <w:r>
        <w:rPr>
          <w:noProof/>
        </w:rPr>
        <w:fldChar w:fldCharType="separate"/>
      </w:r>
      <w:r>
        <w:rPr>
          <w:noProof/>
        </w:rPr>
        <w:t>9</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17. Възобновяване на заседанието</w:t>
        <w:tab/>
      </w:r>
      <w:r>
        <w:rPr>
          <w:noProof/>
        </w:rPr>
        <w:fldChar w:fldCharType="begin"/>
      </w:r>
      <w:r>
        <w:rPr>
          <w:noProof/>
        </w:rPr>
        <w:instrText xml:space="preserve"> PAGEREF _Toc25312995 \h </w:instrText>
      </w:r>
      <w:r>
        <w:rPr>
          <w:noProof/>
        </w:rPr>
        <w:fldChar w:fldCharType="separate"/>
      </w:r>
      <w:r>
        <w:rPr>
          <w:noProof/>
        </w:rPr>
        <w:t>9</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 xml:space="preserve">18. Положението в Кашмир </w:t>
      </w:r>
      <w:r w:rsidRPr="005072FF">
        <w:rPr>
          <w:noProof/>
          <w:lang w:val="bg-BG"/>
        </w:rPr>
        <w:t>(разискване)</w:t>
      </w:r>
      <w:r>
        <w:rPr>
          <w:noProof/>
        </w:rPr>
        <w:tab/>
      </w:r>
      <w:r>
        <w:rPr>
          <w:noProof/>
        </w:rPr>
        <w:fldChar w:fldCharType="begin"/>
      </w:r>
      <w:r>
        <w:rPr>
          <w:noProof/>
        </w:rPr>
        <w:instrText xml:space="preserve"> PAGEREF _Toc25312996 \h </w:instrText>
      </w:r>
      <w:r>
        <w:rPr>
          <w:noProof/>
        </w:rPr>
        <w:fldChar w:fldCharType="separate"/>
      </w:r>
      <w:r>
        <w:rPr>
          <w:noProof/>
        </w:rPr>
        <w:t>10</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19. Дневен ред на следващото заседание</w:t>
        <w:tab/>
      </w:r>
      <w:r>
        <w:rPr>
          <w:noProof/>
        </w:rPr>
        <w:fldChar w:fldCharType="begin"/>
      </w:r>
      <w:r>
        <w:rPr>
          <w:noProof/>
        </w:rPr>
        <w:instrText xml:space="preserve"> PAGEREF _Toc25312997 \h </w:instrText>
      </w:r>
      <w:r>
        <w:rPr>
          <w:noProof/>
        </w:rPr>
        <w:fldChar w:fldCharType="separate"/>
      </w:r>
      <w:r>
        <w:rPr>
          <w:noProof/>
        </w:rPr>
        <w:t>10</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20. Закриване на заседанието</w:t>
        <w:tab/>
      </w:r>
      <w:r>
        <w:rPr>
          <w:noProof/>
        </w:rPr>
        <w:fldChar w:fldCharType="begin"/>
      </w:r>
      <w:r>
        <w:rPr>
          <w:noProof/>
        </w:rPr>
        <w:instrText xml:space="preserve"> PAGEREF _Toc2531299</w:instrText>
      </w:r>
      <w:r>
        <w:rPr>
          <w:noProof/>
        </w:rPr>
        <w:instrText xml:space="preserve">8 \h </w:instrText>
      </w:r>
      <w:r>
        <w:rPr>
          <w:noProof/>
        </w:rPr>
        <w:fldChar w:fldCharType="separate"/>
      </w:r>
      <w:r>
        <w:rPr>
          <w:noProof/>
        </w:rPr>
        <w:t>10</w:t>
      </w:r>
      <w:r>
        <w:rPr>
          <w:noProof/>
        </w:rPr>
        <w:fldChar w:fldCharType="end"/>
      </w:r>
    </w:p>
    <w:p w:rsidR="00287FBA" w:rsidRPr="00B86C75">
      <w:pPr>
        <w:pStyle w:val="TOC1"/>
        <w:rPr>
          <w:rFonts w:ascii="Calibri" w:eastAsia="Times New Roman" w:hAnsi="Calibri"/>
          <w:noProof/>
          <w:color w:val="auto"/>
          <w:sz w:val="22"/>
          <w:szCs w:val="22"/>
          <w:lang w:eastAsia="fr-FR"/>
        </w:rPr>
      </w:pPr>
      <w:r w:rsidRPr="005072FF">
        <w:rPr>
          <w:noProof/>
          <w:u w:val="single"/>
          <w:lang w:val="bg-BG"/>
        </w:rPr>
        <w:t>ПРИСЪСТВЕН СПИСЪК</w:t>
      </w:r>
      <w:r>
        <w:rPr>
          <w:noProof/>
        </w:rPr>
        <w:tab/>
      </w:r>
      <w:r>
        <w:rPr>
          <w:noProof/>
        </w:rPr>
        <w:fldChar w:fldCharType="begin"/>
      </w:r>
      <w:r>
        <w:rPr>
          <w:noProof/>
        </w:rPr>
        <w:instrText xml:space="preserve"> PAGEREF _Toc25312999 \h </w:instrText>
      </w:r>
      <w:r>
        <w:rPr>
          <w:noProof/>
        </w:rPr>
        <w:fldChar w:fldCharType="separate"/>
      </w:r>
      <w:r>
        <w:rPr>
          <w:noProof/>
        </w:rPr>
        <w:t>11</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Приложение 1 - Назначаване на председателя на Европейската централна банка - кандидат: г-жа Кристин Лагард</w:t>
        <w:tab/>
      </w:r>
      <w:r>
        <w:rPr>
          <w:noProof/>
        </w:rPr>
        <w:fldChar w:fldCharType="begin"/>
      </w:r>
      <w:r>
        <w:rPr>
          <w:noProof/>
        </w:rPr>
        <w:instrText xml:space="preserve"> PAGEREF _Toc25313000 \h </w:instrText>
      </w:r>
      <w:r>
        <w:rPr>
          <w:noProof/>
        </w:rPr>
        <w:fldChar w:fldCharType="separate"/>
      </w:r>
      <w:r>
        <w:rPr>
          <w:noProof/>
        </w:rPr>
        <w:t>13</w:t>
      </w:r>
      <w:r>
        <w:rPr>
          <w:noProof/>
        </w:rPr>
        <w:fldChar w:fldCharType="end"/>
      </w:r>
    </w:p>
    <w:p w:rsidR="00287FBA" w:rsidRPr="00B86C75">
      <w:pPr>
        <w:pStyle w:val="TOC1"/>
        <w:rPr>
          <w:rFonts w:ascii="Calibri" w:eastAsia="Times New Roman" w:hAnsi="Calibri"/>
          <w:noProof/>
          <w:color w:val="auto"/>
          <w:sz w:val="22"/>
          <w:szCs w:val="22"/>
          <w:lang w:eastAsia="fr-FR"/>
        </w:rPr>
      </w:pPr>
      <w:r>
        <w:rPr>
          <w:noProof/>
        </w:rPr>
        <w:t>Приложение 2 - Назначаване на заместник-председателя на Надзорния съвет на Европейската централна банка</w:t>
        <w:tab/>
      </w:r>
      <w:r>
        <w:rPr>
          <w:noProof/>
        </w:rPr>
        <w:fldChar w:fldCharType="begin"/>
      </w:r>
      <w:r>
        <w:rPr>
          <w:noProof/>
        </w:rPr>
        <w:instrText xml:space="preserve"> PAGEREF _Toc25313001 \h </w:instrText>
      </w:r>
      <w:r>
        <w:rPr>
          <w:noProof/>
        </w:rPr>
        <w:fldChar w:fldCharType="separate"/>
      </w:r>
      <w:r>
        <w:rPr>
          <w:noProof/>
        </w:rPr>
        <w:t>15</w:t>
      </w:r>
      <w:r>
        <w:rPr>
          <w:noProof/>
        </w:rPr>
        <w:fldChar w:fldCharType="end"/>
      </w:r>
    </w:p>
    <w:p w:rsidR="00B86C7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B86C75">
      <w:pPr>
        <w:sectPr>
          <w:type w:val="continuous"/>
          <w:pgSz w:w="11906" w:h="16837"/>
          <w:pgMar w:top="567" w:right="1134" w:bottom="1134" w:left="1134" w:header="720" w:footer="720" w:gutter="0"/>
          <w:cols w:space="720"/>
          <w:titlePg/>
          <w:docGrid w:linePitch="360"/>
        </w:sectPr>
      </w:pPr>
    </w:p>
    <w:p w:rsidR="00B86C75"/>
    <w:p w:rsidR="00B86C75">
      <w:pPr>
        <w:jc w:val="center"/>
        <w:rPr>
          <w:b/>
          <w:lang w:val="bg-BG"/>
        </w:rPr>
      </w:pPr>
      <w:r>
        <w:rPr>
          <w:b/>
          <w:lang w:val="bg-BG"/>
        </w:rPr>
        <w:t xml:space="preserve">ПРОТОКОЛ </w:t>
      </w:r>
    </w:p>
    <w:p w:rsidR="00B86C75">
      <w:pPr>
        <w:jc w:val="center"/>
        <w:rPr>
          <w:b/>
          <w:bCs/>
          <w:lang w:val="bg-BG"/>
        </w:rPr>
      </w:pPr>
      <w:r>
        <w:rPr>
          <w:b/>
          <w:bCs/>
          <w:lang w:val="bg-BG"/>
        </w:rPr>
        <w:t>ВТОРНИК 17 СЕПТЕМВРИ 2019 г.</w:t>
      </w:r>
    </w:p>
    <w:p w:rsidR="00B86C75">
      <w:pPr>
        <w:jc w:val="center"/>
        <w:rPr>
          <w:i/>
          <w:lang w:val="bg-BG"/>
        </w:rPr>
      </w:pPr>
      <w:r>
        <w:rPr>
          <w:lang w:val="bg-BG"/>
        </w:rPr>
        <w:t>ПОД ПРЕДСЕДАТЕЛСТВОТО НА: Pedro SILVA PEREIRA</w:t>
        <w:br/>
      </w:r>
      <w:r>
        <w:rPr>
          <w:i/>
          <w:lang w:val="bg-BG"/>
        </w:rPr>
        <w:t>Заместник-председател</w:t>
      </w:r>
    </w:p>
    <w:p w:rsidR="00B86C75">
      <w:pPr>
        <w:pStyle w:val="Heading1"/>
      </w:pPr>
      <w:bookmarkStart w:id="0" w:name="_Toc25312976"/>
      <w:r>
        <w:t>1. Откриване на заседанието</w:t>
      </w:r>
      <w:bookmarkEnd w:id="0"/>
    </w:p>
    <w:p w:rsidR="00B86C75">
      <w:pPr>
        <w:rPr>
          <w:lang w:val="bg-BG"/>
        </w:rPr>
      </w:pPr>
      <w:r>
        <w:rPr>
          <w:lang w:val="bg-BG"/>
        </w:rPr>
        <w:t>Заседанието беше открито в 9.02 ч.</w:t>
      </w:r>
    </w:p>
    <w:p w:rsidR="00B86C75">
      <w:pPr>
        <w:pStyle w:val="Heading1"/>
      </w:pPr>
      <w:bookmarkStart w:id="1" w:name="_Toc25312977"/>
      <w:r>
        <w:t xml:space="preserve">2. Подготовка за срещата на върха по въпросите на климата и Срещата на върха за целите на устойчивото развитие в Ню Йорк </w:t>
      </w:r>
      <w:r>
        <w:rPr>
          <w:b w:val="0"/>
          <w:bCs w:val="0"/>
          <w:lang w:val="bg-BG"/>
        </w:rPr>
        <w:t>(разискване)</w:t>
      </w:r>
      <w:bookmarkEnd w:id="1"/>
      <w:r>
        <w:t xml:space="preserve"> </w:t>
      </w:r>
    </w:p>
    <w:p w:rsidR="00B86C75">
      <w:pPr>
        <w:rPr>
          <w:lang w:val="bg-BG"/>
        </w:rPr>
      </w:pPr>
      <w:r>
        <w:rPr>
          <w:lang w:val="bg-BG"/>
        </w:rPr>
        <w:t>Изявление на Комисията: Подготовка за срещата на върха по въпросите на климата и Срещата на върха за целите на устойчивото развитие в Ню Йорк (2019/2809(RSP))</w:t>
      </w:r>
    </w:p>
    <w:p w:rsidR="00B86C75">
      <w:pPr>
        <w:rPr>
          <w:lang w:val="bg-BG"/>
        </w:rPr>
      </w:pPr>
      <w:r>
        <w:rPr>
          <w:lang w:val="bg-BG"/>
        </w:rPr>
        <w:t>Miguel Arias Cañete (член на Комисията) направи изявление.</w:t>
      </w:r>
    </w:p>
    <w:p w:rsidR="00B86C75">
      <w:pPr>
        <w:rPr>
          <w:lang w:val="bg-BG"/>
        </w:rPr>
      </w:pPr>
      <w:r>
        <w:rPr>
          <w:lang w:val="bg-BG"/>
        </w:rPr>
        <w:t>Изказаха се Mairead McGuinness, от името на групата PPE, Miriam Dalli, от името на групата S&amp;D, María Soraya Rodríguez Ramos, от името на групата Renew, Bas Eickhout, от името на групата Verts/ALE, Jordan Bardella, от името на групата ID, Anna Zalewska, от името на групата ECR, Petros Kokkalis, от името на групата GUE/NGL, Eleonora Evi, независим член на ЕП, Tomas Tobé, Udo Bullmann, Catherine Chabaud, Aileen McLeod, Sylvia Limmer, Jadwiga Wiśniewska, Silvia Modig, Peter Liese, Marc Tarabella, Frédérique Ries, Karima Delli, Jorge Buxadé Villalba, Marc Botenga, Cristian-Silviu Buşoi, Javi López, Morten Petersen, Michael Bloss, Izabela-Helena Kloc, Dolors Montserrat, Seb Dance, Valter Flego, Alexandra Louise Rosenfield Phillips, Agnès Evren, Jytte Guteland, Jutta Paulus, която отговори също така на въпрос „синя карта“ от Loucas Fourlas, и Edina Tóth.</w:t>
      </w:r>
    </w:p>
    <w:p w:rsidR="00B86C75">
      <w:pPr>
        <w:rPr>
          <w:lang w:val="bg-BG"/>
        </w:rPr>
      </w:pPr>
      <w:r>
        <w:rPr>
          <w:lang w:val="bg-BG"/>
        </w:rPr>
        <w:t>Изказаха се по процедурата с привличане на вниманието („catch the eye“): João Ferreira, Maria Spyraki, Maria Grapini, Ellie Chowns, Mick Wallace, Радан Кънев и Carlos Zorrinho.</w:t>
      </w:r>
    </w:p>
    <w:p w:rsidR="00B86C75">
      <w:pPr>
        <w:rPr>
          <w:lang w:val="bg-BG"/>
        </w:rPr>
      </w:pPr>
      <w:r>
        <w:rPr>
          <w:lang w:val="bg-BG"/>
        </w:rPr>
        <w:t>Изказа се Miguel Arias Cañete.</w:t>
      </w:r>
    </w:p>
    <w:p w:rsidR="00B86C75">
      <w:pPr>
        <w:rPr>
          <w:lang w:val="bg-BG"/>
        </w:rPr>
      </w:pPr>
      <w:r>
        <w:rPr>
          <w:lang w:val="bg-BG"/>
        </w:rPr>
        <w:t>Разискването приключи.</w:t>
      </w:r>
    </w:p>
    <w:p w:rsidR="00B86C75">
      <w:pPr>
        <w:pStyle w:val="Heading1"/>
        <w:rPr>
          <w:b w:val="0"/>
          <w:bCs w:val="0"/>
          <w:lang w:val="bg-BG"/>
        </w:rPr>
      </w:pPr>
      <w:bookmarkStart w:id="2" w:name="_Toc25312978"/>
      <w:r>
        <w:t xml:space="preserve">3. Назначаване на председателя на Европейската централна банка - кандидат: г-жа Кристин Лагард </w:t>
      </w:r>
      <w:r>
        <w:rPr>
          <w:b w:val="0"/>
          <w:bCs w:val="0"/>
          <w:lang w:val="bg-BG"/>
        </w:rPr>
        <w:t>(разискване)</w:t>
      </w:r>
      <w:bookmarkEnd w:id="2"/>
    </w:p>
    <w:p w:rsidR="00B86C75">
      <w:pPr>
        <w:rPr>
          <w:lang w:val="bg-BG"/>
        </w:rPr>
      </w:pPr>
      <w:r>
        <w:rPr>
          <w:lang w:val="bg-BG"/>
        </w:rPr>
        <w:t>Доклад относно препоръката на Съвета относно назначаването на председателя на Европейската централна банка [N9-0023/2019 - C9-0048/2019 - 2019/0810(NLE)] - Комисия по икономически и парични въпроси. Докладчик: Roberto Gualtieri (A9-0008/2019</w:t>
      </w:r>
      <w:r>
        <w:rPr>
          <w:lang w:val="bg-BG"/>
        </w:rPr>
        <w:t>)</w:t>
      </w:r>
    </w:p>
    <w:p w:rsidR="00B86C75">
      <w:pPr>
        <w:rPr>
          <w:lang w:val="bg-BG"/>
        </w:rPr>
      </w:pPr>
      <w:r>
        <w:rPr>
          <w:lang w:val="bg-BG"/>
        </w:rPr>
        <w:t>Irene Tinagli (председател на комисията ECON) представи доклада.</w:t>
      </w:r>
    </w:p>
    <w:p w:rsidR="00B86C75">
      <w:pPr>
        <w:rPr>
          <w:lang w:val="bg-BG"/>
        </w:rPr>
      </w:pPr>
      <w:r>
        <w:rPr>
          <w:lang w:val="bg-BG"/>
        </w:rPr>
        <w:t>Изказа се Valdis Dombrovskis (заместник-председател на Комисията).</w:t>
      </w:r>
    </w:p>
    <w:p w:rsidR="00B86C75">
      <w:pPr>
        <w:rPr>
          <w:lang w:val="bg-BG"/>
        </w:rPr>
      </w:pPr>
      <w:r>
        <w:rPr>
          <w:lang w:val="bg-BG"/>
        </w:rPr>
        <w:t xml:space="preserve">Изказаха се Markus Ferber, от името на групата PPE, Jonás Fernández, от името на групата S&amp;D, Luis Garicano, от името на групата Renew, Sven Giegold, от името на групата Verts/ALE, Gerolf Annemans, от името на групата ID, Derk Jan Eppink, от името на групата ECR, и Manon Aubry, от името на групата GUE/NGL. </w:t>
      </w:r>
    </w:p>
    <w:p w:rsidR="00B86C75">
      <w:pPr>
        <w:jc w:val="center"/>
        <w:rPr>
          <w:i/>
          <w:lang w:val="bg-BG"/>
        </w:rPr>
      </w:pPr>
      <w:r>
        <w:rPr>
          <w:lang w:val="bg-BG"/>
        </w:rPr>
        <w:t>ПОД ПРЕДСЕДАТЕЛСТВОТО НА: Mairead McGUINNESS</w:t>
        <w:br/>
      </w:r>
      <w:r>
        <w:rPr>
          <w:i/>
          <w:lang w:val="bg-BG"/>
        </w:rPr>
        <w:t>Заместник-председател</w:t>
      </w:r>
    </w:p>
    <w:p w:rsidR="00B86C75">
      <w:pPr>
        <w:rPr>
          <w:lang w:val="bg-BG"/>
        </w:rPr>
      </w:pPr>
      <w:r>
        <w:rPr>
          <w:lang w:val="bg-BG"/>
        </w:rPr>
        <w:t>Изказаха се Lefteris Nikolaou-Alavanos, независим член на ЕП, Luděk Niedermayer, Costas Mavrides, Stéphanie Yon-Courtin, Ernest Urtasun, Antonio Maria Rinaldi, Johan Van Overtveldt, José Gusmão, Márton Gyöngyösi, Othmar Karas, Aurore Lalucq, Dragoş Pîslaru, Stasys Jakeliūnas, Gunnar Beck, Eugen Jurzyca, Piernicola Pedicini, José Manuel García-Margallo y Marfil, Joachim Schuster, Engin Eroglu, Jordan Bardella, Ivan Vilibor Sinčić, Enikő Győri, Marek Belka, Roman Haider, Georgios Kyrtsos, Pedro Silva Pereira, Alfred Sant, Frances Fitzgerald и Esther de Lange.</w:t>
      </w:r>
    </w:p>
    <w:p w:rsidR="00B86C75">
      <w:pPr>
        <w:rPr>
          <w:lang w:val="bg-BG"/>
        </w:rPr>
      </w:pPr>
      <w:r>
        <w:rPr>
          <w:lang w:val="bg-BG"/>
        </w:rPr>
        <w:t>Изказаха се по процедурата с привличане на вниманието („catch the eye“):  Peter van Dalen, Pedro Marques, Helmut Geuking, João Ferreira, Franc Bogovič, Erik Bergkvist, Dimitrios Papadimoulis, Stanislav Polčák и Maria Grapini.</w:t>
      </w:r>
    </w:p>
    <w:p w:rsidR="00B86C75">
      <w:pPr>
        <w:rPr>
          <w:lang w:val="bg-BG"/>
        </w:rPr>
      </w:pPr>
      <w:r>
        <w:rPr>
          <w:lang w:val="bg-BG"/>
        </w:rPr>
        <w:t>Изказа се Valdis Dombrovskis.</w:t>
      </w:r>
    </w:p>
    <w:p w:rsidR="00B86C75">
      <w:pPr>
        <w:rPr>
          <w:lang w:val="bg-BG"/>
        </w:rPr>
      </w:pPr>
      <w:r>
        <w:rPr>
          <w:lang w:val="bg-BG"/>
        </w:rPr>
        <w:t>Разискването приключи.</w:t>
      </w:r>
    </w:p>
    <w:p w:rsidR="00B86C75">
      <w:pPr>
        <w:rPr>
          <w:i/>
          <w:iCs/>
          <w:lang w:val="bg-BG"/>
        </w:rPr>
      </w:pPr>
      <w:r>
        <w:rPr>
          <w:lang w:val="bg-BG"/>
        </w:rPr>
        <w:t xml:space="preserve">Гласуване: </w:t>
      </w:r>
      <w:r>
        <w:rPr>
          <w:i/>
          <w:iCs/>
          <w:lang w:val="bg-BG"/>
        </w:rPr>
        <w:t>точка 6.1 от протокола от 17.9.2019 г.</w:t>
      </w:r>
    </w:p>
    <w:p w:rsidR="00B86C75">
      <w:pPr>
        <w:jc w:val="center"/>
        <w:rPr>
          <w:i/>
          <w:lang w:val="bg-BG"/>
        </w:rPr>
      </w:pPr>
      <w:r>
        <w:rPr>
          <w:lang w:val="bg-BG"/>
        </w:rPr>
        <w:t>ПОД ПРЕДСЕДАТЕЛСТВОТО НА: Othmar KARAS</w:t>
        <w:br/>
      </w:r>
      <w:r>
        <w:rPr>
          <w:i/>
          <w:lang w:val="bg-BG"/>
        </w:rPr>
        <w:t>Заместник-председател</w:t>
      </w:r>
    </w:p>
    <w:p w:rsidR="00B86C75">
      <w:pPr>
        <w:pStyle w:val="Heading1"/>
      </w:pPr>
      <w:bookmarkStart w:id="3" w:name="_Toc25312979"/>
      <w:r>
        <w:t>4. Промяна на дневния ред</w:t>
      </w:r>
      <w:bookmarkEnd w:id="3"/>
    </w:p>
    <w:p w:rsidR="00B86C75">
      <w:pPr>
        <w:rPr>
          <w:lang w:val="bg-BG"/>
        </w:rPr>
      </w:pPr>
      <w:r>
        <w:rPr>
          <w:lang w:val="bg-BG"/>
        </w:rPr>
        <w:t xml:space="preserve">След консултация с политическите групи и вследствие на промените в дневния ред, приети вчера, Председателят предложи заседанието в сряда следобед да продължи до 21 ч. </w:t>
      </w:r>
    </w:p>
    <w:p w:rsidR="00B86C75">
      <w:pPr>
        <w:rPr>
          <w:lang w:val="bg-BG"/>
        </w:rPr>
      </w:pPr>
      <w:r>
        <w:rPr>
          <w:lang w:val="bg-BG"/>
        </w:rPr>
        <w:t>Парламентът даде съгласието си по това предложение. Дневният ред е променен.</w:t>
      </w:r>
    </w:p>
    <w:p w:rsidR="00B86C75">
      <w:pPr>
        <w:pStyle w:val="Heading1"/>
      </w:pPr>
      <w:bookmarkStart w:id="4" w:name="_Toc25312980"/>
      <w:r>
        <w:t>5. Състав на Парламента</w:t>
      </w:r>
      <w:bookmarkEnd w:id="4"/>
    </w:p>
    <w:p w:rsidR="00B86C75">
      <w:pPr>
        <w:widowControl/>
        <w:spacing w:after="113"/>
      </w:pPr>
      <w:r>
        <w:t>Италианските компетентни органи уведомиха за назначаването на Nicola Danti като член на Европейския парламент на мястото на Roberto Gualtieri, считано от 5 септември 2019 г.</w:t>
      </w:r>
    </w:p>
    <w:p w:rsidR="00B86C75">
      <w:pPr>
        <w:rPr>
          <w:lang w:val="bg-BG"/>
        </w:rPr>
      </w:pPr>
      <w:r>
        <w:rPr>
          <w:lang w:val="bg-BG"/>
        </w:rPr>
        <w:t>В съответствие с член 3, параграф 2 от Правилника за дейността, до проверка на неговите пълномощия или до произнасянето на решение по възникнал спор,  Nicola Danti  заема своето място в Парламента и неговите органи и се ползва с всички произтичащи от това права, при условие че е подал предварително писмена декларация, че не заема длъжност, несъвместима с положението на член на Европейския парламент.</w:t>
      </w:r>
    </w:p>
    <w:p w:rsidR="00B86C75">
      <w:pPr>
        <w:pStyle w:val="Heading1"/>
      </w:pPr>
      <w:bookmarkStart w:id="5" w:name="_Toc25312981"/>
      <w:r>
        <w:t>6. Време за гласуване</w:t>
      </w:r>
      <w:bookmarkEnd w:id="5"/>
    </w:p>
    <w:p w:rsidR="00B86C75">
      <w:pPr>
        <w:rPr>
          <w:lang w:val="bg-BG"/>
        </w:rPr>
      </w:pPr>
      <w:r>
        <w:rPr>
          <w:lang w:val="bg-BG"/>
        </w:rPr>
        <w:t>Подробните резултати от гласуванията (изменения, гласувания поотделно, разделни гласувания и др.) се съдържат в приложение „Резултати от гласувания“ към протокола.</w:t>
      </w:r>
    </w:p>
    <w:p w:rsidR="00B86C75">
      <w:r>
        <w:t>Резултатите от поименното гласуване, приложени към протокола, са на разположение единствено в електронен вид и с тях може да се направи справка на сайта на Парламента.</w:t>
      </w:r>
    </w:p>
    <w:p w:rsidR="00B86C75">
      <w:pPr>
        <w:pStyle w:val="Heading2"/>
        <w:rPr>
          <w:b w:val="0"/>
          <w:bCs w:val="0"/>
          <w:lang w:val="bg-BG"/>
        </w:rPr>
      </w:pPr>
      <w:bookmarkStart w:id="6" w:name="_Toc25312982"/>
      <w:r>
        <w:t xml:space="preserve">6.1. Назначаване на председателя на Европейската централна банка - кандидат: г-жа Кристин Лагард </w:t>
      </w:r>
      <w:r>
        <w:rPr>
          <w:b w:val="0"/>
          <w:bCs w:val="0"/>
          <w:lang w:val="bg-BG"/>
        </w:rPr>
        <w:t>(гласуване)</w:t>
      </w:r>
      <w:bookmarkEnd w:id="6"/>
    </w:p>
    <w:p w:rsidR="00B86C75">
      <w:pPr>
        <w:spacing w:after="120"/>
        <w:rPr>
          <w:lang w:val="bg-BG"/>
        </w:rPr>
      </w:pPr>
      <w:r>
        <w:rPr>
          <w:lang w:val="bg-BG"/>
        </w:rPr>
        <w:t>Доклад относно препоръката на Съвета относно назначаването на председателя на Европейската централна банка [N9-0023/2019 - C9-0048/2019 - 2019/0810(NLE)] - Комисия по икономически и парични въпроси. Докладчик: Roberto Gualtieri (A9-0008/2019)</w:t>
      </w:r>
    </w:p>
    <w:p w:rsidR="00B86C75">
      <w:pPr>
        <w:rPr>
          <w:i/>
          <w:iCs/>
          <w:lang w:val="bg-BG"/>
        </w:rPr>
      </w:pPr>
      <w:r>
        <w:rPr>
          <w:i/>
          <w:iCs/>
          <w:lang w:val="bg-BG"/>
        </w:rPr>
        <w:t>(Необходимо е обикновено мнозинство)</w:t>
        <w:br/>
        <w:t>(Резултати от гласуването: приложение „Резултати от гласувания“, точка 1)</w:t>
        <w:br/>
        <w:t>(Тайно гласуване (член 191, параграф 1 от Правилника за дейността))</w:t>
        <w:br/>
        <w:t>Списъкът на гласувалите членове на ЕП е приложен към настоящия протокол (приложение 1 от протокола от 17.9.2019 г.)</w:t>
      </w:r>
    </w:p>
    <w:p w:rsidR="00B86C75">
      <w:pPr>
        <w:rPr>
          <w:lang w:val="bg-BG"/>
        </w:rPr>
      </w:pPr>
      <w:r>
        <w:rPr>
          <w:lang w:val="bg-BG"/>
        </w:rPr>
        <w:t>ПРЕДЛОЖЕНИЕ ЗА РЕШЕНИЕ</w:t>
      </w:r>
    </w:p>
    <w:p w:rsidR="00B86C75">
      <w:pPr>
        <w:rPr>
          <w:lang w:val="bg-BG"/>
        </w:rPr>
      </w:pPr>
      <w:r>
        <w:rPr>
          <w:lang w:val="bg-BG"/>
        </w:rPr>
        <w:t>Приема се с единно гласуване (</w:t>
      </w:r>
      <w:r>
        <w:rPr>
          <w:i/>
          <w:iCs/>
          <w:lang w:val="bg-BG"/>
        </w:rPr>
        <w:t>P9_TA(2019)0008</w:t>
      </w:r>
      <w:r>
        <w:rPr>
          <w:lang w:val="bg-BG"/>
        </w:rPr>
        <w:t>)</w:t>
      </w:r>
    </w:p>
    <w:p w:rsidR="00B86C75">
      <w:pPr>
        <w:pStyle w:val="Heading2"/>
        <w:rPr>
          <w:b w:val="0"/>
          <w:bCs w:val="0"/>
          <w:lang w:val="bg-BG"/>
        </w:rPr>
      </w:pPr>
      <w:bookmarkStart w:id="7" w:name="_Toc25312983"/>
      <w:r>
        <w:t xml:space="preserve">6.2. Назначаване на заместник-председателя на Надзорния съвет на Европейската централна банка </w:t>
      </w:r>
      <w:r>
        <w:rPr>
          <w:b w:val="0"/>
          <w:bCs w:val="0"/>
          <w:lang w:val="bg-BG"/>
        </w:rPr>
        <w:t>(гласуване)</w:t>
      </w:r>
      <w:bookmarkEnd w:id="7"/>
    </w:p>
    <w:p w:rsidR="00B86C75">
      <w:pPr>
        <w:spacing w:after="120"/>
        <w:rPr>
          <w:lang w:val="bg-BG"/>
        </w:rPr>
      </w:pPr>
      <w:r>
        <w:rPr>
          <w:lang w:val="bg-BG"/>
        </w:rPr>
        <w:t>Доклад относно предложението на Европейската централна банка за назначаване на заместник-председател на Надзорния съвет на Европейската централна банка [2019/0903(NLE)] - Комисия по икономически и парични въпроси. Докладчик: Roberto Gualtieri (A9-0007/2019)</w:t>
      </w:r>
    </w:p>
    <w:p w:rsidR="00B86C75">
      <w:pPr>
        <w:rPr>
          <w:i/>
          <w:iCs/>
          <w:lang w:val="bg-BG"/>
        </w:rPr>
      </w:pPr>
      <w:r>
        <w:rPr>
          <w:i/>
          <w:iCs/>
          <w:lang w:val="bg-BG"/>
        </w:rPr>
        <w:t>(Необходимо е обикновено мнозинство)</w:t>
        <w:br/>
        <w:t>(Резултати от гласуването: приложение „Резултати от гласувания“, точка 2)</w:t>
        <w:br/>
        <w:t>(Тайно гласуване (член 191, параграф 1 от Правилника за дейността))</w:t>
        <w:br/>
        <w:t>Списъкът на гласувалите членове на ЕП е приложен към настоящия протокол (приложение 2 от протокола от 17.9.2019 г.)</w:t>
      </w:r>
    </w:p>
    <w:p w:rsidR="00B86C75">
      <w:pPr>
        <w:rPr>
          <w:lang w:val="bg-BG"/>
        </w:rPr>
      </w:pPr>
      <w:r>
        <w:rPr>
          <w:lang w:val="bg-BG"/>
        </w:rPr>
        <w:t>ПРЕДЛОЖЕНИЕ ЗА РЕШЕНИЕ</w:t>
      </w:r>
    </w:p>
    <w:p w:rsidR="00B86C75">
      <w:pPr>
        <w:rPr>
          <w:lang w:val="bg-BG"/>
        </w:rPr>
      </w:pPr>
      <w:r>
        <w:rPr>
          <w:lang w:val="bg-BG"/>
        </w:rPr>
        <w:t>Приема се с единно гласуване (</w:t>
      </w:r>
      <w:r>
        <w:rPr>
          <w:i/>
          <w:iCs/>
          <w:lang w:val="bg-BG"/>
        </w:rPr>
        <w:t>P9_TA(2019)0009</w:t>
      </w:r>
      <w:r>
        <w:rPr>
          <w:lang w:val="bg-BG"/>
        </w:rPr>
        <w:t>)</w:t>
      </w:r>
    </w:p>
    <w:p w:rsidR="00B86C75">
      <w:pPr>
        <w:pStyle w:val="Heading2"/>
      </w:pPr>
      <w:bookmarkStart w:id="8" w:name="_Toc25312984"/>
      <w:r>
        <w:t xml:space="preserve">6.3. Започване на автоматизиран обмен на данни по отношение на данни за регистрацията на превозните средства в Ирландия * </w:t>
      </w:r>
      <w:r>
        <w:rPr>
          <w:b w:val="0"/>
          <w:bCs w:val="0"/>
          <w:lang w:val="bg-BG"/>
        </w:rPr>
        <w:t>(гласуване)</w:t>
      </w:r>
      <w:bookmarkEnd w:id="8"/>
      <w:r>
        <w:t xml:space="preserve"> </w:t>
      </w:r>
    </w:p>
    <w:p w:rsidR="00B86C75">
      <w:pPr>
        <w:rPr>
          <w:lang w:val="bg-BG"/>
        </w:rPr>
      </w:pPr>
      <w:r>
        <w:rPr>
          <w:lang w:val="bg-BG"/>
        </w:rPr>
        <w:t>Доклад относно проекта на решение за изпълнение на Съвета за започване на автоматизиран обмен на данни по отношение на данни за регистрацията на превозните средства в Ирландия [2019/0806(CNS)] - Комисия по граждански свободи, правосъдие и вътрешни работи. Докладчик: Juan Fernando López Aguilar (A9-0003/2019)</w:t>
      </w:r>
    </w:p>
    <w:p w:rsidR="00B86C75">
      <w:pPr>
        <w:rPr>
          <w:i/>
          <w:lang w:val="bg-BG"/>
        </w:rPr>
      </w:pPr>
      <w:r>
        <w:rPr>
          <w:i/>
          <w:lang w:val="bg-BG"/>
        </w:rPr>
        <w:t>(Необходимо е обикновено мнозинство)</w:t>
        <w:br/>
        <w:t>(Резултати от гласуването: приложение „Резултати от гласувания“, точка 3)</w:t>
      </w:r>
    </w:p>
    <w:p w:rsidR="00B86C75">
      <w:pPr>
        <w:rPr>
          <w:lang w:val="bg-BG"/>
        </w:rPr>
      </w:pPr>
      <w:r>
        <w:rPr>
          <w:lang w:val="bg-BG"/>
        </w:rPr>
        <w:t>ПРОЕКТ НА РЕШЕНИЕ ЗА ИЗПЪЛНЕНИЕ НА СЪВЕТА</w:t>
      </w:r>
    </w:p>
    <w:p w:rsidR="00B86C75">
      <w:pPr>
        <w:rPr>
          <w:i/>
          <w:iCs/>
          <w:lang w:val="bg-BG"/>
        </w:rPr>
      </w:pPr>
      <w:r>
        <w:rPr>
          <w:lang w:val="bg-BG"/>
        </w:rPr>
        <w:t xml:space="preserve">Одобрява се </w:t>
      </w:r>
      <w:r>
        <w:rPr>
          <w:i/>
          <w:iCs/>
          <w:lang w:val="bg-BG"/>
        </w:rPr>
        <w:t>(P9_TA(2019)0010)</w:t>
      </w:r>
    </w:p>
    <w:p w:rsidR="00B86C75">
      <w:pPr>
        <w:pStyle w:val="Heading1"/>
      </w:pPr>
      <w:bookmarkStart w:id="9" w:name="_Toc25312985"/>
      <w:r>
        <w:t>7. Обяснения на вот</w:t>
      </w:r>
      <w:bookmarkEnd w:id="9"/>
    </w:p>
    <w:p w:rsidR="00B86C75">
      <w:pPr>
        <w:widowControl/>
        <w:spacing w:after="113"/>
      </w:pPr>
      <w:r>
        <w:t>Съгласно член 194 от Правилника за дейността писмените обяснения на вот се публикуват на страниците, запазени за членовете на ЕП на интернет сайта на Парламента.</w:t>
      </w:r>
    </w:p>
    <w:p w:rsidR="00B86C75">
      <w:pPr>
        <w:pStyle w:val="Heading1"/>
      </w:pPr>
      <w:bookmarkStart w:id="10" w:name="_Toc25312986"/>
      <w:r>
        <w:t>8. Поправки на вот и намерения за гласуване</w:t>
      </w:r>
      <w:bookmarkEnd w:id="10"/>
    </w:p>
    <w:p w:rsidR="00B86C75">
      <w:r>
        <w:t>Поправките на вота и намеренията за гласуване са отразени на интернет страницата на Парламента - „Пленарни заседания“, „Гласувания“, „Резултати от различните гласувания“ (Налични резултати от поименните гласувания).</w:t>
      </w:r>
    </w:p>
    <w:p w:rsidR="00B86C75">
      <w:r>
        <w:t>Електронната версия се осъвременява редовно в продължение най-много на две седмици след деня на провеждане на гласуването.</w:t>
      </w:r>
    </w:p>
    <w:p w:rsidR="00B86C75">
      <w:r>
        <w:t>След този срок списъкът на поправките на вота и намеренията за гласуване е окончателен и се предава за превод и публикуване в Официален вестник.</w:t>
      </w:r>
    </w:p>
    <w:p w:rsidR="00B86C75">
      <w:pPr>
        <w:jc w:val="center"/>
        <w:rPr>
          <w:i/>
          <w:iCs/>
          <w:lang w:val="bg-BG"/>
        </w:rPr>
      </w:pPr>
      <w:r>
        <w:rPr>
          <w:i/>
          <w:iCs/>
          <w:lang w:val="bg-BG"/>
        </w:rPr>
        <w:t>(Заседанието беше прекъснато в 12.06 ч.)</w:t>
      </w:r>
    </w:p>
    <w:p w:rsidR="00B86C75">
      <w:pPr>
        <w:jc w:val="center"/>
        <w:rPr>
          <w:i/>
          <w:lang w:val="bg-BG"/>
        </w:rPr>
      </w:pPr>
      <w:r>
        <w:rPr>
          <w:lang w:val="bg-BG"/>
        </w:rPr>
        <w:t>ПОД ПРЕДСЕДАТЕЛСТВОТО НА: Othmar KARAS</w:t>
        <w:br/>
      </w:r>
      <w:r>
        <w:rPr>
          <w:i/>
          <w:lang w:val="bg-BG"/>
        </w:rPr>
        <w:t>Заместник-председател</w:t>
      </w:r>
    </w:p>
    <w:p w:rsidR="00B86C75">
      <w:pPr>
        <w:pStyle w:val="Heading1"/>
      </w:pPr>
      <w:bookmarkStart w:id="11" w:name="_Toc25312987"/>
      <w:r>
        <w:t>9. Възобновяване на заседанието</w:t>
      </w:r>
      <w:bookmarkEnd w:id="11"/>
    </w:p>
    <w:p w:rsidR="00B86C75">
      <w:pPr>
        <w:widowControl/>
        <w:spacing w:after="113"/>
      </w:pPr>
      <w:r>
        <w:t>Заседанието беше възобновено в 15.01 ч.</w:t>
      </w:r>
    </w:p>
    <w:p w:rsidR="00B86C75">
      <w:pPr>
        <w:pStyle w:val="Heading1"/>
      </w:pPr>
      <w:bookmarkStart w:id="12" w:name="_Toc25312988"/>
      <w:r>
        <w:t>10. Одобряване на протокола от предишното заседание</w:t>
      </w:r>
      <w:bookmarkEnd w:id="12"/>
    </w:p>
    <w:p w:rsidR="00B86C75">
      <w:pPr>
        <w:rPr>
          <w:lang w:val="bg-BG"/>
        </w:rPr>
      </w:pPr>
      <w:r>
        <w:rPr>
          <w:lang w:val="bg-BG"/>
        </w:rPr>
        <w:t>Протоколът от предишното заседание беше одобрен.</w:t>
      </w:r>
    </w:p>
    <w:p w:rsidR="00B86C75">
      <w:pPr>
        <w:pStyle w:val="Heading1"/>
      </w:pPr>
      <w:bookmarkStart w:id="13" w:name="_Toc25312989"/>
      <w:r>
        <w:t xml:space="preserve">11. Външна намеса в изборите и дезинформация в националните и европейските демократични процеси </w:t>
      </w:r>
      <w:r>
        <w:rPr>
          <w:b w:val="0"/>
          <w:bCs w:val="0"/>
          <w:lang w:val="bg-BG"/>
        </w:rPr>
        <w:t>(разискване)</w:t>
      </w:r>
      <w:bookmarkEnd w:id="13"/>
      <w:r>
        <w:t xml:space="preserve"> </w:t>
      </w:r>
    </w:p>
    <w:p w:rsidR="00B86C75">
      <w:pPr>
        <w:rPr>
          <w:lang w:val="bg-BG"/>
        </w:rPr>
      </w:pPr>
      <w:r>
        <w:rPr>
          <w:lang w:val="bg-BG"/>
        </w:rPr>
        <w:t>Изявления на Съвета и на Комисията: Външна намеса в изборите и дезинформация в националните и европейските демократични процеси (2019/2810(RSP))</w:t>
      </w:r>
    </w:p>
    <w:p w:rsidR="00B86C75">
      <w:pPr>
        <w:rPr>
          <w:lang w:val="bg-BG"/>
        </w:rPr>
      </w:pPr>
      <w:r>
        <w:rPr>
          <w:lang w:val="bg-BG"/>
        </w:rPr>
        <w:t>Tytti Tuppurainen (действащ председател на Съвета), Věra Jourová (член на Комисията) и Julian King (член на Комисията) направиха изявления.</w:t>
      </w:r>
    </w:p>
    <w:p w:rsidR="00B86C75">
      <w:pPr>
        <w:rPr>
          <w:lang w:val="bg-BG"/>
        </w:rPr>
      </w:pPr>
      <w:r>
        <w:rPr>
          <w:lang w:val="bg-BG"/>
        </w:rPr>
        <w:t>Изказаха се Tomas Tobé, от името на групата PPE, Kati Piri, от името на групата S&amp;D, Pascal Durand, от името на групата Renew, Reinhard Bütikofer, от името на групата Verts/ALE, Marco Campomenosi, от името на групата ID, Nicola Procaccini, от името на групата ECR, Mick Wallace, от името на групата GUE/NGL, Miroslav Radačovský, независим член на ЕП, Karoline Edtstadler, Brando Benifei, Dragoş Tudorache, Terry Reintke, Laura Huhtasaari, Anna Fotyga, Alexandra Lesley Phillips, която отговори също така на въпрос „синя карта“ от Julie Ward, Андрей Ковачев, който отговори също така на въпрос „синя карта“ от Maria Grapini, Claude Moraes, Michal Šimečka, Scott Ainslie, който отхвърли искане за отговор на въпрос „синя карта“ от Belinda De Lucy, Jean-Paul Garraud, Jorge Buxadé Villalba, Jérôme Rivière относно провеждането на разискването (председателят направи уточнения), Jeroen Lenaers, Pedro Silva Pereira, Fabienne Keller, Jérôme Rivière относно провеждането на разискването (председателят прие за сведение), Markéta Gregorová, Christine Anderson, която отхвърли искане за отговор на въпрос „синя карта“ от Lukas Mandl, Reinhard Bütikofer относно думите на предходната ораторка (председателят прие за сведение), Charlie Weimers, Radosław Sikorski, Juan Fernando López Aguilar, Bernard Guetta, Annalisa Tardino, Lucia Ďuriš Nicholsonová, Vladimír Bilčík, Raphaël Glucksmann, Nils Torvalds, Zdzisław Krasnodębski, Paulo Rangel, Carlo Calenda, Klemen Grošelj, Roberts Zīle, Isabel Benjumea Benjumea, Sven Mikser, Stanislav Polčák, който отхвърли искане за отговор на въпрос „синя карта“ от Anna Bonfrisco, и Tonino Picula.</w:t>
      </w:r>
    </w:p>
    <w:p w:rsidR="00B86C75">
      <w:pPr>
        <w:rPr>
          <w:lang w:val="bg-BG"/>
        </w:rPr>
      </w:pPr>
      <w:r>
        <w:rPr>
          <w:lang w:val="bg-BG"/>
        </w:rPr>
        <w:t>Изказа се по процедурата с привличане на вниманието („catch the eye“) Mónica Silvana González.</w:t>
      </w:r>
    </w:p>
    <w:p w:rsidR="00B86C75">
      <w:pPr>
        <w:jc w:val="center"/>
        <w:rPr>
          <w:i/>
          <w:lang w:val="bg-BG"/>
        </w:rPr>
      </w:pPr>
      <w:r>
        <w:rPr>
          <w:lang w:val="bg-BG"/>
        </w:rPr>
        <w:t>ПОД ПРЕДСЕДАТЕЛСТВОТО НА: Heidi HAUTALA</w:t>
        <w:br/>
      </w:r>
      <w:r>
        <w:rPr>
          <w:i/>
          <w:lang w:val="bg-BG"/>
        </w:rPr>
        <w:t>Заместник-председател</w:t>
      </w:r>
    </w:p>
    <w:p w:rsidR="00B86C75">
      <w:pPr>
        <w:rPr>
          <w:lang w:val="bg-BG"/>
        </w:rPr>
      </w:pPr>
      <w:r>
        <w:rPr>
          <w:lang w:val="bg-BG"/>
        </w:rPr>
        <w:t>Изказаха се по процедурата с привличане на вниманието („catch the eye“): Petras Auštrevičius, Jérôme Rivière, Clare Daly и Marina Kaljurand.</w:t>
      </w:r>
    </w:p>
    <w:p w:rsidR="00B86C75">
      <w:pPr>
        <w:rPr>
          <w:lang w:val="bg-BG"/>
        </w:rPr>
      </w:pPr>
      <w:r>
        <w:rPr>
          <w:lang w:val="bg-BG"/>
        </w:rPr>
        <w:t>Изказаха се Julian King и Tytti Tuppurainen.</w:t>
      </w:r>
    </w:p>
    <w:p w:rsidR="00B86C75">
      <w:pPr>
        <w:widowControl/>
        <w:spacing w:after="113"/>
      </w:pPr>
      <w:r>
        <w:t>Предложенията за резолюция, които ще бъдат внесени в съответствие с член 132, параграф 2 от Правилника за дейността, ще бъдат обявени по-късно.</w:t>
      </w:r>
    </w:p>
    <w:p w:rsidR="00B86C75">
      <w:pPr>
        <w:rPr>
          <w:lang w:val="bg-BG"/>
        </w:rPr>
      </w:pPr>
      <w:r>
        <w:rPr>
          <w:lang w:val="bg-BG"/>
        </w:rPr>
        <w:t>Разискването приключи.</w:t>
      </w:r>
    </w:p>
    <w:p w:rsidR="00B86C75">
      <w:pPr>
        <w:rPr>
          <w:i/>
          <w:iCs/>
          <w:lang w:val="bg-BG"/>
        </w:rPr>
      </w:pPr>
      <w:r>
        <w:rPr>
          <w:lang w:val="bg-BG"/>
        </w:rPr>
        <w:t xml:space="preserve">Гласуване: </w:t>
      </w:r>
      <w:r>
        <w:rPr>
          <w:i/>
          <w:iCs/>
          <w:lang w:val="bg-BG"/>
        </w:rPr>
        <w:t>по време на следващата месечна сесия.</w:t>
      </w:r>
    </w:p>
    <w:p w:rsidR="00B86C75">
      <w:pPr>
        <w:jc w:val="center"/>
        <w:rPr>
          <w:i/>
          <w:iCs/>
          <w:lang w:val="bg-BG"/>
        </w:rPr>
      </w:pPr>
      <w:r>
        <w:rPr>
          <w:i/>
          <w:iCs/>
          <w:lang w:val="bg-BG"/>
        </w:rPr>
        <w:t>(Заседанието беше прекъснато за няколко минути.)</w:t>
      </w:r>
    </w:p>
    <w:p w:rsidR="00B86C75">
      <w:pPr>
        <w:jc w:val="center"/>
        <w:rPr>
          <w:i/>
          <w:lang w:val="bg-BG"/>
        </w:rPr>
      </w:pPr>
      <w:r>
        <w:rPr>
          <w:lang w:val="bg-BG"/>
        </w:rPr>
        <w:t>ПОД ПРЕДСЕДАТЕЛСТВОТО НА: Dimitrios PAPADIMOULIS</w:t>
        <w:br/>
      </w:r>
      <w:r>
        <w:rPr>
          <w:i/>
          <w:lang w:val="bg-BG"/>
        </w:rPr>
        <w:t>Заместник-председател</w:t>
      </w:r>
    </w:p>
    <w:p w:rsidR="00B86C75">
      <w:pPr>
        <w:pStyle w:val="Heading1"/>
      </w:pPr>
      <w:bookmarkStart w:id="14" w:name="_Toc25312990"/>
      <w:r>
        <w:t xml:space="preserve">12. Горските пожари в Амазония </w:t>
      </w:r>
      <w:r>
        <w:rPr>
          <w:b w:val="0"/>
          <w:bCs w:val="0"/>
          <w:lang w:val="bg-BG"/>
        </w:rPr>
        <w:t>(разискване)</w:t>
      </w:r>
      <w:bookmarkEnd w:id="14"/>
      <w:r>
        <w:t xml:space="preserve"> </w:t>
      </w:r>
    </w:p>
    <w:p w:rsidR="00B86C75">
      <w:pPr>
        <w:rPr>
          <w:lang w:val="bg-BG"/>
        </w:rPr>
      </w:pPr>
      <w:r>
        <w:rPr>
          <w:lang w:val="bg-BG"/>
        </w:rPr>
        <w:t>Изявления на Съвета и на Комисията: Горските пожари в Амазония (2019/2811(RSP))</w:t>
      </w:r>
    </w:p>
    <w:p w:rsidR="00B86C75">
      <w:pPr>
        <w:rPr>
          <w:lang w:val="bg-BG"/>
        </w:rPr>
      </w:pPr>
      <w:r>
        <w:rPr>
          <w:lang w:val="bg-BG"/>
        </w:rPr>
        <w:t>Tytti Tuppurainen (действащ председател на Съвета) и Karmenu Vella (член на Комисията) направиха изявления.</w:t>
      </w:r>
    </w:p>
    <w:p w:rsidR="00B86C75">
      <w:pPr>
        <w:rPr>
          <w:lang w:val="bg-BG"/>
        </w:rPr>
      </w:pPr>
      <w:r>
        <w:rPr>
          <w:lang w:val="bg-BG"/>
        </w:rPr>
        <w:t>Изказаха се Mairead McGuinness, от името на групата PPE, Iratxe García Pérez, от името на групата S&amp;D, Martin Hojsík, от името на групата Renew, Heidi Hautala, от името на групата Verts/ALE, и André Rougé, от името на групата ID.</w:t>
      </w:r>
    </w:p>
    <w:p w:rsidR="00B86C75">
      <w:pPr>
        <w:jc w:val="center"/>
        <w:rPr>
          <w:i/>
          <w:lang w:val="bg-BG"/>
        </w:rPr>
      </w:pPr>
      <w:r>
        <w:rPr>
          <w:lang w:val="bg-BG"/>
        </w:rPr>
        <w:t>ПОД ПРЕДСЕДАТЕЛСТВОТО НА: Heidi HAUTALA</w:t>
        <w:br/>
      </w:r>
      <w:r>
        <w:rPr>
          <w:i/>
          <w:lang w:val="bg-BG"/>
        </w:rPr>
        <w:t>Заместник-председател</w:t>
      </w:r>
    </w:p>
    <w:p w:rsidR="00B86C75">
      <w:pPr>
        <w:rPr>
          <w:lang w:val="bg-BG"/>
        </w:rPr>
      </w:pPr>
      <w:r>
        <w:rPr>
          <w:lang w:val="bg-BG"/>
        </w:rPr>
        <w:t>Изказаха се Hermann Tertsch, от името на групата ECR, Dimitrios Papadimoulis, от името на групата GUE/NGL, Kostas Papadakis, независим член на ЕП, Peter Liese, Miriam Dalli, Nicolae Ştefănuță, Yannick Jadot, Malin Björk, Eleonora Evi, Adam Jarubas, Kati Piri, Antony Hook, който отговори също така на въпрос „синя карта“ от Molly Scott Cato, Anna Cavazzini, Martin Buschmann, Christophe Hansen, Jytte Guteland, Stéphane Bijoux, Bas Eickhout, Emmanuel Maurel, Edina Tóth, Delara Burkhardt, Frédériqu</w:t>
      </w:r>
      <w:r>
        <w:rPr>
          <w:lang w:val="bg-BG"/>
        </w:rPr>
        <w:t>e Ries, Marie Toussaint, Sira Rego, Hildegard Bentele, Isabel Santos, Karin Karlsbro, Francisco Guerreiro, Mick Wallace, Nathalie Colin-Oesterlé, Kathleen Van Brempt, Izaskun Bilbao Barandica, Grace O'Sullivan, José Manuel Fernandes, César Luena, Elsi Katainen, Pär Holmgren, Alexander Bernhuber, Patrizia Toia и Tilly Metz.</w:t>
      </w:r>
    </w:p>
    <w:p w:rsidR="00B86C75">
      <w:pPr>
        <w:jc w:val="center"/>
        <w:rPr>
          <w:i/>
          <w:lang w:val="bg-BG"/>
        </w:rPr>
      </w:pPr>
      <w:r>
        <w:rPr>
          <w:lang w:val="bg-BG"/>
        </w:rPr>
        <w:t>ПОД ПРЕДСЕДАТЕЛСТВОТО НА: Rainer WIELAND</w:t>
        <w:br/>
      </w:r>
      <w:r>
        <w:rPr>
          <w:i/>
          <w:lang w:val="bg-BG"/>
        </w:rPr>
        <w:t>Заместник-председател</w:t>
      </w:r>
    </w:p>
    <w:p w:rsidR="00B86C75">
      <w:pPr>
        <w:rPr>
          <w:lang w:val="bg-BG"/>
        </w:rPr>
      </w:pPr>
      <w:r>
        <w:rPr>
          <w:lang w:val="bg-BG"/>
        </w:rPr>
        <w:t>Изказаха се Maria Spyraki, Roberta Metsola, Agnès Evren и Jörgen Warborn.</w:t>
      </w:r>
    </w:p>
    <w:p w:rsidR="00B86C75">
      <w:pPr>
        <w:rPr>
          <w:lang w:val="bg-BG"/>
        </w:rPr>
      </w:pPr>
      <w:r>
        <w:rPr>
          <w:lang w:val="bg-BG"/>
        </w:rPr>
        <w:t>Изказа се по процедурата с привличане на вниманието („catch the eye“) Alex Agius Saliba, Pablo Arias Echeverría, Irena Joveva, Ellie Chowns, Kateřina Konečná, Carmen Avram и Billy Kelleher.</w:t>
      </w:r>
    </w:p>
    <w:p w:rsidR="00B86C75">
      <w:pPr>
        <w:rPr>
          <w:lang w:val="bg-BG"/>
        </w:rPr>
      </w:pPr>
      <w:r>
        <w:rPr>
          <w:lang w:val="bg-BG"/>
        </w:rPr>
        <w:t>Изказаха се Karmenu Vella и Tytti Tuppurainen.</w:t>
      </w:r>
    </w:p>
    <w:p w:rsidR="00B86C75">
      <w:pPr>
        <w:rPr>
          <w:lang w:val="bg-BG"/>
        </w:rPr>
      </w:pPr>
      <w:r>
        <w:rPr>
          <w:lang w:val="bg-BG"/>
        </w:rPr>
        <w:t>Разискването приключи.</w:t>
      </w:r>
    </w:p>
    <w:p w:rsidR="00B86C75">
      <w:pPr>
        <w:jc w:val="center"/>
        <w:rPr>
          <w:i/>
          <w:iCs/>
          <w:lang w:val="bg-BG"/>
        </w:rPr>
      </w:pPr>
      <w:r>
        <w:rPr>
          <w:i/>
          <w:iCs/>
          <w:lang w:val="bg-BG"/>
        </w:rPr>
        <w:t>(Заседанието беше прекъснато за няколко минути.)</w:t>
      </w:r>
    </w:p>
    <w:p w:rsidR="00B86C75">
      <w:pPr>
        <w:pStyle w:val="Heading1"/>
      </w:pPr>
      <w:bookmarkStart w:id="15" w:name="_Toc25312991"/>
      <w:r>
        <w:t>13. Възобновяване на заседанието</w:t>
      </w:r>
      <w:bookmarkEnd w:id="15"/>
    </w:p>
    <w:p w:rsidR="00B86C75">
      <w:pPr>
        <w:widowControl/>
        <w:spacing w:after="113"/>
      </w:pPr>
      <w:r>
        <w:t>Заседанието беше възобновено в 19.04 ч.</w:t>
      </w:r>
    </w:p>
    <w:p w:rsidR="00B86C75">
      <w:pPr>
        <w:pStyle w:val="Heading1"/>
        <w:rPr>
          <w:b w:val="0"/>
          <w:bCs w:val="0"/>
          <w:lang w:val="bg-BG"/>
        </w:rPr>
      </w:pPr>
      <w:bookmarkStart w:id="16" w:name="_Toc25312992"/>
      <w:r>
        <w:t xml:space="preserve">14. Поправки </w:t>
      </w:r>
      <w:r>
        <w:rPr>
          <w:b w:val="0"/>
          <w:bCs w:val="0"/>
          <w:lang w:val="bg-BG"/>
        </w:rPr>
        <w:t>(член 241 от Правилника за дейността) (предприети действия)</w:t>
      </w:r>
      <w:bookmarkEnd w:id="16"/>
    </w:p>
    <w:p w:rsidR="00B86C75">
      <w:pPr>
        <w:rPr>
          <w:lang w:val="bg-BG"/>
        </w:rPr>
      </w:pPr>
      <w:r>
        <w:rPr>
          <w:lang w:val="bg-BG"/>
        </w:rPr>
        <w:t>Поправките (P8_TA-PROV(2019)0366, P8_TA-PROV(2019)0361, P8_TA-PROV(2019)0346 и P8_TA-PROV(2019)0387) бяха обявени на пленарното заседание вчера (точка 9 от протокола от 16.9.2019 г.).</w:t>
      </w:r>
    </w:p>
    <w:p w:rsidR="00B86C75">
      <w:pPr>
        <w:rPr>
          <w:lang w:val="bg-BG"/>
        </w:rPr>
      </w:pPr>
      <w:r>
        <w:rPr>
          <w:lang w:val="bg-BG"/>
        </w:rPr>
        <w:t>Тъй като не са били предмет на искане за поставяне на гласуване от страна на политическа група или от членове на ЕП, чийто брой достига поне ниския праг, в съответствие с член 241, параграф 4 от Правилника за дейността, тези поправки се сичтат за приети.</w:t>
      </w:r>
    </w:p>
    <w:p w:rsidR="00B86C75">
      <w:pPr>
        <w:pStyle w:val="Heading1"/>
        <w:rPr>
          <w:b w:val="0"/>
          <w:bCs w:val="0"/>
          <w:lang w:val="bg-BG"/>
        </w:rPr>
      </w:pPr>
      <w:bookmarkStart w:id="17" w:name="_Toc25312993"/>
      <w:r>
        <w:t xml:space="preserve">15. Положението със сигурността в Буркина Фасо </w:t>
      </w:r>
      <w:r>
        <w:rPr>
          <w:b w:val="0"/>
          <w:bCs w:val="0"/>
          <w:lang w:val="bg-BG"/>
        </w:rPr>
        <w:t>(разискване)</w:t>
      </w:r>
      <w:bookmarkEnd w:id="17"/>
    </w:p>
    <w:p w:rsidR="00B86C75">
      <w:pPr>
        <w:spacing w:after="234"/>
        <w:rPr>
          <w:lang w:val="bg-BG"/>
        </w:rPr>
      </w:pPr>
      <w:r>
        <w:rPr>
          <w:lang w:val="bg-BG"/>
        </w:rPr>
        <w:t>Изявление на заместник-председателя на Комисията /върховен представител на Съюза по въпросите на външните работи и политиката на сигурност: Положението със сигурността в Буркина Фасо (2019/2812(RSP))</w:t>
      </w:r>
    </w:p>
    <w:p w:rsidR="00B86C75">
      <w:pPr>
        <w:spacing w:after="234"/>
        <w:rPr>
          <w:lang w:val="bg-BG"/>
        </w:rPr>
      </w:pPr>
      <w:r>
        <w:rPr>
          <w:lang w:val="bg-BG"/>
        </w:rPr>
        <w:t>Tytti Tuppurainen (действащ председател на Съвета)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B86C75">
      <w:pPr>
        <w:spacing w:after="234"/>
        <w:rPr>
          <w:lang w:val="bg-BG"/>
        </w:rPr>
      </w:pPr>
      <w:r>
        <w:rPr>
          <w:lang w:val="bg-BG"/>
        </w:rPr>
        <w:t>Изказаха се György Hölvényi, от името на групата PPE, Maria Arena, от името на групата S&amp;D, Lars Patrick Berg, от името на групата ID, Assita Kanko, от името на групата ECR, Carlos Zorrinho и Dominique Bilde.</w:t>
      </w:r>
    </w:p>
    <w:p w:rsidR="00B86C75">
      <w:pPr>
        <w:spacing w:after="234"/>
        <w:rPr>
          <w:lang w:val="bg-BG"/>
        </w:rPr>
      </w:pPr>
      <w:r>
        <w:rPr>
          <w:lang w:val="bg-BG"/>
        </w:rPr>
        <w:t>Изказа се по процедурата с привличане на вниманието („catch the eye“) Beata Kempa.</w:t>
      </w:r>
    </w:p>
    <w:p w:rsidR="00B86C75">
      <w:pPr>
        <w:spacing w:after="255"/>
        <w:rPr>
          <w:lang w:val="bg-BG"/>
        </w:rPr>
      </w:pPr>
      <w:r>
        <w:rPr>
          <w:lang w:val="bg-BG"/>
        </w:rPr>
        <w:t>Изказа се Tytti Tuppurainen.</w:t>
      </w:r>
    </w:p>
    <w:p w:rsidR="00B86C75">
      <w:pPr>
        <w:rPr>
          <w:lang w:val="bg-BG"/>
        </w:rPr>
      </w:pPr>
      <w:r>
        <w:rPr>
          <w:lang w:val="bg-BG"/>
        </w:rPr>
        <w:t>Разискването приключи.</w:t>
      </w:r>
    </w:p>
    <w:p w:rsidR="00B86C75">
      <w:pPr>
        <w:pStyle w:val="Heading1"/>
        <w:rPr>
          <w:b w:val="0"/>
          <w:bCs w:val="0"/>
          <w:lang w:val="bg-BG"/>
        </w:rPr>
      </w:pPr>
      <w:bookmarkStart w:id="18" w:name="_Toc25312994"/>
      <w:r>
        <w:t xml:space="preserve">16. Развитието на политическата ситуация и изпълнението на мирния процес в Колумбия </w:t>
      </w:r>
      <w:r>
        <w:rPr>
          <w:b w:val="0"/>
          <w:bCs w:val="0"/>
          <w:lang w:val="bg-BG"/>
        </w:rPr>
        <w:t>(разискване)</w:t>
      </w:r>
      <w:bookmarkEnd w:id="18"/>
    </w:p>
    <w:p w:rsidR="00B86C75">
      <w:pPr>
        <w:spacing w:after="234"/>
        <w:rPr>
          <w:lang w:val="bg-BG"/>
        </w:rPr>
      </w:pPr>
      <w:r>
        <w:rPr>
          <w:lang w:val="bg-BG"/>
        </w:rPr>
        <w:t>Изявление на заместник-председателя на Комисията /върховен представител на Съюза по въпросите на външните работи и политиката на сигурност: Развитието на политическата ситуация и изпълнението на мирния процес в Колумбия (2019/2813(RSP))</w:t>
      </w:r>
    </w:p>
    <w:p w:rsidR="00B86C75">
      <w:pPr>
        <w:spacing w:after="234"/>
        <w:rPr>
          <w:lang w:val="bg-BG"/>
        </w:rPr>
      </w:pPr>
      <w:r>
        <w:rPr>
          <w:lang w:val="bg-BG"/>
        </w:rPr>
        <w:t>Tytti Tuppurainen (действащ председател на Съвета)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B86C75">
      <w:pPr>
        <w:spacing w:after="234"/>
        <w:rPr>
          <w:lang w:val="bg-BG"/>
        </w:rPr>
      </w:pPr>
      <w:r>
        <w:rPr>
          <w:lang w:val="bg-BG"/>
        </w:rPr>
        <w:t>Изказа се Pilar del Castillo Vera, от името на групата PPE.</w:t>
      </w:r>
    </w:p>
    <w:p w:rsidR="00B86C75">
      <w:pPr>
        <w:spacing w:after="234"/>
        <w:jc w:val="center"/>
        <w:rPr>
          <w:i/>
          <w:lang w:val="bg-BG"/>
        </w:rPr>
      </w:pPr>
      <w:r>
        <w:rPr>
          <w:lang w:val="bg-BG"/>
        </w:rPr>
        <w:t>ПОД ПРЕДСЕДАТЕЛСТВОТО НА: Marcel KOLAJA</w:t>
        <w:br/>
      </w:r>
      <w:r>
        <w:rPr>
          <w:i/>
          <w:lang w:val="bg-BG"/>
        </w:rPr>
        <w:t>Заместник-председател</w:t>
      </w:r>
    </w:p>
    <w:p w:rsidR="00B86C75">
      <w:pPr>
        <w:spacing w:after="234"/>
        <w:rPr>
          <w:lang w:val="bg-BG"/>
        </w:rPr>
      </w:pPr>
      <w:r>
        <w:rPr>
          <w:lang w:val="bg-BG"/>
        </w:rPr>
        <w:t>Изказаха се Javi López, от името на групата S&amp;D, Izaskun Bilbao Barandica, от името на групата Renew, Diana Riba i Giner, от името на групата Verts/ALE, Hermann Tertsch, от името на групата ECR, Manu Pineda, от името на групата GUE/NGL, Robert Rowland, независим член на ЕП, Francisco José Millán Mon, Maria Arena, Dita Charanzová, Miguel Urbán Crespo, David Bull, Leopoldo López Gil, Caterina Chinnici, José Ramón Bauzá Díaz, Sandra Pereira, Peter van Dalen, Isabel Santos, Nacho Sánchez Amor и Jude Kirton-Darling.</w:t>
      </w:r>
    </w:p>
    <w:p w:rsidR="00B86C75">
      <w:pPr>
        <w:spacing w:after="234"/>
        <w:rPr>
          <w:lang w:val="bg-BG"/>
        </w:rPr>
      </w:pPr>
      <w:r>
        <w:rPr>
          <w:lang w:val="bg-BG"/>
        </w:rPr>
        <w:t>Изказаха се по процедурата с привличане на вниманието („catch the eye“): Ibán García Del Blanco и Clare Daly.</w:t>
      </w:r>
    </w:p>
    <w:p w:rsidR="00B86C75">
      <w:pPr>
        <w:rPr>
          <w:lang w:val="bg-BG"/>
        </w:rPr>
      </w:pPr>
      <w:r>
        <w:rPr>
          <w:lang w:val="bg-BG"/>
        </w:rPr>
        <w:t>Изказа се Tytti Tuppurainen.</w:t>
      </w:r>
    </w:p>
    <w:p w:rsidR="00B86C75">
      <w:pPr>
        <w:rPr>
          <w:lang w:val="bg-BG"/>
        </w:rPr>
      </w:pPr>
      <w:r>
        <w:rPr>
          <w:lang w:val="bg-BG"/>
        </w:rPr>
        <w:t>Разискването приключи.</w:t>
      </w:r>
    </w:p>
    <w:p w:rsidR="00B86C75">
      <w:pPr>
        <w:jc w:val="center"/>
        <w:rPr>
          <w:i/>
          <w:iCs/>
          <w:lang w:val="bg-BG"/>
        </w:rPr>
      </w:pPr>
      <w:r>
        <w:rPr>
          <w:i/>
          <w:iCs/>
          <w:lang w:val="bg-BG"/>
        </w:rPr>
        <w:t>(Заседанието беше прекъснато за няколко минути.)</w:t>
      </w:r>
    </w:p>
    <w:p w:rsidR="00B86C75">
      <w:pPr>
        <w:pStyle w:val="Heading1"/>
      </w:pPr>
      <w:bookmarkStart w:id="19" w:name="_Toc25312995"/>
      <w:r>
        <w:t>17. Възобновяване на заседанието</w:t>
      </w:r>
      <w:bookmarkEnd w:id="19"/>
    </w:p>
    <w:p w:rsidR="00B86C75">
      <w:pPr>
        <w:widowControl/>
        <w:spacing w:after="113"/>
      </w:pPr>
      <w:r>
        <w:t>Заседанието беше възобновено в 20.10 ч.</w:t>
      </w:r>
    </w:p>
    <w:p w:rsidR="00B86C75">
      <w:pPr>
        <w:pStyle w:val="Heading1"/>
        <w:rPr>
          <w:b w:val="0"/>
          <w:bCs w:val="0"/>
          <w:lang w:val="bg-BG"/>
        </w:rPr>
      </w:pPr>
      <w:bookmarkStart w:id="20" w:name="_Toc25312996"/>
      <w:r>
        <w:t xml:space="preserve">18. Положението в Кашмир </w:t>
      </w:r>
      <w:r>
        <w:rPr>
          <w:b w:val="0"/>
          <w:bCs w:val="0"/>
          <w:lang w:val="bg-BG"/>
        </w:rPr>
        <w:t>(разискване)</w:t>
      </w:r>
      <w:bookmarkEnd w:id="20"/>
    </w:p>
    <w:p w:rsidR="00B86C75">
      <w:pPr>
        <w:spacing w:after="234"/>
        <w:rPr>
          <w:lang w:val="bg-BG"/>
        </w:rPr>
      </w:pPr>
      <w:r>
        <w:rPr>
          <w:lang w:val="bg-BG"/>
        </w:rPr>
        <w:t>Изявление на заместник-председателя на Комисията /върховен представител на Съюза по въпросите на външните работи и политиката на сигурност: Положението в Кашмир (2019/2815(RSP))</w:t>
      </w:r>
    </w:p>
    <w:p w:rsidR="00B86C75">
      <w:pPr>
        <w:spacing w:after="234"/>
        <w:rPr>
          <w:lang w:val="bg-BG"/>
        </w:rPr>
      </w:pPr>
      <w:r>
        <w:rPr>
          <w:lang w:val="bg-BG"/>
        </w:rPr>
        <w:t>Tytti Tuppurainen (действащ председател на Съвета)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B86C75">
      <w:pPr>
        <w:spacing w:after="234"/>
        <w:rPr>
          <w:lang w:val="bg-BG"/>
        </w:rPr>
      </w:pPr>
      <w:r>
        <w:rPr>
          <w:lang w:val="bg-BG"/>
        </w:rPr>
        <w:t>Изказаха се Traian Băsescu, от името на групата PPE, Maria Arena, от името на групата S&amp;D, Shaffaq Mohammed, от името на групата Renew, Gina Dowding, от името на групата Verts/ALE, Bernhard Zimniok, от името на групата ID, Geoffrey Van Orden, от името на групата ECR, който отговори също така на въпрос „синя карта“ от Fulvio Martusciello, Idoia Villanueva Ruiz, от името на групата GUE/NGL, Milan Uhrík, независим член на ЕП, Richard Corbett, Phil Bennion, който отговори също така на въпрос „синя карта“ от Bernhard Zimniok, Klaus Buchner, Silvia Sardone, Nosheena Mobarik, Neena Gill, Gilles Lebreton, Ryszard Czarnecki, Giuliano Pisapia, Julie Lechanteux, Anthea McIntyre и Dinesh Dhamija.</w:t>
      </w:r>
    </w:p>
    <w:p w:rsidR="00B86C75">
      <w:pPr>
        <w:spacing w:after="234"/>
        <w:rPr>
          <w:lang w:val="bg-BG"/>
        </w:rPr>
      </w:pPr>
      <w:r>
        <w:rPr>
          <w:lang w:val="bg-BG"/>
        </w:rPr>
        <w:t>Изказаха се по процедурата с привличане на вниманието („catch the eye“): Søren Gade, Juan Fernando López Aguilar и Chris Davies.</w:t>
      </w:r>
    </w:p>
    <w:p w:rsidR="00B86C75">
      <w:pPr>
        <w:spacing w:after="255"/>
        <w:rPr>
          <w:lang w:val="bg-BG"/>
        </w:rPr>
      </w:pPr>
      <w:r>
        <w:rPr>
          <w:lang w:val="bg-BG"/>
        </w:rPr>
        <w:t>Изказа се Tytti Tuppurainen.</w:t>
      </w:r>
    </w:p>
    <w:p w:rsidR="00B86C75">
      <w:pPr>
        <w:rPr>
          <w:lang w:val="bg-BG"/>
        </w:rPr>
      </w:pPr>
      <w:r>
        <w:rPr>
          <w:lang w:val="bg-BG"/>
        </w:rPr>
        <w:t>Разискването приключи.</w:t>
      </w:r>
    </w:p>
    <w:p w:rsidR="00B86C75">
      <w:pPr>
        <w:pStyle w:val="Heading1"/>
      </w:pPr>
      <w:bookmarkStart w:id="21" w:name="_Toc25312997"/>
      <w:r>
        <w:t>19. Дневен ред на следващото заседание</w:t>
      </w:r>
      <w:bookmarkEnd w:id="21"/>
    </w:p>
    <w:p w:rsidR="00B86C75">
      <w:pPr>
        <w:rPr>
          <w:lang w:val="bg-BG"/>
        </w:rPr>
      </w:pPr>
      <w:r>
        <w:rPr>
          <w:lang w:val="bg-BG"/>
        </w:rPr>
        <w:t xml:space="preserve">Дневният ред на следващото заседание беше определен (документ „Дневен ред“ </w:t>
      </w:r>
      <w:r>
        <w:rPr>
          <w:i/>
          <w:iCs/>
          <w:lang w:val="bg-BG"/>
        </w:rPr>
        <w:t>PE 640/179/OJME</w:t>
      </w:r>
      <w:r>
        <w:rPr>
          <w:lang w:val="bg-BG"/>
        </w:rPr>
        <w:t>).</w:t>
      </w:r>
    </w:p>
    <w:p w:rsidR="00B86C75">
      <w:pPr>
        <w:pStyle w:val="Heading1"/>
      </w:pPr>
      <w:bookmarkStart w:id="22" w:name="_Toc25312998"/>
      <w:r>
        <w:t>20. Закриване на заседанието</w:t>
      </w:r>
      <w:bookmarkEnd w:id="22"/>
    </w:p>
    <w:p w:rsidR="00B86C75">
      <w:pPr>
        <w:rPr>
          <w:lang w:val="bg-BG"/>
        </w:rPr>
      </w:pPr>
      <w:r>
        <w:rPr>
          <w:lang w:val="bg-BG"/>
        </w:rPr>
        <w:t>Заседанието беше закрито в 20.57 ч.</w:t>
      </w:r>
    </w:p>
    <w:p w:rsidR="00B86C75">
      <w:pPr>
        <w:rPr>
          <w:lang w:val="bg-BG"/>
        </w:rPr>
      </w:pPr>
    </w:p>
    <w:p w:rsidR="00B86C75">
      <w:pPr>
        <w:rPr>
          <w:lang w:val="bg-BG"/>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B86C75">
            <w:pPr>
              <w:pStyle w:val="TableContents"/>
              <w:widowControl/>
              <w:spacing w:after="283"/>
              <w:jc w:val="center"/>
              <w:rPr>
                <w:lang w:val="bg-BG"/>
              </w:rPr>
            </w:pPr>
            <w:r>
              <w:rPr>
                <w:lang w:val="bg-BG"/>
              </w:rPr>
              <w:t>Klaus Welle</w:t>
            </w:r>
          </w:p>
        </w:tc>
        <w:tc>
          <w:tcPr>
            <w:tcW w:w="4820" w:type="dxa"/>
          </w:tcPr>
          <w:p w:rsidR="00B86C75">
            <w:pPr>
              <w:jc w:val="center"/>
              <w:rPr>
                <w:lang w:val="bg-BG"/>
              </w:rPr>
            </w:pPr>
            <w:r>
              <w:rPr>
                <w:lang w:val="bg-BG"/>
              </w:rPr>
              <w:t>Dita Charanzová</w:t>
            </w:r>
          </w:p>
        </w:tc>
      </w:tr>
      <w:tr>
        <w:tblPrEx>
          <w:tblW w:w="0" w:type="auto"/>
          <w:tblLayout w:type="fixed"/>
          <w:tblCellMar>
            <w:left w:w="0" w:type="dxa"/>
            <w:right w:w="0" w:type="dxa"/>
          </w:tblCellMar>
          <w:tblLook w:val="0000"/>
        </w:tblPrEx>
        <w:trPr>
          <w:cantSplit/>
        </w:trPr>
        <w:tc>
          <w:tcPr>
            <w:tcW w:w="4818" w:type="dxa"/>
          </w:tcPr>
          <w:p w:rsidR="00B86C75">
            <w:pPr>
              <w:jc w:val="center"/>
              <w:rPr>
                <w:i/>
                <w:iCs/>
                <w:lang w:val="bg-BG"/>
              </w:rPr>
            </w:pPr>
            <w:r>
              <w:rPr>
                <w:i/>
                <w:iCs/>
                <w:lang w:val="bg-BG"/>
              </w:rPr>
              <w:t>Генерален секретар</w:t>
            </w:r>
          </w:p>
        </w:tc>
        <w:tc>
          <w:tcPr>
            <w:tcW w:w="4820" w:type="dxa"/>
          </w:tcPr>
          <w:p w:rsidR="00B86C75">
            <w:pPr>
              <w:jc w:val="center"/>
              <w:rPr>
                <w:i/>
                <w:iCs/>
                <w:lang w:val="bg-BG"/>
              </w:rPr>
            </w:pPr>
            <w:r>
              <w:rPr>
                <w:i/>
                <w:iCs/>
                <w:lang w:val="bg-BG"/>
              </w:rPr>
              <w:t>Заместник-председател</w:t>
            </w:r>
          </w:p>
        </w:tc>
      </w:tr>
    </w:tbl>
    <w:p w:rsidR="00B86C75">
      <w:pPr>
        <w:sectPr>
          <w:footerReference w:type="default" r:id="rId8"/>
          <w:footerReference w:type="first" r:id="rId9"/>
          <w:pgSz w:w="11906" w:h="16837"/>
          <w:pgMar w:top="567" w:right="1134" w:bottom="1134" w:left="1134" w:header="720" w:footer="720" w:gutter="0"/>
          <w:cols w:space="720"/>
          <w:titlePg/>
          <w:docGrid w:linePitch="360"/>
        </w:sectPr>
      </w:pPr>
    </w:p>
    <w:p w:rsidR="00B86C75"/>
    <w:p w:rsidR="00B86C75">
      <w:pPr>
        <w:pStyle w:val="Heading1"/>
        <w:jc w:val="center"/>
        <w:rPr>
          <w:u w:val="single"/>
          <w:lang w:val="bg-BG"/>
        </w:rPr>
      </w:pPr>
      <w:bookmarkStart w:id="23" w:name="_Toc25312999"/>
      <w:r>
        <w:rPr>
          <w:u w:val="single"/>
          <w:lang w:val="bg-BG"/>
        </w:rPr>
        <w:t>ПРИСЪСТВЕН СПИСЪК</w:t>
      </w:r>
      <w:bookmarkEnd w:id="23"/>
    </w:p>
    <w:p w:rsidR="00B86C75">
      <w:pPr>
        <w:widowControl/>
        <w:spacing w:after="113"/>
      </w:pPr>
    </w:p>
    <w:p w:rsidR="00B86C75">
      <w:pPr>
        <w:jc w:val="center"/>
        <w:rPr>
          <w:lang w:val="bg-BG"/>
        </w:rPr>
      </w:pPr>
      <w:r>
        <w:rPr>
          <w:lang w:val="bg-BG"/>
        </w:rPr>
        <w:t>17.9.2019</w:t>
      </w:r>
    </w:p>
    <w:p w:rsidR="00B86C75">
      <w:pPr>
        <w:widowControl/>
        <w:spacing w:after="113"/>
      </w:pPr>
    </w:p>
    <w:p w:rsidR="00B86C75">
      <w:pPr>
        <w:jc w:val="both"/>
        <w:rPr>
          <w:lang w:val="bg-BG"/>
        </w:rPr>
      </w:pPr>
      <w:r>
        <w:rPr>
          <w:lang w:val="bg-BG"/>
        </w:rPr>
        <w:t>Присъстващи:</w:t>
      </w:r>
    </w:p>
    <w:p w:rsidR="00B86C75">
      <w:pPr>
        <w:widowControl/>
        <w:spacing w:after="113"/>
      </w:pPr>
    </w:p>
    <w:p w:rsidR="00B86C75">
      <w:pPr>
        <w:jc w:val="both"/>
        <w:rPr>
          <w:lang w:val="bg-BG"/>
        </w:rPr>
      </w:pPr>
      <w:r>
        <w:rPr>
          <w:lang w:val="bg-BG"/>
        </w:rPr>
        <w:t>Адемов, Adinolfi Isabella, Adinolfi Matteo, Agius Saliba, Aguilar, Aguilera, Ainslie, Al-Sahlani, Александр</w:t>
      </w:r>
      <w:r>
        <w:rPr>
          <w:lang w:val="bg-BG"/>
        </w:rPr>
        <w:t>ов Йорданов, Alfonsi, Алиева-Вели, Amaro, Ameriks,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Beck, Beer, Beghin, Beigneux, Belka, Bellamy, Benea, Benifei, Benjumea Benjumea, Bennion, Beňová, Bentele, Berendsen, Berg, Berger, Bergkvist, Bernhuber, Biedroń, Bielan, Bijoux, Bilbao Barandica, Bilčík, Bilde, Bischoff, Biteau, Bizzotto, Björk, Blaga, Blaško, Blinkevičiūtė, Bloss, Bocskor,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Carvalhais, Carvalho, Casa, Casanova, Caspary, del Castillo Vera, Cavazzini, Cerdas, Chabaud, Chaibi, Charanzová, Chastel, Chinnici, Chowns, Christensen, Christoforou, Cimoszewicz, Ciocca, Ciuhodaru, Číž, Colin-Oesterlé, Collard, Conte, Corbett, Cormand, Corrao, Cozzolino, Crețu, Cseh, Cuffe, Cutajar, Czarnecki, van Dalen, Dalli, Daly, D'Amato, Dance, Danielsson, Danjean, Danti, Da Re, Daubney, David, Davies, De Castro, Decerle, Delbos-Corfield, Deli, Delli, De Lucy, De Man, Demirel, Deparnay-Grunenberg, De Sutter, Deutsch, Dhamija, Didier, Dlabajová, Dobrev, Dodds, Doleschal, Donáth, Donato, Dorfmann, Dowding, Dreosto, Duda, Düpont, Durá Ferrandis, Durand, Ďuriš Nicholsonová, Джамбазки, Edtstadler, Ehler, Eickhout, England Kerr, Eppink, Ernst, Eroglu, Ertug, Estaràs Ferragut, Evans, Evi, Evren, Fajon, Falcă, Farage, Farreng, Federley, Ferber, Fernandes, Fernández, Ferrandino, Ferrara, Ferreira, Fest, Fidanza, Fiocchi, Fitto, Fitzgerald, Flanagan, Flego, Forman, Fotyga, Fourlas, Fox, Fragkos, Frankowski, Franssen, Franz, Fritzon, Fuglsang, Furore, Gade, Gahler, Gál, Gálvez Muñoz, Gamon, García Del Blanco, García-Margallo y Marfil, García Muñoz, García Pérez, Gardiazabal Rubial, Garicano, Garraud, Gebhardt, Geese, Georgiou, Georgoulis, Geuking, Ghinea, Giarrusso, Gibson, Giegold, Gieseke, Gill Neena, Gill Nathan, Glancy, Glück, Glucksmann, Goerens, González, González Casares, González Pons, Grant, Grapini, Gregorová, Griffin, Griset, Grošelj, Grudler, Gualmini, Guerreiro, Guetta, Guillaume, Gusmão, Guteland, Gyöngyösi, Győri, Habib, Hahn Svenja, Hahn Henrike, Haider, Hajšel, Hakkarainen, Halicki, Hannan, Hansen, Harris, Häusling, Hautala, Hava, Hayer, Hazekamp, Heaver, Heide, Heinäluoma, Herbst, Herzberger-Fofana, Hetman, Hidvéghi, Hlaváček, Hohlmeier, Hojsík, Holmgren, Hölvényi, Homs Ginel, Hook, Hortefeux, Howarth, Христов, Hübner, Huhtasaari, Huitema, Ijabs, Incir, in 't Veld, Jadot, Jahr, Jakeliūnas, Jaki, Jamet, Járóka, Jarubas, Jones, Jongerius, Jordan, Joveva, Juknevičienė, Jurgiel, Jurzyca, Juvin, Kalinowski, Kaljurand, Kalniete, Kammerevert, Кънев, Kanko, Karas, Karleskind, Karlsbro, Karski, Katainen, Kefalogiannis, Kelleher, Keller Fabienne, Kelly, Kempa, Kirton-Darling, Kizilyürek, Kloc, Knotek, Kofod, Kohut, Kokalari, Kokkalis, Kolaja, Kolakušić, Konečná, Konstantinou, Kopacz, Kopcińska, Körner, Kósa, Köster, Kouloglou, Kountoura, Kovařík, Ковачев, Krah, Krasnodębski, Krehl, Kruk, Kubilius, Kuhnke, Kuhs, Kumpula-Natri, Kuźmiuk, Kympouropoulos, Kyrtsos, Кючюк, Lagodinsky, Lagos, Lalucq, Lange, de Lange, Langensiepen, Laporte, Larrouturou, Lebreton, Lechanteux, Lega,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Martusciello, Matias, Matić, Maurel, Mavrides, Maxová, Mayer, Mazurek, Mažylis, Meimarakis, Melbārde, Melchior, Mélin, Melo, Metsola, Metz, Meuthen, Михайлова, Mikser, Milazzo, Millán Mon, Miller, Mobarik, Modig, Mohammed, Molnár, Monteith, Montserrat, Moraes, Morano, Moreno Sánchez, Moretti, Mortler, Możdżanowska, Müller, Mummery, Nagtegaal, Nethsingha, Neumann, Neuser, Newton Dunn, Nica, Niebler, Niedermayer, Nienaß, Niinistö, Nikolaou-Alavanos, Noichl, Novak, Новаков, O'Sullivan, Oetjen, Olbrycht, Olekas, Olivier, Omarjee, Overgaard Nielsen, Paet, Pagazaurtundúa, Palmer, Panza, Papadakis Demetris, Papadakis Kostas, Papadimoulis, Patriciello, Patten, Paulus, Pedicini, Peeters, Pekkarinen, Peksa, Pelletier, Пенкова, Pereira Sandra, Pereira Lídia, Peter-Hansen, Petersen, Phillips Alexandra Louise Rosenfield, Phillips Alexandra Lesley, Picierno, Picula, Pieper, Pietikäinen, Pignedoli, Pineda, Pirbakas, Piri, Pisapia, Pîslaru, Pizarro, Plumb, Polčák, Polfjärd, Pollák, Poręba, Pospíšil, Procaccini, Pugh, Radačovský, Радев, Radtke, Rafaela, Rafalska, Rangel, Rees-Mogg, Regimenti, Regner, Rego, Reil, Reintke, Ressler, Riba i Giner, Ries, Rinaldi, Riquet,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Слабаков , Smeriglio, Smith, Šojdrová, Sokol, Solís Pérez, Sonneborn, Spurek, Spyraki, Stancanelli, Станишев, Stedman-Bryce, Štefanec, Ştefănuță, Stegrud, Strik, Strugariu, Šuica, Szájer, Szydło, Tajani, Tarabella, Tardino, Tax, Tennant, Terheş, Tertsch, Thaler, Thun und Hohenstein, Tice, Tinagli, Tobé, Tobiszowski, Toia, Tolleret, Tomac, Tomaševski, Tomašić, Tomc,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Vind, Virkkunen, Витанов, Vollath, Von Cramon-Taubadel, Vondra, Von Wiese, Voss, Vozemberg-Vrionidi, Vrecionová, Vuolo, Wallace, Walsh, Walsmann, Warborn, Ward, Waszczykowski, Weimers, Weiss, Wells, Widdecombe, Wieland, Wiener, Wiezik, Winkler, Winzig, Wiseler-Lima, Wiśniewska, Wölken, Wolters, Yenbou, Yon-Courtin, Zacharopoulou, Zagorakis, Zahradil, Zalewska, Zambelli, Zanni, Zarzalejos, Ždanoka, Zdechovský, Zīle, Zimniok, Złotowski, Zoido Álvarez, Zorrinho, Zovko, Zullo, Zver</w:t>
      </w:r>
    </w:p>
    <w:p w:rsidR="00B86C75">
      <w:pPr>
        <w:widowControl/>
        <w:spacing w:after="113"/>
      </w:pPr>
    </w:p>
    <w:p w:rsidR="00B86C75">
      <w:pPr>
        <w:jc w:val="both"/>
        <w:rPr>
          <w:lang w:val="bg-BG"/>
        </w:rPr>
      </w:pPr>
      <w:r>
        <w:rPr>
          <w:lang w:val="bg-BG"/>
        </w:rPr>
        <w:t>Извинени:</w:t>
      </w:r>
    </w:p>
    <w:p w:rsidR="00B86C75">
      <w:pPr>
        <w:jc w:val="both"/>
        <w:rPr>
          <w:lang w:val="bg-BG"/>
        </w:rPr>
        <w:sectPr>
          <w:footerReference w:type="default" r:id="rId10"/>
          <w:footerReference w:type="first" r:id="rId11"/>
          <w:pgSz w:w="11906" w:h="16837"/>
          <w:pgMar w:top="567" w:right="1134" w:bottom="1134" w:left="1134" w:header="720" w:footer="720" w:gutter="0"/>
          <w:cols w:space="720"/>
          <w:titlePg/>
          <w:docGrid w:linePitch="360"/>
        </w:sectPr>
      </w:pPr>
      <w:r>
        <w:rPr>
          <w:lang w:val="bg-BG"/>
        </w:rPr>
        <w:t>Castaldo, Ceccardi, Freund, Ochojska, Toom</w:t>
      </w:r>
    </w:p>
    <w:p w:rsidR="00B86C75"/>
    <w:p w:rsidR="00B86C75">
      <w:pPr>
        <w:pStyle w:val="Heading1"/>
      </w:pPr>
      <w:bookmarkStart w:id="24" w:name="_Toc25313000"/>
      <w:r>
        <w:t>Приложение 1 - Назначаване на председателя на Европейската централна банка - кандидат: г-жа Кристин Лагард</w:t>
      </w:r>
      <w:bookmarkEnd w:id="24"/>
    </w:p>
    <w:p w:rsidR="00B86C75">
      <w:pPr>
        <w:spacing w:after="120"/>
        <w:rPr>
          <w:lang w:val="bg-BG"/>
        </w:rPr>
      </w:pPr>
    </w:p>
    <w:p w:rsidR="00B86C75">
      <w:pPr>
        <w:spacing w:after="120"/>
        <w:jc w:val="center"/>
        <w:rPr>
          <w:lang w:val="bg-BG"/>
        </w:rPr>
      </w:pPr>
      <w:r>
        <w:rPr>
          <w:lang w:val="bg-BG"/>
        </w:rPr>
        <w:t>СПИСЪК НА ЧЛЕНОВЕТЕ НА ЕП, УЧАСТВАЛИ В ГЛАСУВАНЕТО</w:t>
      </w:r>
    </w:p>
    <w:p w:rsidR="00B86C75">
      <w:pPr>
        <w:rPr>
          <w:lang w:val="bg-BG"/>
        </w:rPr>
      </w:pPr>
    </w:p>
    <w:p w:rsidR="00B86C75">
      <w:pPr>
        <w:rPr>
          <w:lang w:val="bg-BG"/>
        </w:rPr>
      </w:pPr>
      <w:r>
        <w:rPr>
          <w:lang w:val="bg-BG"/>
        </w:rPr>
        <w:t>ECR:</w:t>
        <w:br/>
        <w:t>Aguilar, Bielan, Bourgeois, Brudziński, Buxadé Villalba, Czarnecki, Dzhambazki, Eppink, Fidanza, Fiocchi, Fitto, Fotyga, Fragkos, Geuking, Hannan, Jaki, Jurgiel, Jurzyca, Kanko, Karski, Kempa, Kloc, Kopcińska, Krasnodębski, Kruk, Kuźmiuk, Legutko, Lundgren, McIntyre, Mazurek, Melbārde, Mobarik, Możdżanowska, Poręba, Procaccini, Rafalska, Roos, Ruissen, Rzońca, Saryusz-Wolski, Slabakov, Stancanelli, Stegrud, Tertsch, Tobiszowski, Tomaševski, Tomašić, Tošenovský, Van Orden, Van Overtveldt, Vondra, Vrecionová, Waszczykowski, Weimers, Wiśniewska, Zahradil, Zalewska, Zīle</w:t>
      </w:r>
    </w:p>
    <w:p w:rsidR="00B86C75">
      <w:pPr>
        <w:rPr>
          <w:lang w:val="bg-BG"/>
        </w:rPr>
      </w:pPr>
      <w:r>
        <w:rPr>
          <w:lang w:val="bg-BG"/>
        </w:rPr>
        <w:t>GUE/NGL:</w:t>
        <w:br/>
        <w:t>Anderson Martina, Aubry, Barrena Arza, Björk, Bompard, Botenga, Buschmann, Carthy, Chaibi, Daly, Demirel, Ferreira, Figueiredo Nobre De Gusmão, Flanagan, Georgiou, Hazekamp, Kizilyürek, Kokkalis, Konečná, Kouloglou, Kountoura, Matias, Maurel, Michels, Modig, Omarjee, Papadimoulis, Pelletier, Pereira Sandra, Pineda, Rego, Rodríguez Palop, Schirdewan, Scholz, Urbán Crespo, Villanueva Ruiz, Villumsen, Wallace</w:t>
      </w:r>
    </w:p>
    <w:p w:rsidR="00B86C75">
      <w:pPr>
        <w:rPr>
          <w:lang w:val="bg-BG"/>
        </w:rPr>
      </w:pPr>
      <w:r>
        <w:rPr>
          <w:lang w:val="bg-BG"/>
        </w:rPr>
        <w:t>ID:</w:t>
        <w:br/>
        <w:t>Adinolfi Matteo, Anderson Christine, Androuët, Annemans, Baldassarre, Bardella, Basso, Bay, Beck, Beigneux, Berg, Bilde, Bizzotto, Blaško, Bonfrisco, Borchia, Bruna, Buchheit, Campomenosi, Caroppo, Casanova, Ciocca, Collard, Conte, Da Re, David, De Man, Donato, Dreosto, Fest, Garraud, Grant, Griset, Haider, Hakkarainen, Huhtasaari, Jamet, Kofod, Kuhs, Lancini, Laporte, Lebreton, Lechanteux, Limmer, Lizzi, Madison, Mariani, Mayer, Mélin, Meuthen, Panza, Regimenti, Rinaldi, Rivière, Rougé, Sardone, Tardino, Tovaglieri, Vandendriessche, Vilimsky, Vuolo, Zambelli, Zimniok</w:t>
      </w:r>
    </w:p>
    <w:p w:rsidR="00B86C75">
      <w:pPr>
        <w:rPr>
          <w:lang w:val="bg-BG"/>
        </w:rPr>
      </w:pPr>
      <w:r>
        <w:rPr>
          <w:lang w:val="bg-BG"/>
        </w:rPr>
        <w:t>NI:</w:t>
        <w:br/>
        <w:t>Adinolfi Isabella, Beghin, Bull, Bullock, Corrao, D'Amato, Daubney, De Lucy, Dodds, England Kerr, Evi, Farage, Ferrara, Forman, Fox, Furore, Giarrusso, Gill Nathan, Glancy, Gyöngyösi, Habib, Harris, Heaver, Jordan, Kolakušić, Konstantinou, Lagos, Longworth, Lowe, Monteith, Mummery, Nikolaou-Alavanos, Overgaard Nielsen, Papadakis Kostas, Patten, Pedicini, Phillips Alexandra Lesley, Pignedoli, Pugh, Radačovský, Rees-Mogg, Rondinelli, Rowland, Sinčić, Sonneborn, Stedman-Bryce, Tennant, Tice, Uhrík, Wells, Widdecombe, Zullo</w:t>
      </w:r>
    </w:p>
    <w:p w:rsidR="00B86C75">
      <w:pPr>
        <w:rPr>
          <w:lang w:val="bg-BG"/>
        </w:rPr>
      </w:pPr>
      <w:r>
        <w:rPr>
          <w:lang w:val="bg-BG"/>
        </w:rPr>
        <w:t>PPE:</w:t>
        <w:br/>
        <w:t>Ademov, Alexandrov Yordanov, Arias Echeverría, Arimont, Arłukowicz, Asimakopoulou, Băsescu, Bellamy, Benjumea, Berendsen, Berger, Bernhuber, Bilčík, Blaga, Bocskor, Bogovič, Buda, Buşoi, Buzek, Carvalho, Casa, Caspary, del Castillo Vera, Christoforou, Colin-Oesterlé, van Dalen, Danjean, Deli, Didier, Doleschal, Dorfmann, Duda, Düpont, Edtstadler, Estaràs Ferragut, Evren, Falcă, Ferber, Fitzgerald, Fourlas, Franssen, Gahler, García-Margallo y Marfil, Gieseke, González Pons, Győri, Halicki, Hansen, Hava, Herbst, Hetman, Hidvéghi, Hohlmeier, Hölvényi, Hortefeux, Hübner, Jahr, Jarubas, Juknevičienė, Kalinowski, Kalniete, Kelly, Kokalari, Kopacz, Kósa, Kovatchev, Kubilius, Kympouropoulos, Kyrtsos, de Lange, Lega, Lenaers, Lewandowski, Liese, Lins, Łukacijewska, Lutgen, McAllister, McGuinness, Maldeikienė, Marinescu, Martusciello, Mažylis, Meimarakis, Melo, Metsola, Milazzo, Millán Mon, Montserrat, Morano, Mortler, Niedermayer, Novak, Novakov, Olbrycht, Patriciello, Peeters, Pieper, Pietikäinen, Polčák, Polfjärd, Pollák, Pospíšil, Radev, Radtke, Ressler, Salini, Sander, Sarvamaa, Schmiedtbauer, Schneider, Schreijer-Pierik, Schulze, Seekatz, Simon, Skyttedal, Šojdrová, Sokol, Spyraki, Štefanec, Šuica, Szájer, Tajani, Thaler, Thun und Hohenstein, Tobé, Tomc, Tóth, Trócsányi, Vaidere, Vălean, Verheyen, Vincze, Virkkunen, Voss, Vozemberg-Vrionidi, Walsh, Walsmann, Warborn, Weber, Wieland, Wiezik, Winkler, Winzig, Wiseler-Lima, Zagorakis, Zarzalejos Nieto, Zoido Álvarez, Zovko, Zver</w:t>
      </w:r>
    </w:p>
    <w:p w:rsidR="00B86C75">
      <w:pPr>
        <w:rPr>
          <w:lang w:val="bg-BG"/>
        </w:rPr>
      </w:pPr>
      <w:r>
        <w:rPr>
          <w:lang w:val="bg-BG"/>
        </w:rPr>
        <w:t>Renew:</w:t>
        <w:br/>
        <w:t>Alieva-Veli, Ansip, Auštrevičius, Azmani, Bauzá Díaz, Beer, Bennion, Bijoux, Bilbao Barandica, Botoş, Boyer, Brophy, Brunet, Bunting, Cañas, Chabaud, Charanzová, Chastel, Christensen, Cseh, Davies, Decerle, Dlabajová, Donáth, Durand, Eroglu, Farreng, Federley, Flego, Gade, Gamon, Garicano, Ghinea, Gibson, Goerens, Grošelj, Grudler, Hahn Svenja, Hayer, Hlaváček, Hojsík, Hook, Huitema, Ijabs, in 't Veld, Joveva, Karleskind, Karlsbro, Katainen, Kelleher, Knotek, Körner, Kovařík, Kyuchyuk, Loiseau, Løkkegaard, Maxová, Melchior, Mihaylova, Müller, Nagtegaal, Nethsingha, Newton Dunn, Oetjen, Paet, Pekkarinen, Petersen, Pîslaru, Rafaela, Ries, Riquet, Rodríguez Ramos, Schreinemacher, Séjourné, Semedo, Šimečka, Solís Pérez, Ştefănuță, Strugariu, Tolleret, Torvalds, Trillet-Lenoir, Tudorache, Uspaskich, Vautmans, Vedrenne, Verhofstadt, Von Wiese, Yon-Courtin</w:t>
      </w:r>
    </w:p>
    <w:p w:rsidR="00B86C75">
      <w:pPr>
        <w:rPr>
          <w:lang w:val="bg-BG"/>
        </w:rPr>
      </w:pPr>
      <w:r>
        <w:rPr>
          <w:lang w:val="bg-BG"/>
        </w:rPr>
        <w:t>S&amp;D:</w:t>
        <w:br/>
        <w:t>Agius Saliba, Aguilera, Ameriks, Andrieu, Androulakis, Ara-Kovács, Arena, Balt, Barley, Bartolo, Belka, Benea, Benifei, Beňová, Bergkvist, Biedroń, Bischoff, Blinkevičiūtė, Bonafè, Borzan, Brglez, Bullmann, Burkhardt, Carvalhais, Cerdas, Chinnici, Cimoszewicz, Corbett, Cozzolino, Cutajar, Dalli, Dance, Danielsson, Danti, De Castro, Dobrev, Durá Ferrandis, Ertug, Fajon, Fernández, Ferrandino, Fritzon, Fuglsang, Gálvez Muñoz, García Muñoz, García Pérez, Gardiazabal Rubial, Gebhardt, Gill Neena, Glucksmann, González Casares, Grapini, Griffin, Gualmini, Guillaume, Guteland, Hajšel, Heide, Heinäluoma, Homs Ginel, Howarth, Incir, Jones, Jongerius, Kaljurand, Kammerevert, Kirton-Darling, Kohut, Köster, Krehl, Kumpula-Natri, Lalucq, Lange, Leitão Marques, Liberadzki, López, López Aguilar, Luena, Majorino, Maldonado López, Marques Margarida, Marques Pedro, Matić, Mavrides, Mikser, Miller, Molnár, Moraes, Moreno Sánchez, Moretti, Neuser, Nica, Noichl, Olekas, Palmer, Papadakis Demetris, Penkova, Picierno, Picula, Piri, Pisapia, Pizarro, Plumb, Rodríguez-Piñero, Rónai, Sánchez Amor, Sant, Santos, Schaldemose, Schieder, Schmit, Schuster, Sidl, Silva Pereira, Sippel, Smeriglio, Spurek, Tarabella, Tax, Terheş, Tinagli, Toia, Tudose, Ujhelyi, Ušakovs, Van Brempt, Vind, Vollath, Ward, Wölken, Wolters, Zorrinho</w:t>
      </w:r>
    </w:p>
    <w:p w:rsidR="00B86C75">
      <w:pPr>
        <w:rPr>
          <w:lang w:val="bg-BG"/>
        </w:rPr>
        <w:sectPr>
          <w:footerReference w:type="default" r:id="rId12"/>
          <w:footerReference w:type="first" r:id="rId13"/>
          <w:pgSz w:w="11906" w:h="16837"/>
          <w:pgMar w:top="567" w:right="1134" w:bottom="1134" w:left="1134" w:header="720" w:footer="720" w:gutter="0"/>
          <w:cols w:space="720"/>
          <w:titlePg/>
          <w:docGrid w:linePitch="360"/>
        </w:sectPr>
      </w:pPr>
      <w:r>
        <w:rPr>
          <w:lang w:val="bg-BG"/>
        </w:rPr>
        <w:t>Verts/ALE:</w:t>
        <w:br/>
        <w:t>Alfonsi, Andresen, Auken, Biteau, Bloss, Breyer, Bricmont, Buchner, Bütikofer, Cavazzini, Chowns, Cormand, Cuffe, Delbos-Corfield, Delli, Deparnay-Grunenberg, De Sutter, Dowding, Eickhout, Evans, Franz, Geese, Giegold, Gregorová, Guerreiro, Hahn Henrike, Häusling, Hautala, Herzberger-Fofana, Holmgren, Jadot, Jakeliūnas, Kolaja, Lagodinsky, Lamberts, Langensiepen, McLeod, Magid, Marquardt, Metz, Neumann, Nienaß, Niinistö, O'Sullivan, Paulus, Peksa, Peter-Hansen, Phillips Alexandra Louise Rosenfield, Reintke, Riba i Giner, Rivasi, Roose, Ropė, Rowett, Satouri, Scott Cato, Semsrott, Smith, Strik, Toussaint, Urtasun, Vana, Van Sparrentak, Von Cramon-Taubadel, Wiener, Yenbou, Ždanoka</w:t>
      </w:r>
    </w:p>
    <w:p w:rsidR="00B86C75"/>
    <w:p w:rsidR="00B86C75">
      <w:pPr>
        <w:pStyle w:val="Heading1"/>
      </w:pPr>
      <w:bookmarkStart w:id="25" w:name="_Toc25313001"/>
      <w:r>
        <w:t>Приложение 2 - Назначаване на заместник-председателя на Надзорния съвет на Европейската централна банка</w:t>
      </w:r>
      <w:bookmarkEnd w:id="25"/>
    </w:p>
    <w:p w:rsidR="00B86C75">
      <w:pPr>
        <w:spacing w:after="120"/>
        <w:rPr>
          <w:lang w:val="bg-BG"/>
        </w:rPr>
      </w:pPr>
    </w:p>
    <w:p w:rsidR="00B86C75">
      <w:pPr>
        <w:spacing w:after="120"/>
        <w:jc w:val="center"/>
        <w:rPr>
          <w:lang w:val="bg-BG"/>
        </w:rPr>
      </w:pPr>
      <w:r>
        <w:rPr>
          <w:lang w:val="bg-BG"/>
        </w:rPr>
        <w:t>СПИСЪК НА ЧЛЕНОВЕТЕ НА ЕП, УЧАСТВАЛИ В ГЛАСУВАНЕТО</w:t>
      </w:r>
    </w:p>
    <w:p w:rsidR="00B86C75">
      <w:pPr>
        <w:jc w:val="center"/>
        <w:rPr>
          <w:lang w:val="bg-BG"/>
        </w:rPr>
      </w:pPr>
    </w:p>
    <w:p w:rsidR="00B86C75">
      <w:pPr>
        <w:rPr>
          <w:lang w:val="bg-BG"/>
        </w:rPr>
      </w:pPr>
      <w:r>
        <w:rPr>
          <w:lang w:val="bg-BG"/>
        </w:rPr>
        <w:t>ECR:</w:t>
        <w:br/>
        <w:t>Aguilar, Bielan, Bourgeois, Brudziński, Buxadé Villalba, Czarnecki, Ďuriš Nicholsonová, Eppink, Fidanza, Fiocchi, Fitto, Fotyga, Fragkos, Geuking, Hannan, Jaki, Jurgiel, Jurzyca, Kanko, Karski, Kempa, Kloc, Kopcińska, Krasnodębski, Kruk, Kuźmiuk, Legutko, Lundgren, McIntyre, Mazurek, Melbārde, Mobarik, Możdżanowska, Poręba, Procaccini, Rafalska, Roos, Ruissen, Rzońca, Saryusz-Wolski, Slabakov, Stancanelli, Stegrud, Szydło, Tertsch, Tobiszowski, Tomaševski, Tomašić, Tošenovský, Van Orden, Van Overtveldt, Vondra, Vrecionová, Waszczykowski, Weimers, Wiśniewska, Zahradil, Zalewska, Zīle</w:t>
      </w:r>
    </w:p>
    <w:p w:rsidR="00B86C75">
      <w:pPr>
        <w:rPr>
          <w:lang w:val="bg-BG"/>
        </w:rPr>
      </w:pPr>
      <w:r>
        <w:rPr>
          <w:lang w:val="bg-BG"/>
        </w:rPr>
        <w:t>GUE/NGL:</w:t>
        <w:br/>
        <w:t>Anderson Martina, Arvanitis, Aubry, Barrena Arza, Björk, Bompard, Botenga, Buschmann, Carthy, Chaibi, Daly, Demirel, Ferreira, Figueiredo Nobre De Gusmão, Flanagan, Georgiou, Georgoulis, Hazekamp, Kizilyürek, Kokkalis, Konečná, Kouloglou, Kountoura, Matias, Maurel, Michels, Modig, Omarjee, Papadimoulis, Pelletier, Pereira Sandra, Pineda, Rego, Rodríguez Palop, Schirdewan, Scholz, Urbán Crespo, Villanueva Ruiz, Villumsen, Wallace</w:t>
      </w:r>
    </w:p>
    <w:p w:rsidR="00B86C75">
      <w:pPr>
        <w:rPr>
          <w:lang w:val="bg-BG"/>
        </w:rPr>
      </w:pPr>
      <w:r>
        <w:rPr>
          <w:lang w:val="bg-BG"/>
        </w:rPr>
        <w:t>ID:</w:t>
        <w:br/>
        <w:t>Adinolfi Matteo, Anderson Christine, Androuët, Annemans, Baldassarre, Bardella, Basso, Bay, Beck, Beigneux, Berg, Bilde, Bizzotto, Blaško, Bonfrisco, Borchia, Bruna, Buchheit, Campomenosi, Caroppo, Casanova, Ciocca, Collard, Conte, Da Re, David, De Man, Donato, Dreosto, Fest, Garraud, Grant, Griset, Haider, Hakkarainen, Huhtasaari, Jamet, Juvin, Kofod, Krah, Kuhs, Lancini, Laporte, Lebreton, Lechanteux, Limmer, Lizzi, Madison, Mariani, Mayer, Mélin, Meuthen, Panza, Regimenti, Reil, Rinaldi, Rivière, Rougé, Sardone, Tardino, Tovaglieri, Vandendriessche, Vilimsky, Vuolo, Zambelli, Zanni, Zimniok</w:t>
      </w:r>
    </w:p>
    <w:p w:rsidR="00B86C75">
      <w:pPr>
        <w:rPr>
          <w:lang w:val="bg-BG"/>
        </w:rPr>
      </w:pPr>
      <w:r>
        <w:rPr>
          <w:lang w:val="bg-BG"/>
        </w:rPr>
        <w:t>NI:</w:t>
        <w:br/>
        <w:t>Adinolfi Isabella, Beghin, Bull, Bullock, Corrao, D'Amato, Daubney, De Lucy, Dodds, England Kerr, Evi, Farage, Ferrara, Forman, Fox, Furore, Giarrusso, Gill Nathan, Glancy, Gyöngyösi, Habib, Harris, Heaver, Jordan, Kolakušić, Konstantinou, Lagos, Longworth, Lowe, Monteith, Mummery, Nikolaou-Alavanos, Overgaard Nielsen, Papadakis Kostas, Patten, Pedicini, Phillips Alexandra Lesley, Pignedoli, Pugh, Radačovský, Rees-Mogg, Rondinelli, Rowland, Sinčić, Sonneborn, Stedman-Bryce, Tennant, Tice, Uhrík, Wells, Widdecombe, Zullo</w:t>
      </w:r>
    </w:p>
    <w:p w:rsidR="00B86C75">
      <w:pPr>
        <w:rPr>
          <w:lang w:val="bg-BG"/>
        </w:rPr>
      </w:pPr>
      <w:r>
        <w:rPr>
          <w:lang w:val="bg-BG"/>
        </w:rPr>
        <w:t>PPE:</w:t>
        <w:br/>
        <w:t>Ademov, Alexandrov Yordanov, Amaro, Arias Echeverría, Arimont, Arłukowicz, Asimakopoulou, Băsescu, Bellamy, Benjumea, Berendsen, Berger, Bernhuber, Bilčík, Blaga, Bocskor, Bogovič, Buda, Buşoi, Buzek, Carvalho, Casa, Caspary, del Castillo Vera, Christoforou, Colin-Oesterlé, van Dalen, Danjean, Deli, Didier, Doleschal, Dorfmann, Duda, Düpont, Edtstadler, Estaràs Ferragut, Evren, Falcă, Ferber, Fitzgerald, Fourlas, Frankowski, Franssen, Gahler, Gál, García-Margallo y Marfil, Gieseke, González Pons, Győri, Halicki, Hansen, Hava, Herbst, Hetman, Hidvéghi, Hohlmeier, Hölvényi, Hortefeux, Hübner, Jahr, Járóka, Jarubas, Juknevičienė, Kalinowski, Kalniete, Karas, Kelly, Kokalari, Kopacz, Kósa, Kovatchev, Kubilius, Kympouropoulos, Kyrtsos, de Lange, Lega, Lenaers, Lewandowski, Liese, Lins, López-Istúriz White, Łukacijewska, Lutgen, McAllister, McGuinness, Maldeikienė, Manders, Mandl, Marinescu, Martusciello, Mažylis, Meimarakis, Melo, Metsola, Milazzo, Millán Mon, Montserrat, Morano, Mortler, Niebler, Niedermayer, Novak, Novakov, Olbrycht, Patriciello, Peeters, Pereira Lídia, Pieper, Pietikäinen, Polčák, Polfjärd, Pollák, Pospíšil, Radev, Radtke, Ressler, Salini, Sander, Sarvamaa, Schmiedtbauer, Schneider, Schreijer-Pierik, Schulze, Seekatz, Simon, Skyttedal, Šojdrová, Sokol, Spyraki, Štefanec, Szájer, Tajani, Thaler, Thun und Hohenstein, Tobé, Tomc, Tóth, Trócsányi, Vaidere, Vălean, Verheyen, Vincze, Virkkunen, Voss, Vozemberg-Vrionidi, Walsh, Walsmann, Warborn, Weber, Weiss, Wieland, Wiezik, Winkler, Winzig, Wiseler-Lima, Zagorakis, Zarzalejos Nieto, Zoido Álvarez, Zovko, Zver</w:t>
      </w:r>
    </w:p>
    <w:p w:rsidR="00B86C75">
      <w:pPr>
        <w:rPr>
          <w:lang w:val="bg-BG"/>
        </w:rPr>
      </w:pPr>
      <w:r>
        <w:rPr>
          <w:lang w:val="bg-BG"/>
        </w:rPr>
        <w:t>Renew:</w:t>
        <w:br/>
        <w:t>Al-Sahlani, Alieva-Veli, Ansip, Auštrevičius, Azmani, Bauzá Díaz, Beer, Bennion, Bijoux, Bilbao Barandica, Botoş, Boyer, Brophy, Brunet, Bunting, Cañas, Canfin, Chabaud, Charanzová, Chastel, Christensen, Cseh, Davies, Decerle, Dlabajová, Donáth, Durand, Eroglu, Farreng, Federley, Flego, Gade, Gamon, Garicano, Ghinea, Gibson, Goerens, Grošelj, Grudler, Hahn Svenja, Hayer, Hlaváček, Hojsík, Hook, Huitema, Ijabs, in 't Veld, Joveva, Karleskind, Karlsbro, Katainen, Kelleher, Knotek, Körner, Kovařík, Kyuchyuk, Loiseau, Løkkegaard, Maxová, Melchior, Mihaylova, Müller, Nagtegaal, Nethsingha, Newton Dunn, Oetjen, Paet, Pagazaurtundúa, Pekkarinen, Petersen, Pîslaru, Rafaela, Ries, Riquet, Rodríguez Ramos, Schreinemacher, Séjourné, Semedo, Šimečka, Solís Pérez, Ştefănuță, Strugariu, Tolleret, Torvalds, Trillet-Lenoir, Tudorache, Uspaskich, Vautmans, Vedrenne, Verhofstadt, Von Wiese, Yon-Courtin, Zacharopoulou</w:t>
      </w:r>
    </w:p>
    <w:p w:rsidR="00B86C75">
      <w:pPr>
        <w:rPr>
          <w:lang w:val="bg-BG"/>
        </w:rPr>
      </w:pPr>
      <w:r>
        <w:rPr>
          <w:lang w:val="bg-BG"/>
        </w:rPr>
        <w:t>S&amp;D:</w:t>
        <w:br/>
        <w:t>Agius Saliba, Aguilera, Ameriks, Andrieu, Androulakis, Ara-Kovács, Arena, Avram, Balt, Barley, Bartolo, Belka, Benea, Benifei, Beňová, Bergkvist, Biedroń, Bischoff, Blinkevičiūtė, Borzan, Brglez, Bullmann, Burkhardt, Calenda, Carvalhais, Cerdas, Chinnici, Cimoszewicz, Ciuhodaru, Corbett, Cozzolino, Cutajar, Dalli, Danielsson, Danti, De Castro, Dobrev, Durá Ferrandis, Ertug, Fajon, Fernández, Ferrandino, Fritzon, Fuglsang, Gálvez Muñoz, García Muñoz, García Pérez, Gardiazabal Rubial, Gebhardt, Gill Neena, Glucksmann, González, González Casares, Grapini, Griffin, Gualmini, Guillaume, Guteland, Hajšel, Heide, Heinäluoma, Homs Ginel, Howarth, Hristov, Incir, Jones, Jongerius, Kaljurand, Kammerevert, Kirton-Darling, Kohut, Köster, Krehl, Kumpula-Natri, Lalucq, Lange, Leitão Marques, Liberadzki,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Rodríguez-Piñero, Rónai, Ruiz Devesa, Sánchez Amor, Sant, Santos, Schaldemose, Schieder, Schmit, Schuster, Sidl, Silva Pereira, Sippel, Smeriglio, Spurek, Tarabella, Tax, Terheş, Tinagli, Toia, Tudose, Ujhelyi, Ušakovs, Van Brempt, Vind, Vitanov, Vollath, Ward, Wölken, Wolters, Zorrinho</w:t>
      </w:r>
    </w:p>
    <w:p w:rsidR="00B86C75">
      <w:r>
        <w:rPr>
          <w:lang w:val="bg-BG"/>
        </w:rPr>
        <w:t>Verts/ALE:</w:t>
        <w:br/>
        <w:t>Alfonsi, Andresen, Auken, Biteau, Bloss, Breyer, Bricmont, Buchner, Bütikofer, Cavazzini, Chowns, Cormand, Cuffe, Delbos-Corfield, Delli, Deparnay-Grunenberg, De Sutter, Dowding, Eickhout, Evans, Franz, Geese, Giegold, Gregorová, Guerreiro, Hahn Henrike, Häusling, Hautala, Herzberger-Fofana, Holmgren, Jadot, Jakeliūnas, Kolaja, Kuhnke, Lagodinsky, Lamberts, Langensiepen, McLeod, Magid, Marquardt, Metz, Neumann, Nienaß, Niinistö, O'Sullivan, Paulus, Peksa, Peter-Hansen, Phillips Alexandra Louise Rosenfield, Reintke, Riba i Giner, Rivasi, Roose, Ropė, Rowett, Satouri, Scott Cato, Semsrott, Smith, Strik, Toussaint, Urtasun, Vana, Van Sparrentak, Von Cramon-Taubadel, Wiener, Yenbou, Ždanoka</w:t>
      </w:r>
    </w:p>
    <w:sectPr>
      <w:footerReference w:type="default" r:id="rId14"/>
      <w:footerReference w:type="first" r:id="rId15"/>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2</w:t>
    </w:r>
    <w:r>
      <w:rPr>
        <w:rStyle w:val="PageNumber"/>
      </w:rPr>
      <w:fldChar w:fldCharType="end"/>
    </w:r>
    <w:r>
      <w:br/>
      <w:tab/>
    </w:r>
    <w:r>
      <w:rPr>
        <w:rFonts w:ascii="Arial" w:hAnsi="Arial"/>
        <w:b/>
        <w:sz w:val="36"/>
      </w:rPr>
      <w:t>BG</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15</w:t>
    </w:r>
    <w:r>
      <w:rPr>
        <w:rStyle w:val="PageNumber"/>
      </w:rPr>
      <w:fldChar w:fldCharType="end"/>
    </w:r>
    <w:r>
      <w:br/>
      <w:tab/>
    </w:r>
    <w:r>
      <w:rPr>
        <w:rFonts w:ascii="Arial" w:hAnsi="Arial"/>
        <w:b/>
        <w:sz w:val="36"/>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w:t>
    </w:r>
    <w:r>
      <w:rPr>
        <w:rStyle w:val="PageNumber"/>
      </w:rPr>
      <w:fldChar w:fldCharType="end"/>
    </w:r>
    <w:r>
      <w:br/>
      <w:tab/>
    </w:r>
    <w:r>
      <w:rPr>
        <w:rFonts w:ascii="Arial" w:hAnsi="Arial"/>
        <w:b/>
        <w:sz w:val="36"/>
      </w:rPr>
      <w:t>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10</w:t>
    </w:r>
    <w:r>
      <w:rPr>
        <w:rStyle w:val="PageNumber"/>
      </w:rPr>
      <w:fldChar w:fldCharType="end"/>
    </w:r>
    <w:r>
      <w:br/>
      <w:tab/>
    </w:r>
    <w:r>
      <w:rPr>
        <w:rFonts w:ascii="Arial" w:hAnsi="Arial"/>
        <w:b/>
        <w:sz w:val="36"/>
      </w:rPr>
      <w:t>BG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3</w:t>
    </w:r>
    <w:r>
      <w:rPr>
        <w:rStyle w:val="PageNumber"/>
      </w:rPr>
      <w:fldChar w:fldCharType="end"/>
    </w:r>
    <w:r>
      <w:br/>
      <w:tab/>
    </w:r>
    <w:r>
      <w:rPr>
        <w:rFonts w:ascii="Arial" w:hAnsi="Arial"/>
        <w:b/>
        <w:sz w:val="36"/>
      </w:rPr>
      <w:t>BG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12</w:t>
    </w:r>
    <w:r>
      <w:rPr>
        <w:rStyle w:val="PageNumber"/>
      </w:rPr>
      <w:fldChar w:fldCharType="end"/>
    </w:r>
    <w:r>
      <w:br/>
      <w:tab/>
    </w:r>
    <w:r>
      <w:rPr>
        <w:rFonts w:ascii="Arial" w:hAnsi="Arial"/>
        <w:b/>
        <w:sz w:val="36"/>
      </w:rPr>
      <w:t>BG</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11</w:t>
    </w:r>
    <w:r>
      <w:rPr>
        <w:rStyle w:val="PageNumber"/>
      </w:rPr>
      <w:fldChar w:fldCharType="end"/>
    </w:r>
    <w:r>
      <w:br/>
      <w:tab/>
    </w:r>
    <w:r>
      <w:rPr>
        <w:rFonts w:ascii="Arial" w:hAnsi="Arial"/>
        <w:b/>
        <w:sz w:val="36"/>
      </w:rPr>
      <w:t>BG</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14</w:t>
    </w:r>
    <w:r>
      <w:rPr>
        <w:rStyle w:val="PageNumber"/>
      </w:rPr>
      <w:fldChar w:fldCharType="end"/>
    </w:r>
    <w:r>
      <w:br/>
      <w:tab/>
    </w:r>
    <w:r>
      <w:rPr>
        <w:rFonts w:ascii="Arial" w:hAnsi="Arial"/>
        <w:b/>
        <w:sz w:val="36"/>
      </w:rPr>
      <w:t>BG</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13</w:t>
    </w:r>
    <w:r>
      <w:rPr>
        <w:rStyle w:val="PageNumber"/>
      </w:rPr>
      <w:fldChar w:fldCharType="end"/>
    </w:r>
    <w:r>
      <w:br/>
      <w:tab/>
    </w:r>
    <w:r>
      <w:rPr>
        <w:rFonts w:ascii="Arial" w:hAnsi="Arial"/>
        <w:b/>
        <w:sz w:val="36"/>
      </w:rPr>
      <w:t>BG</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75">
    <w:pPr>
      <w:suppressLineNumbers/>
      <w:pBdr>
        <w:bottom w:val="double" w:sz="1" w:space="0" w:color="000000"/>
      </w:pBdr>
      <w:rPr>
        <w:sz w:val="12"/>
        <w:szCs w:val="12"/>
      </w:rPr>
    </w:pPr>
  </w:p>
  <w:p w:rsidR="00B86C75">
    <w:pPr>
      <w:tabs>
        <w:tab w:val="right" w:pos="9637"/>
      </w:tabs>
      <w:rPr>
        <w:rFonts w:ascii="Arial" w:hAnsi="Arial"/>
        <w:b/>
        <w:sz w:val="36"/>
      </w:rPr>
    </w:pPr>
    <w:r>
      <w:t>P9_PV(2019)09-17</w:t>
      <w:tab/>
      <w:t xml:space="preserve">PE 640.602 - </w:t>
    </w:r>
    <w:r>
      <w:rPr>
        <w:rStyle w:val="PageNumber"/>
      </w:rPr>
      <w:fldChar w:fldCharType="begin"/>
    </w:r>
    <w:r>
      <w:rPr>
        <w:rStyle w:val="PageNumber"/>
      </w:rPr>
      <w:instrText xml:space="preserve"> PAGE \*ARABIC </w:instrText>
    </w:r>
    <w:r>
      <w:rPr>
        <w:rStyle w:val="PageNumber"/>
      </w:rPr>
      <w:fldChar w:fldCharType="separate"/>
    </w:r>
    <w:r w:rsidR="00287FBA">
      <w:rPr>
        <w:rStyle w:val="PageNumber"/>
        <w:noProof/>
      </w:rPr>
      <w:t>16</w:t>
    </w:r>
    <w:r>
      <w:rPr>
        <w:rStyle w:val="PageNumber"/>
      </w:rPr>
      <w:fldChar w:fldCharType="end"/>
    </w:r>
    <w:r>
      <w:br/>
      <w:tab/>
    </w:r>
    <w:r>
      <w:rPr>
        <w:rFonts w:ascii="Arial" w:hAnsi="Arial"/>
        <w:b/>
        <w:sz w:val="36"/>
      </w:rPr>
      <w:t>BG</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18</Pages>
  <Words>6438</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1601-01-01T00:02:05Z</cp:lastPrinted>
  <dcterms:created xsi:type="dcterms:W3CDTF">2019-11-22T10:02:00Z</dcterms:created>
  <dcterms:modified xsi:type="dcterms:W3CDTF">2019-11-22T10:02:00Z</dcterms:modified>
</cp:coreProperties>
</file>