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A2FB9" w:rsidRPr="00DB04F3" w14:paraId="5799BFDF" w14:textId="77777777" w:rsidTr="004F500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34B5A05B" w14:textId="77777777" w:rsidR="00CA2FB9" w:rsidRPr="00DB04F3" w:rsidRDefault="00600E09" w:rsidP="004D5831">
            <w:pPr>
              <w:pStyle w:val="EPName"/>
            </w:pPr>
            <w:bookmarkStart w:id="0" w:name="_GoBack"/>
            <w:bookmarkEnd w:id="0"/>
            <w:r>
              <w:t>Parlament Europejski</w:t>
            </w:r>
          </w:p>
          <w:p w14:paraId="36D58D8A" w14:textId="77777777" w:rsidR="00CA2FB9" w:rsidRPr="00DB04F3" w:rsidRDefault="00BF08DD" w:rsidP="00BF08DD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39A3AFBD" w14:textId="44AB280D" w:rsidR="00CA2FB9" w:rsidRPr="00DB04F3" w:rsidRDefault="00552347" w:rsidP="004D5831">
            <w:pPr>
              <w:pStyle w:val="EPLogo"/>
            </w:pPr>
            <w:r w:rsidRPr="00DB04F3">
              <w:rPr>
                <w:noProof/>
                <w:lang w:val="en-GB"/>
              </w:rPr>
              <w:drawing>
                <wp:inline distT="0" distB="0" distL="0" distR="0" wp14:anchorId="308BC877" wp14:editId="34CD57B9">
                  <wp:extent cx="1163320" cy="65087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62C287" w14:textId="77777777" w:rsidR="00FF0919" w:rsidRPr="00DB04F3" w:rsidRDefault="00FF0919" w:rsidP="00FF0919">
      <w:pPr>
        <w:pStyle w:val="LineTop"/>
      </w:pPr>
    </w:p>
    <w:p w14:paraId="27CD79D4" w14:textId="77777777" w:rsidR="00FF0919" w:rsidRPr="00DB04F3" w:rsidRDefault="00600E09" w:rsidP="00FF0919">
      <w:pPr>
        <w:pStyle w:val="ZSessionDoc"/>
      </w:pPr>
      <w:r>
        <w:t>Dokument z posiedzenia</w:t>
      </w:r>
    </w:p>
    <w:p w14:paraId="10C78A1E" w14:textId="77777777" w:rsidR="00752855" w:rsidRPr="00DB04F3" w:rsidRDefault="00752855" w:rsidP="00752855">
      <w:pPr>
        <w:pStyle w:val="LineBottom"/>
      </w:pPr>
    </w:p>
    <w:p w14:paraId="520A5B0B" w14:textId="682CA2E6" w:rsidR="009D33CF" w:rsidRPr="00DB04F3" w:rsidRDefault="00335275" w:rsidP="00D57C45">
      <w:pPr>
        <w:pStyle w:val="RefDocRC"/>
      </w:pPr>
      <w:r>
        <w:rPr>
          <w:rStyle w:val="HideTWBExt"/>
          <w:b w:val="0"/>
        </w:rPr>
        <w:t>&lt;RepeatBlock-NoDocSe&gt;</w:t>
      </w:r>
      <w:r>
        <w:tab/>
      </w:r>
      <w:r>
        <w:rPr>
          <w:rStyle w:val="HideTWBExt"/>
          <w:b w:val="0"/>
        </w:rPr>
        <w:t>&lt;NoDocSe&gt;</w:t>
      </w:r>
      <w:r>
        <w:t>B8-0582/2018</w:t>
      </w:r>
      <w:r>
        <w:rPr>
          <w:rStyle w:val="HideTWBExt"/>
          <w:b w:val="0"/>
        </w:rPr>
        <w:t>&lt;/NoDocSe&gt;</w:t>
      </w:r>
      <w:r>
        <w:t xml:space="preserve"> } </w:t>
      </w:r>
    </w:p>
    <w:p w14:paraId="72538D09" w14:textId="22B49CCA" w:rsidR="009D33CF" w:rsidRPr="00DB04F3" w:rsidRDefault="009D33CF" w:rsidP="00D57C45">
      <w:pPr>
        <w:pStyle w:val="RefDocRC"/>
      </w:pPr>
      <w:r>
        <w:tab/>
      </w:r>
      <w:r>
        <w:rPr>
          <w:rStyle w:val="HideTWBExt"/>
          <w:b w:val="0"/>
        </w:rPr>
        <w:t>&lt;NoDocSe&gt;</w:t>
      </w:r>
      <w:r>
        <w:t>B8-0583/2018</w:t>
      </w:r>
      <w:r>
        <w:rPr>
          <w:rStyle w:val="HideTWBExt"/>
          <w:b w:val="0"/>
        </w:rPr>
        <w:t>&lt;/NoDocSe&gt;&lt;/RepeatBlock-NoDocSe&gt;</w:t>
      </w:r>
      <w:r>
        <w:t xml:space="preserve"> } RC1</w:t>
      </w:r>
    </w:p>
    <w:p w14:paraId="0A567C85" w14:textId="77777777" w:rsidR="004F500E" w:rsidRPr="00DB04F3" w:rsidRDefault="004F500E" w:rsidP="00250797">
      <w:pPr>
        <w:widowControl/>
        <w:tabs>
          <w:tab w:val="left" w:pos="-1071"/>
          <w:tab w:val="left" w:pos="-873"/>
          <w:tab w:val="left" w:pos="-453"/>
          <w:tab w:val="left" w:pos="7059"/>
          <w:tab w:val="left" w:pos="8763"/>
          <w:tab w:val="left" w:pos="9044"/>
        </w:tabs>
        <w:jc w:val="both"/>
      </w:pPr>
    </w:p>
    <w:p w14:paraId="32F3C3AC" w14:textId="77777777" w:rsidR="004F500E" w:rsidRPr="00DB04F3" w:rsidRDefault="004F500E" w:rsidP="00F849BF">
      <w:pPr>
        <w:pStyle w:val="DateRC"/>
      </w:pPr>
      <w:r>
        <w:rPr>
          <w:rStyle w:val="HideTWBExt"/>
        </w:rPr>
        <w:t>&lt;Date&gt;</w:t>
      </w:r>
      <w:r>
        <w:rPr>
          <w:rStyle w:val="HideTWBInt"/>
        </w:rPr>
        <w:t>{12/12/2018}</w:t>
      </w:r>
      <w:r>
        <w:t>12.12.2018</w:t>
      </w:r>
      <w:r>
        <w:rPr>
          <w:rStyle w:val="HideTWBExt"/>
        </w:rPr>
        <w:t>&lt;/Date&gt;</w:t>
      </w:r>
    </w:p>
    <w:p w14:paraId="4CA670A8" w14:textId="77777777" w:rsidR="009D33CF" w:rsidRPr="00DB04F3" w:rsidRDefault="009D33CF">
      <w:pPr>
        <w:pStyle w:val="TypeDocRC"/>
      </w:pPr>
      <w:r>
        <w:rPr>
          <w:rStyle w:val="HideTWBExt"/>
          <w:b w:val="0"/>
        </w:rPr>
        <w:t>&lt;TitreType&gt;</w:t>
      </w:r>
      <w:r>
        <w:t>WSPÓLNY PROJEKT REZOLUCJI</w:t>
      </w:r>
      <w:r>
        <w:rPr>
          <w:rStyle w:val="HideTWBExt"/>
          <w:b w:val="0"/>
        </w:rPr>
        <w:t>&lt;/TitreType&gt;</w:t>
      </w:r>
    </w:p>
    <w:p w14:paraId="283CA856" w14:textId="77777777" w:rsidR="009D33CF" w:rsidRPr="00DB04F3" w:rsidRDefault="009D33CF">
      <w:pPr>
        <w:pStyle w:val="Cover12"/>
      </w:pPr>
      <w:r>
        <w:rPr>
          <w:rStyle w:val="HideTWBExt"/>
        </w:rPr>
        <w:t>&lt;TitreRecueil&gt;</w:t>
      </w:r>
      <w:r>
        <w:t>złożony zgodnie z art. 123 ust. 2 i 4 Regulaminu</w:t>
      </w:r>
      <w:r>
        <w:rPr>
          <w:rStyle w:val="HideTWBExt"/>
        </w:rPr>
        <w:t>&lt;/TitreRecueil&gt;</w:t>
      </w:r>
    </w:p>
    <w:p w14:paraId="3A12B3C6" w14:textId="77777777" w:rsidR="00747149" w:rsidRPr="00DB04F3" w:rsidRDefault="00B15782" w:rsidP="00747149">
      <w:pPr>
        <w:pStyle w:val="CoverNormal"/>
      </w:pPr>
      <w:r>
        <w:rPr>
          <w:rStyle w:val="HideTWBExt"/>
        </w:rPr>
        <w:t>&lt;Replacing&gt;</w:t>
      </w:r>
      <w:r>
        <w:t>zastępujący tym samym następujące projekty rezolucji:</w:t>
      </w:r>
      <w:r>
        <w:rPr>
          <w:rStyle w:val="HideTWBExt"/>
        </w:rPr>
        <w:t>&lt;/Replacing&gt;</w:t>
      </w:r>
    </w:p>
    <w:p w14:paraId="7A87862C" w14:textId="595A3224" w:rsidR="00747149" w:rsidRPr="003F2B92" w:rsidRDefault="00B15782" w:rsidP="00747149">
      <w:pPr>
        <w:pStyle w:val="CoverNormal"/>
        <w:rPr>
          <w:lang w:val="de-DE"/>
        </w:rPr>
      </w:pPr>
      <w:r w:rsidRPr="003F2B92">
        <w:rPr>
          <w:rStyle w:val="HideTWBExt"/>
          <w:lang w:val="de-DE"/>
        </w:rPr>
        <w:t>&lt;TablingGroups&gt;</w:t>
      </w:r>
      <w:r w:rsidRPr="003F2B92">
        <w:rPr>
          <w:lang w:val="de-DE"/>
        </w:rPr>
        <w:t>B8-0582/2018 (PPE)</w:t>
      </w:r>
    </w:p>
    <w:p w14:paraId="3C333E9F" w14:textId="32249807" w:rsidR="00747149" w:rsidRPr="003F2B92" w:rsidRDefault="00BF08DD" w:rsidP="00747149">
      <w:pPr>
        <w:pStyle w:val="Cover12"/>
        <w:rPr>
          <w:lang w:val="de-DE"/>
        </w:rPr>
      </w:pPr>
      <w:r w:rsidRPr="003F2B92">
        <w:rPr>
          <w:lang w:val="de-DE"/>
        </w:rPr>
        <w:t>B8-0583/2018 (Verts/ALE)</w:t>
      </w:r>
      <w:r w:rsidRPr="003F2B92">
        <w:rPr>
          <w:rStyle w:val="HideTWBExt"/>
          <w:lang w:val="de-DE"/>
        </w:rPr>
        <w:t>&lt;/TablingGroups&gt;</w:t>
      </w:r>
    </w:p>
    <w:p w14:paraId="14F61E53" w14:textId="77777777" w:rsidR="00747149" w:rsidRPr="00DB04F3" w:rsidRDefault="00747149" w:rsidP="00747149">
      <w:pPr>
        <w:pStyle w:val="CoverNormal"/>
      </w:pPr>
      <w:r>
        <w:rPr>
          <w:rStyle w:val="HideTWBExt"/>
        </w:rPr>
        <w:t>&lt;Titre&gt;</w:t>
      </w:r>
      <w:r>
        <w:t>w sprawie konfliktu interesów oraz ochrony budżetu UE w Republice Czeskiej</w:t>
      </w:r>
      <w:r>
        <w:rPr>
          <w:rStyle w:val="HideTWBExt"/>
        </w:rPr>
        <w:t>&lt;/Titre&gt;</w:t>
      </w:r>
    </w:p>
    <w:p w14:paraId="40F61159" w14:textId="77777777" w:rsidR="00747149" w:rsidRPr="003F2B92" w:rsidRDefault="00747149" w:rsidP="00747149">
      <w:pPr>
        <w:pStyle w:val="Cover24"/>
        <w:rPr>
          <w:lang w:val="it-IT"/>
        </w:rPr>
      </w:pPr>
      <w:r w:rsidRPr="003F2B92">
        <w:rPr>
          <w:rStyle w:val="HideTWBExt"/>
          <w:lang w:val="it-IT"/>
        </w:rPr>
        <w:t>&lt;DocRef&gt;</w:t>
      </w:r>
      <w:r w:rsidRPr="003F2B92">
        <w:rPr>
          <w:lang w:val="it-IT"/>
        </w:rPr>
        <w:t>(2018/2975(RSP))</w:t>
      </w:r>
      <w:r w:rsidRPr="003F2B92">
        <w:rPr>
          <w:rStyle w:val="HideTWBExt"/>
          <w:lang w:val="it-IT"/>
        </w:rPr>
        <w:t>&lt;/DocRef&gt;</w:t>
      </w:r>
    </w:p>
    <w:p w14:paraId="3B0449D7" w14:textId="4D57D706" w:rsidR="00747149" w:rsidRPr="003F2B92" w:rsidRDefault="00747149" w:rsidP="00747149">
      <w:pPr>
        <w:pStyle w:val="CoverBold"/>
        <w:rPr>
          <w:lang w:val="it-IT"/>
        </w:rPr>
      </w:pPr>
      <w:r w:rsidRPr="003F2B92">
        <w:rPr>
          <w:rStyle w:val="HideTWBExt"/>
          <w:b w:val="0"/>
          <w:lang w:val="it-IT"/>
        </w:rPr>
        <w:t>&lt;RepeatBlock-By&gt;&lt;Depute&gt;</w:t>
      </w:r>
      <w:r w:rsidRPr="003F2B92">
        <w:rPr>
          <w:lang w:val="it-IT"/>
        </w:rPr>
        <w:t>Ingeborg Gräßle, Petri Sarvamaa</w:t>
      </w:r>
      <w:r w:rsidRPr="003F2B92">
        <w:rPr>
          <w:rStyle w:val="HideTWBExt"/>
          <w:b w:val="0"/>
          <w:lang w:val="it-IT"/>
        </w:rPr>
        <w:t>&lt;/Depute&gt;</w:t>
      </w:r>
    </w:p>
    <w:p w14:paraId="2E919406" w14:textId="77777777" w:rsidR="00747149" w:rsidRPr="003F2B92" w:rsidRDefault="00747149" w:rsidP="00747149">
      <w:pPr>
        <w:pStyle w:val="CoverNormal"/>
        <w:rPr>
          <w:lang w:val="it-IT"/>
        </w:rPr>
      </w:pPr>
      <w:r w:rsidRPr="003F2B92">
        <w:rPr>
          <w:rStyle w:val="HideTWBExt"/>
          <w:lang w:val="it-IT"/>
        </w:rPr>
        <w:t>&lt;Commission&gt;</w:t>
      </w:r>
      <w:r w:rsidRPr="003F2B92">
        <w:rPr>
          <w:rStyle w:val="HideTWBInt"/>
          <w:lang w:val="it-IT"/>
        </w:rPr>
        <w:t>{PPE}</w:t>
      </w:r>
      <w:r w:rsidRPr="003F2B92">
        <w:rPr>
          <w:lang w:val="it-IT"/>
        </w:rPr>
        <w:t>w imieniu grupy PPE</w:t>
      </w:r>
      <w:r w:rsidRPr="003F2B92">
        <w:rPr>
          <w:rStyle w:val="HideTWBExt"/>
          <w:lang w:val="it-IT"/>
        </w:rPr>
        <w:t>&lt;/Commission&gt;</w:t>
      </w:r>
    </w:p>
    <w:p w14:paraId="21E878A2" w14:textId="1E8E0B59" w:rsidR="00BF08DD" w:rsidRPr="003F2B92" w:rsidRDefault="00BF08DD" w:rsidP="00BF08DD">
      <w:pPr>
        <w:pStyle w:val="CoverBold"/>
        <w:rPr>
          <w:lang w:val="it-IT"/>
        </w:rPr>
      </w:pPr>
      <w:r w:rsidRPr="003F2B92">
        <w:rPr>
          <w:rStyle w:val="HideTWBExt"/>
          <w:b w:val="0"/>
          <w:lang w:val="it-IT"/>
        </w:rPr>
        <w:t>&lt;Depute&gt;</w:t>
      </w:r>
      <w:r w:rsidRPr="003F2B92">
        <w:rPr>
          <w:lang w:val="it-IT"/>
        </w:rPr>
        <w:t>Evžen Tošenovský, Valdemar Tomaševski, Jan Zahradil, Ruža Tomašić, Monica Macovei</w:t>
      </w:r>
      <w:r w:rsidRPr="003F2B92">
        <w:rPr>
          <w:rStyle w:val="HideTWBExt"/>
          <w:b w:val="0"/>
          <w:lang w:val="it-IT"/>
        </w:rPr>
        <w:t>&lt;/Depute&gt;</w:t>
      </w:r>
    </w:p>
    <w:p w14:paraId="6E689925" w14:textId="77777777" w:rsidR="00BF08DD" w:rsidRPr="003F2B92" w:rsidRDefault="00BF08DD" w:rsidP="00BF08DD">
      <w:pPr>
        <w:pStyle w:val="CoverNormal"/>
        <w:rPr>
          <w:lang w:val="it-IT"/>
        </w:rPr>
      </w:pPr>
      <w:r w:rsidRPr="003F2B92">
        <w:rPr>
          <w:rStyle w:val="HideTWBExt"/>
          <w:lang w:val="it-IT"/>
        </w:rPr>
        <w:t>&lt;Commission&gt;</w:t>
      </w:r>
      <w:r w:rsidRPr="003F2B92">
        <w:rPr>
          <w:rStyle w:val="HideTWBInt"/>
          <w:lang w:val="it-IT"/>
        </w:rPr>
        <w:t>{ECR}</w:t>
      </w:r>
      <w:r w:rsidRPr="003F2B92">
        <w:rPr>
          <w:lang w:val="it-IT"/>
        </w:rPr>
        <w:t>w imieniu grupy ECR</w:t>
      </w:r>
      <w:r w:rsidRPr="003F2B92">
        <w:rPr>
          <w:rStyle w:val="HideTWBExt"/>
          <w:lang w:val="it-IT"/>
        </w:rPr>
        <w:t>&lt;/Commission&gt;</w:t>
      </w:r>
    </w:p>
    <w:p w14:paraId="3DC8066B" w14:textId="2301AB59" w:rsidR="00BF08DD" w:rsidRPr="003F2B92" w:rsidRDefault="00BF08DD" w:rsidP="00BF08DD">
      <w:pPr>
        <w:pStyle w:val="CoverBold"/>
        <w:rPr>
          <w:lang w:val="it-IT"/>
        </w:rPr>
      </w:pPr>
      <w:r w:rsidRPr="003F2B92">
        <w:rPr>
          <w:rStyle w:val="HideTWBExt"/>
          <w:b w:val="0"/>
          <w:lang w:val="it-IT"/>
        </w:rPr>
        <w:t>&lt;Depute&gt;</w:t>
      </w:r>
      <w:r w:rsidRPr="003F2B92">
        <w:rPr>
          <w:lang w:val="it-IT"/>
        </w:rPr>
        <w:t>Bart Staes, Julia Reda, Philippe Lamberts</w:t>
      </w:r>
      <w:r w:rsidRPr="003F2B92">
        <w:rPr>
          <w:rStyle w:val="HideTWBExt"/>
          <w:b w:val="0"/>
          <w:lang w:val="it-IT"/>
        </w:rPr>
        <w:t>&lt;/Depute&gt;</w:t>
      </w:r>
    </w:p>
    <w:p w14:paraId="3DAB18F4" w14:textId="77777777" w:rsidR="00BF08DD" w:rsidRPr="00DB04F3" w:rsidRDefault="00BF08DD" w:rsidP="00BF08DD">
      <w:pPr>
        <w:pStyle w:val="CoverNormal"/>
      </w:pPr>
      <w:r>
        <w:rPr>
          <w:rStyle w:val="HideTWBExt"/>
        </w:rPr>
        <w:t>&lt;Commission&gt;</w:t>
      </w:r>
      <w:r>
        <w:rPr>
          <w:rStyle w:val="HideTWBInt"/>
        </w:rPr>
        <w:t>{Verts/ALE}</w:t>
      </w:r>
      <w:r>
        <w:t>w imieniu grupy Verts/ALE</w:t>
      </w:r>
      <w:r>
        <w:rPr>
          <w:rStyle w:val="HideTWBExt"/>
        </w:rPr>
        <w:t>&lt;/Commission&gt;</w:t>
      </w:r>
    </w:p>
    <w:p w14:paraId="67E91990" w14:textId="1B633848" w:rsidR="00747149" w:rsidRPr="00DB04F3" w:rsidRDefault="00747149" w:rsidP="002605F7">
      <w:pPr>
        <w:pStyle w:val="CoverBold"/>
      </w:pPr>
      <w:r>
        <w:rPr>
          <w:rStyle w:val="HideTWBExt"/>
          <w:b w:val="0"/>
        </w:rPr>
        <w:t>&lt;Depute&gt;</w:t>
      </w:r>
      <w:r>
        <w:t>Dennis de Jong, Neoklis Sylikiotis, Laura Agea, Isabella Adinolfi, Tiziana Beghin, Fabio Massimo Castaldo, Ignazio Corrao, Rosa D’Amato, Eleonora Evi, Piernicola Pedicini, Dario Tamburrano, Marco Zullo</w:t>
      </w:r>
      <w:r>
        <w:rPr>
          <w:rStyle w:val="HideTWBExt"/>
          <w:b w:val="0"/>
        </w:rPr>
        <w:t>&lt;/Depute&gt;</w:t>
      </w:r>
    </w:p>
    <w:p w14:paraId="748689BE" w14:textId="77777777" w:rsidR="00747149" w:rsidRPr="00DB04F3" w:rsidRDefault="00747149" w:rsidP="00BB330A">
      <w:pPr>
        <w:pStyle w:val="CoverNormal"/>
      </w:pPr>
      <w:r>
        <w:rPr>
          <w:rStyle w:val="HideTWBExt"/>
        </w:rPr>
        <w:t>&lt;/RepeatBlock-By&gt;</w:t>
      </w:r>
    </w:p>
    <w:p w14:paraId="685F3575" w14:textId="77777777" w:rsidR="00AB70B2" w:rsidRPr="00DB04F3" w:rsidRDefault="009D33CF" w:rsidP="00AB70B2">
      <w:pPr>
        <w:pStyle w:val="NormalBold"/>
      </w:pPr>
      <w:r>
        <w:br w:type="page"/>
      </w:r>
      <w:r>
        <w:lastRenderedPageBreak/>
        <w:t>Rezolucja Parlamentu Europejskiego w sprawie konfliktu interesów oraz ochrony budżetu UE w Republice Czeskiej</w:t>
      </w:r>
    </w:p>
    <w:p w14:paraId="2792B806" w14:textId="77777777" w:rsidR="00AB70B2" w:rsidRPr="00DB04F3" w:rsidRDefault="00600E09" w:rsidP="00AB70B2">
      <w:pPr>
        <w:pStyle w:val="Normal24Bold"/>
      </w:pPr>
      <w:r>
        <w:t>(2018/2975(RSP))</w:t>
      </w:r>
    </w:p>
    <w:p w14:paraId="42AA94F2" w14:textId="77777777" w:rsidR="009D33CF" w:rsidRPr="00DB04F3" w:rsidRDefault="00600E09" w:rsidP="0082552A">
      <w:pPr>
        <w:pStyle w:val="Normal12"/>
      </w:pPr>
      <w:r>
        <w:rPr>
          <w:i/>
        </w:rPr>
        <w:t>Parlament Europejski,</w:t>
      </w:r>
    </w:p>
    <w:p w14:paraId="2520EECB" w14:textId="77777777" w:rsidR="00EA0342" w:rsidRPr="00DB04F3" w:rsidRDefault="00EA0342" w:rsidP="00EA0342">
      <w:pPr>
        <w:pStyle w:val="Hanging12"/>
        <w:tabs>
          <w:tab w:val="clear" w:pos="357"/>
        </w:tabs>
      </w:pPr>
      <w:r>
        <w:t>–</w:t>
      </w:r>
      <w:r>
        <w:tab/>
        <w:t>uwzględniając swoje wcześniejsze decyzje i rezolucje w sprawie udzielenia absolutorium Komisji</w:t>
      </w:r>
      <w:r w:rsidRPr="00DB04F3">
        <w:rPr>
          <w:rStyle w:val="FootnoteReference"/>
          <w:color w:val="000000"/>
        </w:rPr>
        <w:footnoteReference w:id="1"/>
      </w:r>
      <w:r>
        <w:t xml:space="preserve"> za lata 2014, 2015 i 2016,</w:t>
      </w:r>
    </w:p>
    <w:p w14:paraId="7B75A447" w14:textId="77777777" w:rsidR="00EA0342" w:rsidRPr="00DB04F3" w:rsidRDefault="00EA0342" w:rsidP="00EA0342">
      <w:pPr>
        <w:pStyle w:val="Hanging12"/>
        <w:tabs>
          <w:tab w:val="clear" w:pos="357"/>
        </w:tabs>
      </w:pPr>
      <w:r>
        <w:t>–</w:t>
      </w:r>
      <w:r>
        <w:tab/>
        <w:t>uwzględniając rozporządzenie Parlamentu Europejskiego i Rady (UE, Euratom) 2018/1046 z dnia 18 lipca 2018 r. w sprawie zasad finansowych mających zastosowanie do budżetu ogólnego Unii</w:t>
      </w:r>
      <w:r w:rsidRPr="00DB04F3">
        <w:rPr>
          <w:vertAlign w:val="superscript"/>
        </w:rPr>
        <w:footnoteReference w:id="2"/>
      </w:r>
      <w:r>
        <w:t xml:space="preserve"> (nowe rozporządzenie finansowe), w szczególności jego art. 61 o konflikcie interesów,</w:t>
      </w:r>
    </w:p>
    <w:p w14:paraId="6B2C4362" w14:textId="77777777" w:rsidR="00EA0342" w:rsidRPr="00DB04F3" w:rsidRDefault="00EA0342" w:rsidP="00EA0342">
      <w:pPr>
        <w:pStyle w:val="Hanging12"/>
        <w:tabs>
          <w:tab w:val="clear" w:pos="357"/>
        </w:tabs>
      </w:pPr>
      <w:r>
        <w:t>–</w:t>
      </w:r>
      <w:r>
        <w:tab/>
        <w:t>uwzględniając pytania skierowane do Komisji przez Czeską Partię Piratów w dniu 2 sierpnia 2018 r.,</w:t>
      </w:r>
    </w:p>
    <w:p w14:paraId="1C21EFBA" w14:textId="77777777" w:rsidR="00EA0342" w:rsidRPr="00DB04F3" w:rsidRDefault="00EA0342" w:rsidP="00EA0342">
      <w:pPr>
        <w:pStyle w:val="Hanging12"/>
        <w:tabs>
          <w:tab w:val="clear" w:pos="357"/>
        </w:tabs>
      </w:pPr>
      <w:r>
        <w:t>–</w:t>
      </w:r>
      <w:r>
        <w:tab/>
        <w:t>uwzględniając oficjalną skargę złożoną w Komisji przez czeski oddział organizacji Transparency International w dniu 19 września 2018 r.,</w:t>
      </w:r>
    </w:p>
    <w:p w14:paraId="5CF6866A" w14:textId="10C1D9AA" w:rsidR="00EA0342" w:rsidRPr="00DB04F3" w:rsidRDefault="00EA0342" w:rsidP="00EA0342">
      <w:pPr>
        <w:pStyle w:val="Hanging12"/>
        <w:tabs>
          <w:tab w:val="clear" w:pos="357"/>
        </w:tabs>
      </w:pPr>
      <w:r>
        <w:t>–</w:t>
      </w:r>
      <w:r>
        <w:tab/>
        <w:t>uwzględniając opinię Służby Prawnej Komisji Europejskiej z dnia 19 listopada 2018 r. zatytułowaną „Wpływ art. 61 nowego rozporządzenia finansowego (konflikt interesów) na płatności z europejskich funduszy strukturalnych i inwestycyjnych”,</w:t>
      </w:r>
    </w:p>
    <w:p w14:paraId="788F7429" w14:textId="0847C67D" w:rsidR="00EA0342" w:rsidRPr="00DB04F3" w:rsidRDefault="00EA0342" w:rsidP="00EA0342">
      <w:pPr>
        <w:pStyle w:val="Hanging12"/>
        <w:tabs>
          <w:tab w:val="clear" w:pos="357"/>
        </w:tabs>
      </w:pPr>
      <w:r>
        <w:t>–</w:t>
      </w:r>
      <w:r>
        <w:tab/>
        <w:t>uwzględniając prezentację Dyrekcji Generalnej Komisji ds. Budżetu pt. „Zasady dotyczące konfliktów interesów w rozporządzeniu finansowym z 2018 r.” przedstawioną Komisji Kontroli Budżetowej Parlamentu Europejskiego w dniu 20 listopada 2018 r.,</w:t>
      </w:r>
    </w:p>
    <w:p w14:paraId="32683910" w14:textId="77777777" w:rsidR="00EA0342" w:rsidRPr="00DB04F3" w:rsidRDefault="00EA0342" w:rsidP="00EA0342">
      <w:pPr>
        <w:pStyle w:val="Hanging12"/>
        <w:tabs>
          <w:tab w:val="clear" w:pos="357"/>
        </w:tabs>
      </w:pPr>
      <w:r>
        <w:t>–</w:t>
      </w:r>
      <w:r>
        <w:tab/>
        <w:t>uwzględniając art. 123 ust. 2 i 4 Regulaminu,</w:t>
      </w:r>
    </w:p>
    <w:p w14:paraId="6361F181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A.</w:t>
      </w:r>
      <w:r>
        <w:tab/>
        <w:t xml:space="preserve">mając na uwadze, że </w:t>
      </w:r>
      <w:r>
        <w:rPr>
          <w:szCs w:val="24"/>
          <w:shd w:val="clear" w:color="auto" w:fill="FFFFFF"/>
        </w:rPr>
        <w:t>zawarty w rozporządzeniu finansowym z 2012 r. przepis dotyczący konfliktów interesów nie miał wyraźnie zastosowania do zarządzania dzielonego, ale państwa członkowskie były zobowiązane do zapewnienia skutecznej kontroli wewnętrznej, w tym unikania konfliktów interesów;</w:t>
      </w:r>
    </w:p>
    <w:p w14:paraId="3F7AC1C6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B.</w:t>
      </w:r>
      <w:r>
        <w:rPr>
          <w:szCs w:val="24"/>
          <w:shd w:val="clear" w:color="auto" w:fill="FFFFFF"/>
        </w:rPr>
        <w:tab/>
        <w:t>mając na uwadze, że przepisy dotyczące zamówień publicznych zobowiązują państwa członkowskie do unikania konfliktów interesów (art. 24 dyrektywy 2014/24/UE</w:t>
      </w:r>
      <w:r w:rsidRPr="00DB04F3">
        <w:rPr>
          <w:rStyle w:val="FootnoteReference"/>
          <w:color w:val="000000"/>
          <w:szCs w:val="24"/>
          <w:shd w:val="clear" w:color="auto" w:fill="FFFFFF"/>
        </w:rPr>
        <w:footnoteReference w:id="3"/>
      </w:r>
      <w:r>
        <w:rPr>
          <w:szCs w:val="24"/>
          <w:shd w:val="clear" w:color="auto" w:fill="FFFFFF"/>
        </w:rPr>
        <w:t>), w tym bezpośrednich lub pośrednich interesów osobistych, a także mając na uwadze fakt, że istnieją już zasady odnoszące się do sytuacji postrzeganych jako konflikty interesów lub do szczególnych zobowiązań w ramach zarządzania dzielonego (np. rozporządzenie (UE) nr 1303/2013</w:t>
      </w:r>
      <w:r w:rsidRPr="00DB04F3">
        <w:rPr>
          <w:rStyle w:val="FootnoteReference"/>
          <w:color w:val="000000"/>
          <w:szCs w:val="24"/>
          <w:shd w:val="clear" w:color="auto" w:fill="FFFFFF"/>
        </w:rPr>
        <w:footnoteReference w:id="4"/>
      </w:r>
      <w:r>
        <w:rPr>
          <w:szCs w:val="24"/>
          <w:shd w:val="clear" w:color="auto" w:fill="FFFFFF"/>
        </w:rPr>
        <w:t>);</w:t>
      </w:r>
    </w:p>
    <w:p w14:paraId="63688F96" w14:textId="22FFAA2E" w:rsidR="00EA0342" w:rsidRPr="00DB04F3" w:rsidRDefault="00EA0342" w:rsidP="00EA0342">
      <w:pPr>
        <w:pStyle w:val="Hanging12"/>
        <w:tabs>
          <w:tab w:val="clear" w:pos="357"/>
        </w:tabs>
        <w:rPr>
          <w:szCs w:val="24"/>
        </w:rPr>
      </w:pPr>
      <w:r>
        <w:t>C.</w:t>
      </w:r>
      <w:r>
        <w:tab/>
        <w:t xml:space="preserve">mając na uwadze, że Rada przyjęła swoje stanowisko w sprawie nowego rozporządzenia finansowego w dniu 16 lipca 2018 r., a akt końcowy podpisano w dniu 18 lipca 2018 r.; mając na uwadze, że art. 61 tego rozporządzenia, który dotyczy zakazu </w:t>
      </w:r>
      <w:r>
        <w:lastRenderedPageBreak/>
        <w:t>konfliktów interesów, wszedł w życie w dniu 2 sierpnia 2018 r.;</w:t>
      </w:r>
    </w:p>
    <w:p w14:paraId="3D595259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</w:rPr>
      </w:pPr>
      <w:r>
        <w:t>D.</w:t>
      </w:r>
      <w:r>
        <w:tab/>
        <w:t>mając na uwadze, że art. 61 ust. 1 rozporządzenia finansowego (w połączeniu z art. 61 ust. 3) nakłada na podmioty finansowe:</w:t>
      </w:r>
    </w:p>
    <w:p w14:paraId="26B8E68B" w14:textId="77777777" w:rsidR="00EA0342" w:rsidRPr="00DB04F3" w:rsidRDefault="00EA0342" w:rsidP="00EA0342">
      <w:pPr>
        <w:pStyle w:val="Hanging12"/>
        <w:tabs>
          <w:tab w:val="clear" w:pos="357"/>
        </w:tabs>
        <w:ind w:left="1134"/>
      </w:pPr>
      <w:r>
        <w:t>(i)</w:t>
      </w:r>
      <w:r>
        <w:tab/>
        <w:t>negatywny obowiązek unikania sytuacji konfliktów interesów w odniesieniu do budżetu UE;</w:t>
      </w:r>
    </w:p>
    <w:p w14:paraId="1E711D8B" w14:textId="77777777" w:rsidR="00EA0342" w:rsidRPr="00DB04F3" w:rsidRDefault="00EA0342" w:rsidP="00EA0342">
      <w:pPr>
        <w:pStyle w:val="Hanging12"/>
        <w:tabs>
          <w:tab w:val="clear" w:pos="357"/>
        </w:tabs>
        <w:ind w:left="1134"/>
        <w:rPr>
          <w:szCs w:val="24"/>
        </w:rPr>
      </w:pPr>
      <w:r>
        <w:t>(ii)</w:t>
      </w:r>
      <w:r>
        <w:tab/>
        <w:t>pozytywny obowiązek podejmowania odpowiednich działań, aby zapobiegać powstawaniu konfliktów interesów w związku z powierzonymi im funkcjami oraz aby reagować na sytuacje, które obiektywnie mogą być postrzegane jako konflikt interesów;</w:t>
      </w:r>
    </w:p>
    <w:p w14:paraId="74871610" w14:textId="1D69C063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E.</w:t>
      </w:r>
      <w:r>
        <w:tab/>
      </w:r>
      <w:r>
        <w:rPr>
          <w:szCs w:val="24"/>
          <w:shd w:val="clear" w:color="auto" w:fill="FFFFFF"/>
        </w:rPr>
        <w:t>mając na uwadze, że zgodnie z orzecznictwem Trybunału Sprawiedliwości Unii Europejskiej</w:t>
      </w:r>
      <w:r w:rsidRPr="00DB04F3">
        <w:rPr>
          <w:rStyle w:val="FootnoteReference"/>
          <w:color w:val="000000"/>
          <w:szCs w:val="24"/>
          <w:shd w:val="clear" w:color="auto" w:fill="FFFFFF"/>
        </w:rPr>
        <w:footnoteReference w:id="5"/>
      </w:r>
      <w:r>
        <w:rPr>
          <w:szCs w:val="24"/>
          <w:shd w:val="clear" w:color="auto" w:fill="FFFFFF"/>
        </w:rPr>
        <w:t xml:space="preserve"> „konflikt interesów, obiektywnie i sam w sobie, stanowi poważną nieprawidłowość i nie ma potrzeby oceny intencji zaangażowanych stron ani tego, czy działały one w dobrej czy w złej wierze”; mając na uwadze, że obowiązkiem Komisji jest zawieszenie płatności z funduszów UE w sytuacjach, gdy występują poważne braki w działaniu systemów zarządzania i kontroli oraz gdy ujawniono nieodkryte, niezgłoszone i nieskorygowane poważne nieprawidłowości związane z konfliktem interesów;</w:t>
      </w:r>
    </w:p>
    <w:p w14:paraId="7D666955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F.</w:t>
      </w:r>
      <w:r>
        <w:tab/>
      </w:r>
      <w:r>
        <w:rPr>
          <w:szCs w:val="24"/>
          <w:shd w:val="clear" w:color="auto" w:fill="FFFFFF"/>
        </w:rPr>
        <w:t>mając na uwadze, że w dniu 19 września 2018 r. czeski oddział Transparency International złożył oficjalną skargę w Komisji, twierdząc, że czeski premier Andrej Babiš uporczywie naruszał przepisy prawa unijnego i czeskiego dotyczące konfliktów interesów;</w:t>
      </w:r>
    </w:p>
    <w:p w14:paraId="5CE3D617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G.</w:t>
      </w:r>
      <w:r>
        <w:tab/>
      </w:r>
      <w:r>
        <w:rPr>
          <w:szCs w:val="24"/>
          <w:shd w:val="clear" w:color="auto" w:fill="FFFFFF"/>
        </w:rPr>
        <w:t>mając na uwadze, że wykazano również, iż Andrej Babiš jest właścicielem rzeczywistym Agrofert – spółki kontrolującej grupę Agrofert, w której skład wchodzi m.in. szereg liczących się czeskich mediów – za pośrednictwem funduszy powierniczych AB I i AB II, których jest założycielem, a jednocześnie jedynym beneficjentem;</w:t>
      </w:r>
    </w:p>
    <w:p w14:paraId="2B992612" w14:textId="23408096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H.</w:t>
      </w:r>
      <w:r>
        <w:rPr>
          <w:szCs w:val="24"/>
          <w:shd w:val="clear" w:color="auto" w:fill="FFFFFF"/>
        </w:rPr>
        <w:tab/>
        <w:t>mając na uwadze, że A. Babiš jest też przewodniczącym czeskiej Rady ds. Europejskich Funduszy Strukturalnych i Inwestycyjnych;</w:t>
      </w:r>
    </w:p>
    <w:p w14:paraId="2D5641BA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I.</w:t>
      </w:r>
      <w:r>
        <w:tab/>
      </w:r>
      <w:r>
        <w:rPr>
          <w:szCs w:val="24"/>
          <w:shd w:val="clear" w:color="auto" w:fill="FFFFFF"/>
        </w:rPr>
        <w:t>mając na uwadze, że przedsiębiorstwa należące do grupy Agrofert uczestniczą w projektach finansowanych w ramach programu rozwoju obszarów wiejskich Republiki Czeskiej, który jest z kolei finansowany ze środków Europejskiego Funduszu Rolnego na rzecz Rozwoju Obszarów Wiejskich;</w:t>
      </w:r>
    </w:p>
    <w:p w14:paraId="61245775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J.</w:t>
      </w:r>
      <w:r>
        <w:tab/>
      </w:r>
      <w:r>
        <w:rPr>
          <w:szCs w:val="24"/>
          <w:shd w:val="clear" w:color="auto" w:fill="FFFFFF"/>
        </w:rPr>
        <w:t>mając na uwadze, że w latach 2014–2020 przedsiębiorstwa należące do grupy Agrofert otrzymały wysokie sumy z europejskich funduszy strukturalnych i inwestycyjnych, od 42 mln EUR w 2013 r. po 82 mln EUR w 2017 r.;</w:t>
      </w:r>
    </w:p>
    <w:p w14:paraId="4A3C0A01" w14:textId="76DFF2D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K.</w:t>
      </w:r>
      <w:r>
        <w:tab/>
      </w:r>
      <w:r>
        <w:rPr>
          <w:szCs w:val="24"/>
          <w:shd w:val="clear" w:color="auto" w:fill="FFFFFF"/>
        </w:rPr>
        <w:t xml:space="preserve">mając na uwadze, że w opinii Służby Prawnej Komisji stwierdza się, iż według oświadczenia o dochodach czeskich urzędników publicznych Andrej Babiš uzyskał w ciągu pierwszych sześciu miesięcy 2018 r. za pośrednictwem swych funduszy </w:t>
      </w:r>
      <w:r>
        <w:rPr>
          <w:szCs w:val="24"/>
          <w:shd w:val="clear" w:color="auto" w:fill="FFFFFF"/>
        </w:rPr>
        <w:lastRenderedPageBreak/>
        <w:t>powierniczych dochód z grupy Agrofert w wysokości 3,5 mln EUR;</w:t>
      </w:r>
    </w:p>
    <w:p w14:paraId="7C58B4C8" w14:textId="31FCD650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L.</w:t>
      </w:r>
      <w:r>
        <w:rPr>
          <w:szCs w:val="24"/>
          <w:shd w:val="clear" w:color="auto" w:fill="FFFFFF"/>
        </w:rPr>
        <w:tab/>
        <w:t>mając na uwadze, że w swoich rezolucjach w sprawie absolutorium Parlament wielokrotnie wzywał Komisję do przyspieszenia procedury kontroli zgodności rozliczeń w celu uzyskania informacji na temat ryzyka konfliktu interesów w odniesieniu do Państwowego Funduszu Interwencji Rolnej w Republice Czeskiej; mając również na uwadze, że Parlament podkreślił, iż niepodjęcie działań niezbędnych do zapobieżenia konfliktowi interesów może zobowiązać władze czeskie do cofnięcia akredytacji agencji płatniczej, a także prowadzić do zastosowania przez Komisję korekty finansowej;</w:t>
      </w:r>
    </w:p>
    <w:p w14:paraId="721C567D" w14:textId="6655B07C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M.</w:t>
      </w:r>
      <w:r>
        <w:tab/>
      </w:r>
      <w:r>
        <w:rPr>
          <w:szCs w:val="24"/>
          <w:shd w:val="clear" w:color="auto" w:fill="FFFFFF"/>
        </w:rPr>
        <w:t>mając na uwadze, że we wrześniu 2018 r. parlamentarna Komisja Kontroli Budżetowej postanowiła zająć się tą kwestią w ramach rocznej procedury udzielania absolutorium, przede wszystkim podczas wysłuchań komisarzy, których problem ten dotyczy w największym stopniu;</w:t>
      </w:r>
    </w:p>
    <w:p w14:paraId="442EE0BD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N.</w:t>
      </w:r>
      <w:r>
        <w:tab/>
      </w:r>
      <w:r>
        <w:rPr>
          <w:szCs w:val="24"/>
          <w:shd w:val="clear" w:color="auto" w:fill="FFFFFF"/>
        </w:rPr>
        <w:t>mając na uwadze, że wysłuchania te nie dały posłom do PE jasnych i wystarczających odpowiedzi na temat sytuacji potencjalnego konfliktu interesów premiera Czech;</w:t>
      </w:r>
    </w:p>
    <w:p w14:paraId="557078B8" w14:textId="332F9730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O.</w:t>
      </w:r>
      <w:r>
        <w:tab/>
      </w:r>
      <w:r>
        <w:rPr>
          <w:shd w:val="clear" w:color="auto" w:fill="FFFFFF"/>
        </w:rPr>
        <w:t>mając na uwadze, że w dniu 1 grudnia 2018 r. media europejskie, w tym „The Guardian”, „Le Monde”, „De Standaard” i „Süddeutsche Zeitung”, poinformowały o wydanej przez Służbę Prawną Komisji opinii prawnej potwierdzającej, że Andrej Babiš znajduje się w sytuacji konfliktu interesów;</w:t>
      </w:r>
    </w:p>
    <w:p w14:paraId="56D3FE50" w14:textId="63142EEB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1.</w:t>
      </w:r>
      <w:r>
        <w:tab/>
      </w:r>
      <w:r>
        <w:rPr>
          <w:szCs w:val="24"/>
          <w:shd w:val="clear" w:color="auto" w:fill="FFFFFF"/>
        </w:rPr>
        <w:t>jest głęboko zaniepokojony nieprzestrzeganiem przez Republikę Czeską art. 61 ust. 1 rozporządzenia finansowego w odniesieniu do konfliktu interesów premiera tego kraju i jego powiązań z grupą Agrofert;</w:t>
      </w:r>
    </w:p>
    <w:p w14:paraId="1DD02A3E" w14:textId="2157EEDC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2.</w:t>
      </w:r>
      <w:r>
        <w:tab/>
      </w:r>
      <w:r>
        <w:rPr>
          <w:szCs w:val="24"/>
          <w:shd w:val="clear" w:color="auto" w:fill="FFFFFF"/>
        </w:rPr>
        <w:t>ubolewa z powodu każdego konfliktu interesów, który mógłby zagrozić wykonaniu budżetu UE i podważyć zaufanie obywateli UE do właściwego zarządzania pieniędzmi unijnych podatników; wzywa Komisję do zadbania o to, by w odniesieniu do konfliktów interesów któregokolwiek polityka UE stosowano politykę zerowej tolerancji dla podwójnej moralności oraz aby nie znajdowano usprawiedliwienia dla opóźnień w związku z ochroną interesów finansowych Unii;</w:t>
      </w:r>
    </w:p>
    <w:p w14:paraId="55F14492" w14:textId="79AF5EA1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3.</w:t>
      </w:r>
      <w:r>
        <w:tab/>
      </w:r>
      <w:r>
        <w:rPr>
          <w:szCs w:val="24"/>
          <w:shd w:val="clear" w:color="auto" w:fill="FFFFFF"/>
        </w:rPr>
        <w:t>przypomina swoją rezolucję z dnia 27 kwietnia 2017 r. w sprawie udzielenia absolutorium z wykonania budżetu za rok budżetowy 2015</w:t>
      </w:r>
      <w:r w:rsidRPr="00DB04F3">
        <w:rPr>
          <w:rStyle w:val="FootnoteReference"/>
          <w:color w:val="000000"/>
          <w:szCs w:val="24"/>
          <w:shd w:val="clear" w:color="auto" w:fill="FFFFFF"/>
        </w:rPr>
        <w:footnoteReference w:id="6"/>
      </w:r>
      <w:r>
        <w:rPr>
          <w:szCs w:val="24"/>
          <w:shd w:val="clear" w:color="auto" w:fill="FFFFFF"/>
        </w:rPr>
        <w:t>, w której „zauważa, że Europejski Urząd ds. Zwalczania Nadużyć Finansowych (OLAF) wszczął postępowania administracyjne [...] w sprawie projektu z Czech zwanego „bocianie gniazdo” w związku z domniemanymi nieprawidłowościami” oraz „wzywa Komisję do natychmiastowego informowania właściwej komisji o zakończeniu postępowań”; przypomina swoją rezolucję z dnia 18 kwietnia 2018 r. w sprawie udzielenia absolutorium z wykonania budżetu za rok budżetowy 2016</w:t>
      </w:r>
      <w:r w:rsidRPr="00DB04F3">
        <w:rPr>
          <w:rStyle w:val="FootnoteReference"/>
          <w:color w:val="000000"/>
          <w:szCs w:val="24"/>
          <w:shd w:val="clear" w:color="auto" w:fill="FFFFFF"/>
        </w:rPr>
        <w:footnoteReference w:id="7"/>
      </w:r>
      <w:r>
        <w:rPr>
          <w:szCs w:val="24"/>
          <w:shd w:val="clear" w:color="auto" w:fill="FFFFFF"/>
        </w:rPr>
        <w:t>, w której „z zadowoleniem przyjmuje fakt, że OLAF zakończył postępowanie administracyjne w sprawie czeskiego projektu „bocianie gniazdo” i „wyraża ubolewanie z powodu poważnych nieprawidłowości stwierdzonych przez OLAF”;</w:t>
      </w:r>
    </w:p>
    <w:p w14:paraId="23E069C9" w14:textId="03ADC566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4.</w:t>
      </w:r>
      <w:r>
        <w:tab/>
      </w:r>
      <w:r>
        <w:rPr>
          <w:szCs w:val="24"/>
          <w:shd w:val="clear" w:color="auto" w:fill="FFFFFF"/>
        </w:rPr>
        <w:t xml:space="preserve">podkreśla, że biorąc pod uwagę bezpośrednie stosowanie art. 61 ust. 1 rozporządzenia finansowego w odniesieniu do konfliktów interesów, wszystkie podmioty </w:t>
      </w:r>
      <w:r>
        <w:rPr>
          <w:szCs w:val="24"/>
          <w:shd w:val="clear" w:color="auto" w:fill="FFFFFF"/>
        </w:rPr>
        <w:lastRenderedPageBreak/>
        <w:t>zaangażowane w wykonanie budżetu UE, w tym szefowie rządów, są odpowiedzialni za wypełnianie obowiązku zapobiegania konfliktom interesów oraz za reagowanie na sytuacje, które obiektywnie można uznać za konflikty interesów;</w:t>
      </w:r>
    </w:p>
    <w:p w14:paraId="73470834" w14:textId="44FB28F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5.</w:t>
      </w:r>
      <w:r>
        <w:rPr>
          <w:szCs w:val="24"/>
          <w:shd w:val="clear" w:color="auto" w:fill="FFFFFF"/>
        </w:rPr>
        <w:tab/>
        <w:t>ubolewa, że przez długi czas Komisja pozostała bierna, mimo że od 2014 r. istniały silne przesłanki wskazujące na to, że jako minister finansów, a następnie jako premier Andrej Babiš znalazł się w sytuacji konfliktu interesów;</w:t>
      </w:r>
    </w:p>
    <w:p w14:paraId="071297F9" w14:textId="1CA666A4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6.</w:t>
      </w:r>
      <w:r>
        <w:rPr>
          <w:szCs w:val="24"/>
          <w:shd w:val="clear" w:color="auto" w:fill="FFFFFF"/>
        </w:rPr>
        <w:tab/>
        <w:t>przypomina o spoczywającym na władzach krajowych obowiązku zapewnienia stosowania prawodawstwa Unii dotyczącego konfliktów interesów we wszystkich przypadkach i wobec wszystkich osób;</w:t>
      </w:r>
    </w:p>
    <w:p w14:paraId="6F5CE047" w14:textId="5E35604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7.</w:t>
      </w:r>
      <w:r>
        <w:rPr>
          <w:szCs w:val="24"/>
          <w:shd w:val="clear" w:color="auto" w:fill="FFFFFF"/>
        </w:rPr>
        <w:tab/>
        <w:t>wzywa Komisję do ustanowienia mechanizmu kontroli w celu rozwiązania kwestii konfliktów interesów w państwach członkowskich oraz do uznania aktywnego unikania konfliktów interesów za jeden z jej priorytetów; wzywa Komisję do podejmowania zdecydowanych działań, zwłaszcza gdy władze krajowe nie podejmą działań w celu zapobiegania konfliktom interesów ich najwyższych przedstawicieli;</w:t>
      </w:r>
    </w:p>
    <w:p w14:paraId="5915062B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8.</w:t>
      </w:r>
      <w:r>
        <w:tab/>
      </w:r>
      <w:r>
        <w:rPr>
          <w:szCs w:val="24"/>
          <w:shd w:val="clear" w:color="auto" w:fill="FFFFFF"/>
        </w:rPr>
        <w:t>wzywa Komisję, by niezwłocznie podjęła działania w tej sprawie w oparciu o opinię jej Służby Prawnej wydaną w związku ze skargą złożoną przez czeski oddział Transparency International oraz by wdrożyła niezbędne środki i procedury naprawcze w celu usunięcia wszelkich ewentualnych niezgodności z prawem, w tym środek w postaci zawieszenia wypłaty wszelkich funduszy unijnych na rzecz grupy Agrofert do czasu pełnego zbadania i rozwiązania konfliktu interesów;</w:t>
      </w:r>
    </w:p>
    <w:p w14:paraId="169A7B90" w14:textId="62825DD0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9.</w:t>
      </w:r>
      <w:r>
        <w:tab/>
      </w:r>
      <w:r>
        <w:rPr>
          <w:szCs w:val="24"/>
          <w:shd w:val="clear" w:color="auto" w:fill="FFFFFF"/>
        </w:rPr>
        <w:t>wzywa wszystkie organy krajowe i urzędników rządowych, by proaktywnie stosowali nowe rozporządzenie finansowe, w szczególności jego art. 61 dotyczący konfliktów interesów, aby zapobiegać sytuacjom, które szkodzą reputacji UE i jej państw członkowskich, demokracji i interesom finansowym UE, oraz aby służyli za przykład działania na rzecz dobra publicznego, a nie dla korzyści osobistych;</w:t>
      </w:r>
    </w:p>
    <w:p w14:paraId="3F82F1EB" w14:textId="7ED32074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10.</w:t>
      </w:r>
      <w:r>
        <w:tab/>
      </w:r>
      <w:r>
        <w:rPr>
          <w:szCs w:val="24"/>
          <w:shd w:val="clear" w:color="auto" w:fill="FFFFFF"/>
        </w:rPr>
        <w:t>wzywa parlamenty narodowe państw członkowskich do dołożenia starań, by żadne przepisy krajowe dotyczące zapobiegania konfliktom interesów nie były sprzeczne z duchem i literą nowego rozporządzenia finansowego;</w:t>
      </w:r>
    </w:p>
    <w:p w14:paraId="1D879D77" w14:textId="4B2A8F18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11.</w:t>
      </w:r>
      <w:r>
        <w:tab/>
      </w:r>
      <w:r>
        <w:rPr>
          <w:szCs w:val="24"/>
          <w:shd w:val="clear" w:color="auto" w:fill="FFFFFF"/>
        </w:rPr>
        <w:t>przyjmuje do wiadomości opinię Służby Prawnej Komisji w sprawie możliwego konfliktu interesów obecnego premiera Republiki Czeskiej Andreja Babiša, gdy dzierżył tekę ministra finansów w 2014 r.; domaga się, aby Komisja w pełni zbadała zgodność z prawem wszystkich dotacji UE wypłaconych grupie Agrofert od czasu wejścia Andreja Babiša do rządu, biorąc pod uwagę poprzednie rozporządzenie finansowe mające zastosowanie do dnia 2 sierpnia 2018 r., a także zawartą w nim sekcję dotyczącą konfliktów interesów;</w:t>
      </w:r>
    </w:p>
    <w:p w14:paraId="76B09094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12.</w:t>
      </w:r>
      <w:r>
        <w:tab/>
      </w:r>
      <w:r>
        <w:rPr>
          <w:szCs w:val="24"/>
          <w:shd w:val="clear" w:color="auto" w:fill="FFFFFF"/>
        </w:rPr>
        <w:t>zwraca się do Komisji o opublikowanie wszystkich znajdujących się w jej posiadaniu dokumentów związanych z możliwym konfliktem interesów premiera i ministra rolnictwa Republiki Czeskiej oraz o wyjaśnienie, jakie kroki zamierza podjąć w celu zaradzenia tej sytuacji;</w:t>
      </w:r>
    </w:p>
    <w:p w14:paraId="6EA7805D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13.</w:t>
      </w:r>
      <w:r>
        <w:tab/>
      </w:r>
      <w:r>
        <w:rPr>
          <w:szCs w:val="24"/>
          <w:shd w:val="clear" w:color="auto" w:fill="FFFFFF"/>
        </w:rPr>
        <w:t>wzywa Komisję do odzyskania wszystkich środków, które zostały wypłacone nielegalnie lub nieprawidłowo;</w:t>
      </w:r>
    </w:p>
    <w:p w14:paraId="2AF460B4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14.</w:t>
      </w:r>
      <w:r>
        <w:tab/>
      </w:r>
      <w:r>
        <w:rPr>
          <w:szCs w:val="24"/>
          <w:shd w:val="clear" w:color="auto" w:fill="FFFFFF"/>
        </w:rPr>
        <w:t xml:space="preserve">nalega na pełną przejrzystość wszelkich związków, jakie może mieć Andrej Babiš z </w:t>
      </w:r>
      <w:r>
        <w:rPr>
          <w:szCs w:val="24"/>
          <w:shd w:val="clear" w:color="auto" w:fill="FFFFFF"/>
        </w:rPr>
        <w:lastRenderedPageBreak/>
        <w:t>grupą Agrofert, oraz podkreśla, że nie mogą one kolidować z pełnioną przez niego funkcją premiera Republiki Czeskiej;</w:t>
      </w:r>
    </w:p>
    <w:p w14:paraId="7C2EA909" w14:textId="77777777" w:rsidR="00EA0342" w:rsidRPr="00DB04F3" w:rsidRDefault="00EA0342" w:rsidP="00EA0342">
      <w:pPr>
        <w:pStyle w:val="Hanging12"/>
        <w:tabs>
          <w:tab w:val="clear" w:pos="357"/>
        </w:tabs>
        <w:rPr>
          <w:szCs w:val="24"/>
          <w:shd w:val="clear" w:color="auto" w:fill="FFFFFF"/>
        </w:rPr>
      </w:pPr>
      <w:r>
        <w:t>15.</w:t>
      </w:r>
      <w:r>
        <w:tab/>
      </w:r>
      <w:r>
        <w:rPr>
          <w:szCs w:val="24"/>
          <w:shd w:val="clear" w:color="auto" w:fill="FFFFFF"/>
        </w:rPr>
        <w:t>wzywa Radę do podjęcia wszelkich niezbędnych i właściwych środków w celu zapobiegania konfliktom interesów w kontekście negocjacji dotyczących przyszłego budżetu UE oraz kolejnych wieloletnich ram finansowych, zgodnie z art. 61 ust. 1 rozporządzenia finansowego;</w:t>
      </w:r>
    </w:p>
    <w:p w14:paraId="2517C1B2" w14:textId="77777777" w:rsidR="00EA0342" w:rsidRPr="00DB04F3" w:rsidRDefault="00EA0342" w:rsidP="00EA0342">
      <w:pPr>
        <w:pStyle w:val="Hanging12"/>
        <w:tabs>
          <w:tab w:val="clear" w:pos="357"/>
        </w:tabs>
      </w:pPr>
      <w:r>
        <w:t>16.</w:t>
      </w:r>
      <w:r>
        <w:tab/>
      </w:r>
      <w:r>
        <w:rPr>
          <w:szCs w:val="24"/>
          <w:shd w:val="clear" w:color="auto" w:fill="FFFFFF"/>
        </w:rPr>
        <w:t>zobowiązuje swojego przewodniczącego do przekazania niniejszej rezolucji Komisji, Radzie oraz rządowi i parlamentowi Republiki Czeskiej.</w:t>
      </w:r>
    </w:p>
    <w:p w14:paraId="1B6E9438" w14:textId="77777777" w:rsidR="00EA0342" w:rsidRPr="00DB04F3" w:rsidRDefault="00EA0342" w:rsidP="00EA0342">
      <w:pPr>
        <w:pStyle w:val="Hanging12"/>
        <w:tabs>
          <w:tab w:val="clear" w:pos="357"/>
        </w:tabs>
      </w:pPr>
    </w:p>
    <w:p w14:paraId="7C38F7EA" w14:textId="77777777" w:rsidR="001B3354" w:rsidRPr="00DB04F3" w:rsidRDefault="001B3354" w:rsidP="00D62D4B">
      <w:pPr>
        <w:pStyle w:val="Hanging12"/>
        <w:tabs>
          <w:tab w:val="clear" w:pos="357"/>
        </w:tabs>
        <w:ind w:left="0" w:firstLine="0"/>
      </w:pPr>
    </w:p>
    <w:sectPr w:rsidR="001B3354" w:rsidRPr="00DB04F3" w:rsidSect="0067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F34E" w14:textId="77777777" w:rsidR="00600E09" w:rsidRPr="00DB04F3" w:rsidRDefault="00600E09">
      <w:r w:rsidRPr="00DB04F3">
        <w:separator/>
      </w:r>
    </w:p>
  </w:endnote>
  <w:endnote w:type="continuationSeparator" w:id="0">
    <w:p w14:paraId="5DD4DF5D" w14:textId="77777777" w:rsidR="00600E09" w:rsidRPr="00DB04F3" w:rsidRDefault="00600E09">
      <w:r w:rsidRPr="00DB04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6EEE4" w14:textId="5D713704" w:rsidR="0011699A" w:rsidRPr="00DB04F3" w:rsidRDefault="0011699A" w:rsidP="0011699A">
    <w:pPr>
      <w:pStyle w:val="Footer"/>
      <w:tabs>
        <w:tab w:val="center" w:pos="4535"/>
      </w:tabs>
    </w:pPr>
    <w:r w:rsidRPr="00DB04F3">
      <w:rPr>
        <w:rStyle w:val="HideTWBExt"/>
        <w:noProof w:val="0"/>
      </w:rPr>
      <w:t>&lt;PathFdR&gt;</w:t>
    </w:r>
    <w:r w:rsidRPr="00DB04F3">
      <w:t>RC\1172119PL.docx</w:t>
    </w:r>
    <w:r w:rsidRPr="00DB04F3">
      <w:rPr>
        <w:rStyle w:val="HideTWBExt"/>
        <w:noProof w:val="0"/>
      </w:rPr>
      <w:t>&lt;/PathFdR&gt;</w:t>
    </w:r>
    <w:r w:rsidRPr="00DB04F3">
      <w:tab/>
    </w:r>
    <w:r w:rsidRPr="00DB04F3">
      <w:fldChar w:fldCharType="begin"/>
    </w:r>
    <w:r w:rsidRPr="00DB04F3">
      <w:instrText xml:space="preserve"> PAGE  \* MERGEFORMAT </w:instrText>
    </w:r>
    <w:r w:rsidRPr="00DB04F3">
      <w:fldChar w:fldCharType="separate"/>
    </w:r>
    <w:r w:rsidR="003F2B92">
      <w:rPr>
        <w:noProof/>
      </w:rPr>
      <w:t>2</w:t>
    </w:r>
    <w:r w:rsidRPr="00DB04F3">
      <w:fldChar w:fldCharType="end"/>
    </w:r>
    <w:r w:rsidRPr="00DB04F3">
      <w:t>/</w:t>
    </w:r>
    <w:r w:rsidR="003F2B92">
      <w:rPr>
        <w:noProof/>
      </w:rPr>
      <w:fldChar w:fldCharType="begin"/>
    </w:r>
    <w:r w:rsidR="003F2B92">
      <w:rPr>
        <w:noProof/>
      </w:rPr>
      <w:instrText xml:space="preserve"> NUMPAGES  \* MERGEFORMAT </w:instrText>
    </w:r>
    <w:r w:rsidR="003F2B92">
      <w:rPr>
        <w:noProof/>
      </w:rPr>
      <w:fldChar w:fldCharType="separate"/>
    </w:r>
    <w:r w:rsidR="003F2B92">
      <w:rPr>
        <w:noProof/>
      </w:rPr>
      <w:t>6</w:t>
    </w:r>
    <w:r w:rsidR="003F2B92">
      <w:rPr>
        <w:noProof/>
      </w:rPr>
      <w:fldChar w:fldCharType="end"/>
    </w:r>
    <w:r w:rsidRPr="00DB04F3">
      <w:tab/>
      <w:t>PE</w:t>
    </w:r>
    <w:r w:rsidRPr="00DB04F3">
      <w:rPr>
        <w:rStyle w:val="HideTWBExt"/>
        <w:noProof w:val="0"/>
      </w:rPr>
      <w:t>&lt;NoPE&gt;</w:t>
    </w:r>
    <w:r w:rsidRPr="00DB04F3">
      <w:t>631.605</w:t>
    </w:r>
    <w:r w:rsidRPr="00DB04F3">
      <w:rPr>
        <w:rStyle w:val="HideTWBExt"/>
        <w:noProof w:val="0"/>
      </w:rPr>
      <w:t>&lt;/NoPE&gt;&lt;Version&gt;</w:t>
    </w:r>
    <w:r w:rsidRPr="00DB04F3">
      <w:t>v01-00</w:t>
    </w:r>
    <w:r w:rsidRPr="00DB04F3">
      <w:rPr>
        <w:rStyle w:val="HideTWBExt"/>
        <w:noProof w:val="0"/>
      </w:rPr>
      <w:t>&lt;/Version&gt;</w:t>
    </w:r>
    <w:r w:rsidRPr="00DB04F3">
      <w:t xml:space="preserve"> }</w:t>
    </w:r>
  </w:p>
  <w:p w14:paraId="37CF07EC" w14:textId="77777777" w:rsidR="0011699A" w:rsidRPr="00DB04F3" w:rsidRDefault="0011699A" w:rsidP="0011699A">
    <w:pPr>
      <w:pStyle w:val="Footer"/>
    </w:pPr>
    <w:r w:rsidRPr="00DB04F3">
      <w:tab/>
      <w:t>PE</w:t>
    </w:r>
    <w:r w:rsidRPr="00DB04F3">
      <w:rPr>
        <w:rStyle w:val="HideTWBExt"/>
        <w:noProof w:val="0"/>
      </w:rPr>
      <w:t>&lt;NoPE&gt;</w:t>
    </w:r>
    <w:r w:rsidRPr="00DB04F3">
      <w:t>631.606</w:t>
    </w:r>
    <w:r w:rsidRPr="00DB04F3">
      <w:rPr>
        <w:rStyle w:val="HideTWBExt"/>
        <w:noProof w:val="0"/>
      </w:rPr>
      <w:t>&lt;/NoPE&gt;&lt;Version&gt;</w:t>
    </w:r>
    <w:r w:rsidRPr="00DB04F3">
      <w:t>v01-00</w:t>
    </w:r>
    <w:r w:rsidRPr="00DB04F3">
      <w:rPr>
        <w:rStyle w:val="HideTWBExt"/>
        <w:noProof w:val="0"/>
      </w:rPr>
      <w:t>&lt;/Version&gt;</w:t>
    </w:r>
    <w:r w:rsidRPr="00DB04F3">
      <w:t xml:space="preserve"> } RC1</w:t>
    </w:r>
  </w:p>
  <w:p w14:paraId="4EAFBFF7" w14:textId="07329D6E" w:rsidR="00626D73" w:rsidRPr="00DB04F3" w:rsidRDefault="0011699A" w:rsidP="0011699A">
    <w:pPr>
      <w:pStyle w:val="Footer2"/>
    </w:pPr>
    <w:r w:rsidRPr="00DB04F3"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5112" w14:textId="60CBACE7" w:rsidR="0011699A" w:rsidRPr="00DB04F3" w:rsidRDefault="0011699A" w:rsidP="0011699A">
    <w:pPr>
      <w:pStyle w:val="Footer"/>
      <w:tabs>
        <w:tab w:val="center" w:pos="4535"/>
      </w:tabs>
    </w:pPr>
    <w:r w:rsidRPr="00DB04F3">
      <w:rPr>
        <w:rStyle w:val="HideTWBExt"/>
        <w:noProof w:val="0"/>
      </w:rPr>
      <w:t>&lt;PathFdR&gt;</w:t>
    </w:r>
    <w:r w:rsidRPr="00DB04F3">
      <w:t>RC\1172119PL.docx</w:t>
    </w:r>
    <w:r w:rsidRPr="00DB04F3">
      <w:rPr>
        <w:rStyle w:val="HideTWBExt"/>
        <w:noProof w:val="0"/>
      </w:rPr>
      <w:t>&lt;/PathFdR&gt;</w:t>
    </w:r>
    <w:r w:rsidRPr="00DB04F3">
      <w:tab/>
    </w:r>
    <w:r w:rsidRPr="00DB04F3">
      <w:fldChar w:fldCharType="begin"/>
    </w:r>
    <w:r w:rsidRPr="00DB04F3">
      <w:instrText xml:space="preserve"> PAGE  \* MERGEFORMAT </w:instrText>
    </w:r>
    <w:r w:rsidRPr="00DB04F3">
      <w:fldChar w:fldCharType="separate"/>
    </w:r>
    <w:r w:rsidR="003F2B92">
      <w:rPr>
        <w:noProof/>
      </w:rPr>
      <w:t>3</w:t>
    </w:r>
    <w:r w:rsidRPr="00DB04F3">
      <w:fldChar w:fldCharType="end"/>
    </w:r>
    <w:r w:rsidRPr="00DB04F3">
      <w:t>/</w:t>
    </w:r>
    <w:r w:rsidR="003F2B92">
      <w:rPr>
        <w:noProof/>
      </w:rPr>
      <w:fldChar w:fldCharType="begin"/>
    </w:r>
    <w:r w:rsidR="003F2B92">
      <w:rPr>
        <w:noProof/>
      </w:rPr>
      <w:instrText xml:space="preserve"> NUMPAGES  \* MERGEFORMAT </w:instrText>
    </w:r>
    <w:r w:rsidR="003F2B92">
      <w:rPr>
        <w:noProof/>
      </w:rPr>
      <w:fldChar w:fldCharType="separate"/>
    </w:r>
    <w:r w:rsidR="003F2B92">
      <w:rPr>
        <w:noProof/>
      </w:rPr>
      <w:t>6</w:t>
    </w:r>
    <w:r w:rsidR="003F2B92">
      <w:rPr>
        <w:noProof/>
      </w:rPr>
      <w:fldChar w:fldCharType="end"/>
    </w:r>
    <w:r w:rsidRPr="00DB04F3">
      <w:tab/>
      <w:t>PE</w:t>
    </w:r>
    <w:r w:rsidRPr="00DB04F3">
      <w:rPr>
        <w:rStyle w:val="HideTWBExt"/>
        <w:noProof w:val="0"/>
      </w:rPr>
      <w:t>&lt;NoPE&gt;</w:t>
    </w:r>
    <w:r w:rsidRPr="00DB04F3">
      <w:t>631.605</w:t>
    </w:r>
    <w:r w:rsidRPr="00DB04F3">
      <w:rPr>
        <w:rStyle w:val="HideTWBExt"/>
        <w:noProof w:val="0"/>
      </w:rPr>
      <w:t>&lt;/NoPE&gt;&lt;Version&gt;</w:t>
    </w:r>
    <w:r w:rsidRPr="00DB04F3">
      <w:t>v01-00</w:t>
    </w:r>
    <w:r w:rsidRPr="00DB04F3">
      <w:rPr>
        <w:rStyle w:val="HideTWBExt"/>
        <w:noProof w:val="0"/>
      </w:rPr>
      <w:t>&lt;/Version&gt;</w:t>
    </w:r>
    <w:r w:rsidRPr="00DB04F3">
      <w:t xml:space="preserve"> }</w:t>
    </w:r>
  </w:p>
  <w:p w14:paraId="370FF25B" w14:textId="77777777" w:rsidR="0011699A" w:rsidRPr="00DB04F3" w:rsidRDefault="0011699A" w:rsidP="0011699A">
    <w:pPr>
      <w:pStyle w:val="Footer"/>
    </w:pPr>
    <w:r w:rsidRPr="00DB04F3">
      <w:tab/>
      <w:t>PE</w:t>
    </w:r>
    <w:r w:rsidRPr="00DB04F3">
      <w:rPr>
        <w:rStyle w:val="HideTWBExt"/>
        <w:noProof w:val="0"/>
      </w:rPr>
      <w:t>&lt;NoPE&gt;</w:t>
    </w:r>
    <w:r w:rsidRPr="00DB04F3">
      <w:t>631.606</w:t>
    </w:r>
    <w:r w:rsidRPr="00DB04F3">
      <w:rPr>
        <w:rStyle w:val="HideTWBExt"/>
        <w:noProof w:val="0"/>
      </w:rPr>
      <w:t>&lt;/NoPE&gt;&lt;Version&gt;</w:t>
    </w:r>
    <w:r w:rsidRPr="00DB04F3">
      <w:t>v01-00</w:t>
    </w:r>
    <w:r w:rsidRPr="00DB04F3">
      <w:rPr>
        <w:rStyle w:val="HideTWBExt"/>
        <w:noProof w:val="0"/>
      </w:rPr>
      <w:t>&lt;/Version&gt;</w:t>
    </w:r>
    <w:r w:rsidRPr="00DB04F3">
      <w:t xml:space="preserve"> } RC1</w:t>
    </w:r>
  </w:p>
  <w:p w14:paraId="7B83C404" w14:textId="16513775" w:rsidR="00626D73" w:rsidRPr="00DB04F3" w:rsidRDefault="0011699A" w:rsidP="0011699A">
    <w:pPr>
      <w:pStyle w:val="Footer2"/>
    </w:pPr>
    <w:r w:rsidRPr="00DB04F3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DF54" w14:textId="77777777" w:rsidR="0011699A" w:rsidRPr="00DB04F3" w:rsidRDefault="0011699A" w:rsidP="0011699A">
    <w:pPr>
      <w:pStyle w:val="Footer"/>
    </w:pPr>
    <w:r w:rsidRPr="00DB04F3">
      <w:rPr>
        <w:rStyle w:val="HideTWBExt"/>
        <w:noProof w:val="0"/>
      </w:rPr>
      <w:t>&lt;PathFdR&gt;</w:t>
    </w:r>
    <w:r w:rsidRPr="00DB04F3">
      <w:t>RC\1172119PL.docx</w:t>
    </w:r>
    <w:r w:rsidRPr="00DB04F3">
      <w:rPr>
        <w:rStyle w:val="HideTWBExt"/>
        <w:noProof w:val="0"/>
      </w:rPr>
      <w:t>&lt;/PathFdR&gt;</w:t>
    </w:r>
    <w:r w:rsidRPr="00DB04F3">
      <w:tab/>
      <w:t>PE</w:t>
    </w:r>
    <w:r w:rsidRPr="00DB04F3">
      <w:rPr>
        <w:rStyle w:val="HideTWBExt"/>
        <w:noProof w:val="0"/>
      </w:rPr>
      <w:t>&lt;NoPE&gt;</w:t>
    </w:r>
    <w:r w:rsidRPr="00DB04F3">
      <w:t>631.605</w:t>
    </w:r>
    <w:r w:rsidRPr="00DB04F3">
      <w:rPr>
        <w:rStyle w:val="HideTWBExt"/>
        <w:noProof w:val="0"/>
      </w:rPr>
      <w:t>&lt;/NoPE&gt;&lt;Version&gt;</w:t>
    </w:r>
    <w:r w:rsidRPr="00DB04F3">
      <w:t>v01-00</w:t>
    </w:r>
    <w:r w:rsidRPr="00DB04F3">
      <w:rPr>
        <w:rStyle w:val="HideTWBExt"/>
        <w:noProof w:val="0"/>
      </w:rPr>
      <w:t>&lt;/Version&gt;</w:t>
    </w:r>
    <w:r w:rsidRPr="00DB04F3">
      <w:t xml:space="preserve"> }</w:t>
    </w:r>
  </w:p>
  <w:p w14:paraId="144466AC" w14:textId="77777777" w:rsidR="0011699A" w:rsidRPr="00DB04F3" w:rsidRDefault="0011699A" w:rsidP="0011699A">
    <w:pPr>
      <w:pStyle w:val="Footer"/>
    </w:pPr>
    <w:r w:rsidRPr="00DB04F3">
      <w:tab/>
      <w:t>PE</w:t>
    </w:r>
    <w:r w:rsidRPr="00DB04F3">
      <w:rPr>
        <w:rStyle w:val="HideTWBExt"/>
        <w:noProof w:val="0"/>
      </w:rPr>
      <w:t>&lt;NoPE&gt;</w:t>
    </w:r>
    <w:r w:rsidRPr="00DB04F3">
      <w:t>631.606</w:t>
    </w:r>
    <w:r w:rsidRPr="00DB04F3">
      <w:rPr>
        <w:rStyle w:val="HideTWBExt"/>
        <w:noProof w:val="0"/>
      </w:rPr>
      <w:t>&lt;/NoPE&gt;&lt;Version&gt;</w:t>
    </w:r>
    <w:r w:rsidRPr="00DB04F3">
      <w:t>v01-00</w:t>
    </w:r>
    <w:r w:rsidRPr="00DB04F3">
      <w:rPr>
        <w:rStyle w:val="HideTWBExt"/>
        <w:noProof w:val="0"/>
      </w:rPr>
      <w:t>&lt;/Version&gt;</w:t>
    </w:r>
    <w:r w:rsidRPr="00DB04F3">
      <w:t xml:space="preserve"> } RC1</w:t>
    </w:r>
  </w:p>
  <w:p w14:paraId="041758E8" w14:textId="0DC6B1C9" w:rsidR="00626D73" w:rsidRPr="00DB04F3" w:rsidRDefault="0011699A" w:rsidP="0011699A">
    <w:pPr>
      <w:pStyle w:val="Footer2"/>
      <w:tabs>
        <w:tab w:val="center" w:pos="4535"/>
      </w:tabs>
    </w:pPr>
    <w:r w:rsidRPr="00DB04F3">
      <w:t>PL</w:t>
    </w:r>
    <w:r w:rsidRPr="00DB04F3">
      <w:tab/>
    </w:r>
    <w:r w:rsidRPr="00DB04F3">
      <w:rPr>
        <w:b w:val="0"/>
        <w:i/>
        <w:color w:val="C0C0C0"/>
        <w:sz w:val="22"/>
      </w:rPr>
      <w:t>Zjednoczona w różnorodności</w:t>
    </w:r>
    <w:r w:rsidRPr="00DB04F3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6CA8" w14:textId="77777777" w:rsidR="00600E09" w:rsidRPr="00DB04F3" w:rsidRDefault="00600E09">
      <w:r w:rsidRPr="00DB04F3">
        <w:separator/>
      </w:r>
    </w:p>
  </w:footnote>
  <w:footnote w:type="continuationSeparator" w:id="0">
    <w:p w14:paraId="7CD5FEA4" w14:textId="77777777" w:rsidR="00600E09" w:rsidRPr="00DB04F3" w:rsidRDefault="00600E09">
      <w:r w:rsidRPr="00DB04F3">
        <w:continuationSeparator/>
      </w:r>
    </w:p>
  </w:footnote>
  <w:footnote w:id="1">
    <w:p w14:paraId="4810FF32" w14:textId="77777777" w:rsidR="00EA0342" w:rsidRPr="00DB04F3" w:rsidRDefault="00EA0342" w:rsidP="00EA034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Dz.U. L 246 z 14.9.2016, s. 1, Dz.U. L 252 z 29.9.2017, s. 1 i Dz.U. L 248 z 3.10.2018, s. 1.</w:t>
      </w:r>
    </w:p>
  </w:footnote>
  <w:footnote w:id="2">
    <w:p w14:paraId="4F1B075E" w14:textId="77777777" w:rsidR="00EA0342" w:rsidRPr="00DB04F3" w:rsidRDefault="00EA0342" w:rsidP="00EA034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Dz.U. L 193 z 30.7.2018, s. 1.</w:t>
      </w:r>
    </w:p>
  </w:footnote>
  <w:footnote w:id="3">
    <w:p w14:paraId="5AF671B2" w14:textId="77777777" w:rsidR="00EA0342" w:rsidRPr="00DB04F3" w:rsidRDefault="00EA0342" w:rsidP="00EA034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Dz.U. L 94 z 28.3.2014, s. 65.</w:t>
      </w:r>
    </w:p>
  </w:footnote>
  <w:footnote w:id="4">
    <w:p w14:paraId="3B749D9E" w14:textId="77777777" w:rsidR="00EA0342" w:rsidRPr="00DB04F3" w:rsidRDefault="00EA0342" w:rsidP="00EA034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Dz.U. L 347 z 20.12.2013, s. 320.</w:t>
      </w:r>
    </w:p>
  </w:footnote>
  <w:footnote w:id="5">
    <w:p w14:paraId="03CF9C15" w14:textId="77777777" w:rsidR="00EA0342" w:rsidRPr="00DB04F3" w:rsidRDefault="00EA0342" w:rsidP="00EA034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rPr>
          <w:i/>
        </w:rPr>
        <w:t>Ismeri Europa Srl</w:t>
      </w:r>
      <w:r>
        <w:t xml:space="preserve"> </w:t>
      </w:r>
      <w:r>
        <w:rPr>
          <w:i/>
        </w:rPr>
        <w:t>przeciwko Trybunałowi Obrachunkowemu</w:t>
      </w:r>
      <w:r>
        <w:t>, wyrok z 15.6.1999 w sprawie T-277/97, ECLI:EU:T:1999:124.</w:t>
      </w:r>
    </w:p>
  </w:footnote>
  <w:footnote w:id="6">
    <w:p w14:paraId="4EA37166" w14:textId="3B0CFE29" w:rsidR="00EA0342" w:rsidRPr="00DB04F3" w:rsidRDefault="00EA0342" w:rsidP="00EA034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Dz.U. L 252 z 29.9.2017, s. 28.</w:t>
      </w:r>
    </w:p>
  </w:footnote>
  <w:footnote w:id="7">
    <w:p w14:paraId="6F42307E" w14:textId="7C7F3632" w:rsidR="00EA0342" w:rsidRPr="00DB04F3" w:rsidRDefault="00EA0342" w:rsidP="00EA034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Teksty przyjęte, P8_TA(2018)0121.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EB39" w14:textId="77777777" w:rsidR="003F2B92" w:rsidRDefault="003F2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F15B" w14:textId="77777777" w:rsidR="003F2B92" w:rsidRDefault="003F2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FC02" w14:textId="77777777" w:rsidR="003F2B92" w:rsidRDefault="003F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MYVAR1" w:val="1"/>
    <w:docVar w:name="NVAR1" w:val="1"/>
    <w:docVar w:name="NVAR2" w:val="4"/>
    <w:docVar w:name="RULEMNU" w:val=" 1"/>
    <w:docVar w:name="strSubDir" w:val="1172"/>
    <w:docVar w:name="TABLERMNU" w:val=" 1"/>
    <w:docVar w:name="TXTLANGUE" w:val="PL"/>
    <w:docVar w:name="TXTLANGUEMIN" w:val="pl"/>
    <w:docVar w:name="TXTNRB1" w:val="0582/2018"/>
    <w:docVar w:name="TXTNRB2" w:val="0583/2018"/>
    <w:docVar w:name="TXTNRPE1" w:val="631.605"/>
    <w:docVar w:name="TXTNRPE2" w:val="631.606"/>
    <w:docVar w:name="TXTNRRSP" w:val="2018/2975"/>
    <w:docVar w:name="TXTPEorAP" w:val="PE"/>
    <w:docVar w:name="TXTROUTE" w:val="RC\1172119PL.docx"/>
    <w:docVar w:name="TXTTITLE" w:val="conflicts of interest and the protection of the EU budget in the Czech Republic"/>
    <w:docVar w:name="TXTVERSION1" w:val="01-00"/>
    <w:docVar w:name="TXTVERSION2" w:val="01-00"/>
  </w:docVars>
  <w:rsids>
    <w:rsidRoot w:val="00600E09"/>
    <w:rsid w:val="00005903"/>
    <w:rsid w:val="0001465F"/>
    <w:rsid w:val="00015CEC"/>
    <w:rsid w:val="0008467F"/>
    <w:rsid w:val="0011699A"/>
    <w:rsid w:val="00177088"/>
    <w:rsid w:val="001816C4"/>
    <w:rsid w:val="00184B3E"/>
    <w:rsid w:val="001B3354"/>
    <w:rsid w:val="001E6953"/>
    <w:rsid w:val="002439D4"/>
    <w:rsid w:val="00250797"/>
    <w:rsid w:val="002605F7"/>
    <w:rsid w:val="00263A64"/>
    <w:rsid w:val="002A0833"/>
    <w:rsid w:val="002A2B62"/>
    <w:rsid w:val="002C4BC5"/>
    <w:rsid w:val="002E2D08"/>
    <w:rsid w:val="00335275"/>
    <w:rsid w:val="003441B1"/>
    <w:rsid w:val="00365608"/>
    <w:rsid w:val="003957F5"/>
    <w:rsid w:val="003B03C1"/>
    <w:rsid w:val="003F2B92"/>
    <w:rsid w:val="00407A72"/>
    <w:rsid w:val="00445AC8"/>
    <w:rsid w:val="00486CC2"/>
    <w:rsid w:val="00487FA3"/>
    <w:rsid w:val="004D2136"/>
    <w:rsid w:val="004D5831"/>
    <w:rsid w:val="004E13DA"/>
    <w:rsid w:val="004F500E"/>
    <w:rsid w:val="00503B5F"/>
    <w:rsid w:val="00512790"/>
    <w:rsid w:val="0054682F"/>
    <w:rsid w:val="00552347"/>
    <w:rsid w:val="00554F5C"/>
    <w:rsid w:val="00584E73"/>
    <w:rsid w:val="005975D0"/>
    <w:rsid w:val="005B55C9"/>
    <w:rsid w:val="005C13B8"/>
    <w:rsid w:val="005E607B"/>
    <w:rsid w:val="005F6A25"/>
    <w:rsid w:val="00600E09"/>
    <w:rsid w:val="00626D73"/>
    <w:rsid w:val="006612B5"/>
    <w:rsid w:val="00676484"/>
    <w:rsid w:val="006B0926"/>
    <w:rsid w:val="00747149"/>
    <w:rsid w:val="00752855"/>
    <w:rsid w:val="00762DD4"/>
    <w:rsid w:val="00763757"/>
    <w:rsid w:val="007C394B"/>
    <w:rsid w:val="007C665E"/>
    <w:rsid w:val="007C6FD7"/>
    <w:rsid w:val="0082552A"/>
    <w:rsid w:val="008803A8"/>
    <w:rsid w:val="008B04F8"/>
    <w:rsid w:val="008C25E7"/>
    <w:rsid w:val="008E4B03"/>
    <w:rsid w:val="008F76C4"/>
    <w:rsid w:val="00905E62"/>
    <w:rsid w:val="009219DC"/>
    <w:rsid w:val="00926E4D"/>
    <w:rsid w:val="00953D81"/>
    <w:rsid w:val="00967F3D"/>
    <w:rsid w:val="0099390C"/>
    <w:rsid w:val="009D33CF"/>
    <w:rsid w:val="009E0666"/>
    <w:rsid w:val="00A01E41"/>
    <w:rsid w:val="00A30C33"/>
    <w:rsid w:val="00A52154"/>
    <w:rsid w:val="00A72F04"/>
    <w:rsid w:val="00AA1D6D"/>
    <w:rsid w:val="00AB70B2"/>
    <w:rsid w:val="00B011CF"/>
    <w:rsid w:val="00B15782"/>
    <w:rsid w:val="00B47668"/>
    <w:rsid w:val="00B602BC"/>
    <w:rsid w:val="00BB330A"/>
    <w:rsid w:val="00BE769F"/>
    <w:rsid w:val="00BF08DD"/>
    <w:rsid w:val="00BF67DA"/>
    <w:rsid w:val="00BF7471"/>
    <w:rsid w:val="00C55061"/>
    <w:rsid w:val="00C600AE"/>
    <w:rsid w:val="00CA2FB9"/>
    <w:rsid w:val="00CB6B3F"/>
    <w:rsid w:val="00CF6A5D"/>
    <w:rsid w:val="00D57C45"/>
    <w:rsid w:val="00D62D4B"/>
    <w:rsid w:val="00D66C36"/>
    <w:rsid w:val="00DA1707"/>
    <w:rsid w:val="00DB04F3"/>
    <w:rsid w:val="00E3396B"/>
    <w:rsid w:val="00E504B7"/>
    <w:rsid w:val="00EA0342"/>
    <w:rsid w:val="00EB246C"/>
    <w:rsid w:val="00EC024A"/>
    <w:rsid w:val="00F25968"/>
    <w:rsid w:val="00F849BF"/>
    <w:rsid w:val="00F92249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3E71B4"/>
  <w15:chartTrackingRefBased/>
  <w15:docId w15:val="{750B498C-2135-42FF-9D07-62AE7930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62D4B"/>
    <w:pPr>
      <w:widowControl/>
      <w:tabs>
        <w:tab w:val="left" w:pos="666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link w:val="CoverNormalChar"/>
    <w:pPr>
      <w:ind w:left="1418"/>
    </w:pPr>
  </w:style>
  <w:style w:type="character" w:customStyle="1" w:styleId="CoverNormalChar">
    <w:name w:val="CoverNormal Char"/>
    <w:link w:val="CoverNormal"/>
    <w:rsid w:val="002439D4"/>
    <w:rPr>
      <w:sz w:val="24"/>
      <w:lang w:val="pl-PL" w:eastAsia="en-GB" w:bidi="ar-SA"/>
    </w:rPr>
  </w:style>
  <w:style w:type="paragraph" w:customStyle="1" w:styleId="Hanging12">
    <w:name w:val="Hanging12"/>
    <w:basedOn w:val="Normal12"/>
    <w:rsid w:val="00445AC8"/>
    <w:pPr>
      <w:tabs>
        <w:tab w:val="left" w:pos="357"/>
      </w:tabs>
      <w:ind w:left="567" w:hanging="567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RC">
    <w:name w:val="TypeDocRC"/>
    <w:basedOn w:val="Normal24"/>
    <w:rsid w:val="00F92249"/>
    <w:pPr>
      <w:spacing w:before="360" w:after="36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fDocRC">
    <w:name w:val="RefDocRC"/>
    <w:basedOn w:val="Normal"/>
    <w:next w:val="Normal"/>
    <w:rsid w:val="00D57C45"/>
    <w:pPr>
      <w:widowControl/>
      <w:tabs>
        <w:tab w:val="left" w:pos="-1071"/>
        <w:tab w:val="left" w:pos="-873"/>
        <w:tab w:val="left" w:pos="-453"/>
        <w:tab w:val="left" w:pos="6804"/>
        <w:tab w:val="left" w:pos="8763"/>
        <w:tab w:val="left" w:pos="9046"/>
      </w:tabs>
      <w:jc w:val="both"/>
    </w:pPr>
    <w:rPr>
      <w:b/>
    </w:rPr>
  </w:style>
  <w:style w:type="table" w:styleId="TableGrid">
    <w:name w:val="Table Grid"/>
    <w:basedOn w:val="TableNormal"/>
    <w:rsid w:val="0075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75285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75285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52855"/>
    <w:pPr>
      <w:pBdr>
        <w:bottom w:val="single" w:sz="4" w:space="1" w:color="auto"/>
      </w:pBdr>
      <w:spacing w:after="480"/>
      <w:jc w:val="center"/>
    </w:pPr>
    <w:rPr>
      <w:rFonts w:ascii="Arial" w:hAnsi="Arial"/>
      <w:sz w:val="16"/>
      <w:szCs w:val="16"/>
    </w:rPr>
  </w:style>
  <w:style w:type="paragraph" w:customStyle="1" w:styleId="CoverBold">
    <w:name w:val="CoverBold"/>
    <w:basedOn w:val="CoverNormal"/>
    <w:link w:val="CoverBoldChar"/>
    <w:rsid w:val="00177088"/>
    <w:rPr>
      <w:b/>
    </w:rPr>
  </w:style>
  <w:style w:type="paragraph" w:customStyle="1" w:styleId="Normal36">
    <w:name w:val="Normal36"/>
    <w:basedOn w:val="Normal"/>
    <w:rsid w:val="0082552A"/>
    <w:pPr>
      <w:spacing w:after="720"/>
    </w:pPr>
  </w:style>
  <w:style w:type="paragraph" w:customStyle="1" w:styleId="Normal24Bold">
    <w:name w:val="Normal24Bold"/>
    <w:basedOn w:val="Normal"/>
    <w:rsid w:val="00AB70B2"/>
    <w:pPr>
      <w:spacing w:after="480"/>
    </w:pPr>
    <w:rPr>
      <w:b/>
    </w:rPr>
  </w:style>
  <w:style w:type="paragraph" w:customStyle="1" w:styleId="EPName">
    <w:name w:val="EPName"/>
    <w:basedOn w:val="Normal"/>
    <w:rsid w:val="00CA2FB9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CA2FB9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A2FB9"/>
    <w:pPr>
      <w:jc w:val="right"/>
    </w:pPr>
  </w:style>
  <w:style w:type="paragraph" w:customStyle="1" w:styleId="DateRC">
    <w:name w:val="DateRC"/>
    <w:basedOn w:val="Normal"/>
    <w:qFormat/>
    <w:rsid w:val="00F849BF"/>
  </w:style>
  <w:style w:type="paragraph" w:styleId="FootnoteText">
    <w:name w:val="footnote text"/>
    <w:basedOn w:val="Normal"/>
    <w:link w:val="FootnoteTextChar"/>
    <w:rsid w:val="00EA03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A0342"/>
  </w:style>
  <w:style w:type="character" w:styleId="FootnoteReference">
    <w:name w:val="footnote reference"/>
    <w:rsid w:val="00EA0342"/>
    <w:rPr>
      <w:vertAlign w:val="superscript"/>
    </w:rPr>
  </w:style>
  <w:style w:type="character" w:styleId="CommentReference">
    <w:name w:val="annotation reference"/>
    <w:basedOn w:val="DefaultParagraphFont"/>
    <w:rsid w:val="002605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5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05F7"/>
  </w:style>
  <w:style w:type="paragraph" w:styleId="CommentSubject">
    <w:name w:val="annotation subject"/>
    <w:basedOn w:val="CommentText"/>
    <w:next w:val="CommentText"/>
    <w:link w:val="CommentSubjectChar"/>
    <w:rsid w:val="00260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05F7"/>
    <w:rPr>
      <w:b/>
      <w:bCs/>
    </w:rPr>
  </w:style>
  <w:style w:type="paragraph" w:styleId="BalloonText">
    <w:name w:val="Balloon Text"/>
    <w:basedOn w:val="Normal"/>
    <w:link w:val="BalloonTextChar"/>
    <w:rsid w:val="00260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5F7"/>
    <w:rPr>
      <w:rFonts w:ascii="Segoe UI" w:hAnsi="Segoe UI" w:cs="Segoe UI"/>
      <w:sz w:val="18"/>
      <w:szCs w:val="18"/>
    </w:rPr>
  </w:style>
  <w:style w:type="paragraph" w:customStyle="1" w:styleId="FooterMultPE">
    <w:name w:val="FooterMultPE"/>
    <w:basedOn w:val="CoverBold"/>
    <w:link w:val="FooterMultPEChar"/>
    <w:rsid w:val="002605F7"/>
    <w:rPr>
      <w:b w:val="0"/>
    </w:rPr>
  </w:style>
  <w:style w:type="character" w:customStyle="1" w:styleId="CoverBoldChar">
    <w:name w:val="CoverBold Char"/>
    <w:basedOn w:val="CoverNormalChar"/>
    <w:link w:val="CoverBold"/>
    <w:rsid w:val="002605F7"/>
    <w:rPr>
      <w:b/>
      <w:sz w:val="24"/>
      <w:lang w:val="pl-PL" w:eastAsia="en-GB" w:bidi="ar-SA"/>
    </w:rPr>
  </w:style>
  <w:style w:type="character" w:customStyle="1" w:styleId="FooterMultPEChar">
    <w:name w:val="FooterMultPE Char"/>
    <w:basedOn w:val="CoverBoldChar"/>
    <w:link w:val="FooterMultPE"/>
    <w:rsid w:val="002605F7"/>
    <w:rPr>
      <w:b w:val="0"/>
      <w:sz w:val="24"/>
      <w:lang w:val="pl-PL" w:eastAsia="en-GB" w:bidi="ar-SA"/>
    </w:rPr>
  </w:style>
  <w:style w:type="character" w:styleId="Hyperlink">
    <w:name w:val="Hyperlink"/>
    <w:basedOn w:val="DefaultParagraphFont"/>
    <w:rsid w:val="009E06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2A0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10978</Characters>
  <Application>Microsoft Office Word</Application>
  <DocSecurity>0</DocSecurity>
  <Lines>207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</vt:lpstr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</dc:title>
  <dc:subject/>
  <dc:creator>CHASE Kathleen</dc:creator>
  <cp:keywords/>
  <dc:description/>
  <cp:lastModifiedBy>DREYFUS-PIETRANIK Joanna</cp:lastModifiedBy>
  <cp:revision>2</cp:revision>
  <cp:lastPrinted>2018-12-12T14:10:00Z</cp:lastPrinted>
  <dcterms:created xsi:type="dcterms:W3CDTF">2018-12-12T19:52:00Z</dcterms:created>
  <dcterms:modified xsi:type="dcterms:W3CDTF">2018-12-12T19:52:00Z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1172119</vt:lpwstr>
  </property>
  <property fmtid="{D5CDD505-2E9C-101B-9397-08002B2CF9AE}" pid="5" name="&lt;Type&gt;">
    <vt:lpwstr>RC</vt:lpwstr>
  </property>
  <property fmtid="{D5CDD505-2E9C-101B-9397-08002B2CF9AE}" pid="6" name="&lt;ModelCod&gt;">
    <vt:lpwstr>\\eiciLUXpr1\pdocep$\DocEP\DOCS\General\RC\RC.dot(29/11/2018 17:29:03)</vt:lpwstr>
  </property>
  <property fmtid="{D5CDD505-2E9C-101B-9397-08002B2CF9AE}" pid="7" name="&lt;ModelTra&gt;">
    <vt:lpwstr>\\eiciLUXpr1\pdocep$\DocEP\TRANSFIL\EN\RC.EN(05/11/2018 11:13:05)</vt:lpwstr>
  </property>
  <property fmtid="{D5CDD505-2E9C-101B-9397-08002B2CF9AE}" pid="8" name="&lt;Model&gt;">
    <vt:lpwstr>RC</vt:lpwstr>
  </property>
  <property fmtid="{D5CDD505-2E9C-101B-9397-08002B2CF9AE}" pid="9" name="FooterPath">
    <vt:lpwstr>RC\1172119PL.docx</vt:lpwstr>
  </property>
  <property fmtid="{D5CDD505-2E9C-101B-9397-08002B2CF9AE}" pid="10" name="Bookout">
    <vt:lpwstr>OK - 2018/12/12 20:52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PL</vt:lpwstr>
  </property>
</Properties>
</file>