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F050E7" w14:paraId="175F9FE7" w14:textId="77777777" w:rsidTr="004F500E">
        <w:trPr>
          <w:trHeight w:hRule="exact" w:val="1418"/>
        </w:trPr>
        <w:tc>
          <w:tcPr>
            <w:tcW w:w="6804" w:type="dxa"/>
            <w:shd w:val="clear" w:color="auto" w:fill="auto"/>
            <w:vAlign w:val="center"/>
          </w:tcPr>
          <w:p w14:paraId="4B9D6EF5" w14:textId="77777777" w:rsidR="00CA2FB9" w:rsidRPr="00F050E7" w:rsidRDefault="00F050E7" w:rsidP="004D5831">
            <w:pPr>
              <w:pStyle w:val="EPName"/>
              <w:rPr>
                <w:lang w:val="en-GB"/>
              </w:rPr>
            </w:pPr>
            <w:r w:rsidRPr="00F050E7">
              <w:rPr>
                <w:lang w:val="en-GB"/>
              </w:rPr>
              <w:t>European Parliament</w:t>
            </w:r>
          </w:p>
          <w:p w14:paraId="71B6832B" w14:textId="77777777" w:rsidR="00CA2FB9" w:rsidRPr="00BD29CB" w:rsidRDefault="00BD29CB" w:rsidP="00BD29CB">
            <w:pPr>
              <w:pStyle w:val="EPTerm"/>
              <w:rPr>
                <w:rStyle w:val="HideTWBExt"/>
                <w:noProof w:val="0"/>
                <w:vanish w:val="0"/>
                <w:color w:val="auto"/>
                <w:lang w:val="en-GB"/>
              </w:rPr>
            </w:pPr>
            <w:r>
              <w:t>2019-2024</w:t>
            </w:r>
          </w:p>
        </w:tc>
        <w:tc>
          <w:tcPr>
            <w:tcW w:w="2268" w:type="dxa"/>
            <w:shd w:val="clear" w:color="auto" w:fill="auto"/>
          </w:tcPr>
          <w:p w14:paraId="01D3047B" w14:textId="77777777" w:rsidR="00CA2FB9" w:rsidRPr="00F050E7" w:rsidRDefault="00D227E5" w:rsidP="004D5831">
            <w:pPr>
              <w:pStyle w:val="EPLogo"/>
            </w:pPr>
            <w:r>
              <w:pict w14:anchorId="0A76B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A8623C2" w14:textId="77777777" w:rsidR="00FF0919" w:rsidRPr="00F050E7" w:rsidRDefault="00FF0919" w:rsidP="00FF0919">
      <w:pPr>
        <w:pStyle w:val="LineTop"/>
        <w:rPr>
          <w:lang w:val="en-GB"/>
        </w:rPr>
      </w:pPr>
    </w:p>
    <w:p w14:paraId="171694DB" w14:textId="77777777" w:rsidR="00FF0919" w:rsidRPr="00F050E7" w:rsidRDefault="00F050E7" w:rsidP="00FF0919">
      <w:pPr>
        <w:pStyle w:val="ZSessionDoc"/>
      </w:pPr>
      <w:r w:rsidRPr="00F050E7">
        <w:t>Plenary sitting</w:t>
      </w:r>
    </w:p>
    <w:p w14:paraId="5859650E" w14:textId="77777777" w:rsidR="00752855" w:rsidRPr="00F050E7" w:rsidRDefault="00752855" w:rsidP="00752855">
      <w:pPr>
        <w:pStyle w:val="LineBottom"/>
      </w:pPr>
    </w:p>
    <w:p w14:paraId="7886BF92" w14:textId="77777777" w:rsidR="009D33CF" w:rsidRPr="00F050E7" w:rsidRDefault="00335275" w:rsidP="00D57C45">
      <w:pPr>
        <w:pStyle w:val="RefDocRC"/>
      </w:pPr>
      <w:r w:rsidRPr="00F050E7">
        <w:rPr>
          <w:rStyle w:val="HideTWBExt"/>
          <w:b w:val="0"/>
          <w:noProof w:val="0"/>
        </w:rPr>
        <w:t>&lt;RepeatBlock-NoDocSe&gt;</w:t>
      </w:r>
      <w:r w:rsidR="009D33CF" w:rsidRPr="00F050E7">
        <w:tab/>
      </w:r>
      <w:r w:rsidR="009D33CF" w:rsidRPr="00F050E7">
        <w:rPr>
          <w:rStyle w:val="HideTWBExt"/>
          <w:b w:val="0"/>
          <w:noProof w:val="0"/>
        </w:rPr>
        <w:t>&lt;NoDocSe&gt;</w:t>
      </w:r>
      <w:r w:rsidR="00BD29CB">
        <w:t>B9</w:t>
      </w:r>
      <w:r w:rsidR="00BD29CB">
        <w:noBreakHyphen/>
        <w:t>0013/2019</w:t>
      </w:r>
      <w:r w:rsidR="009D33CF" w:rsidRPr="00F050E7">
        <w:rPr>
          <w:rStyle w:val="HideTWBExt"/>
          <w:b w:val="0"/>
          <w:noProof w:val="0"/>
        </w:rPr>
        <w:t>&lt;/NoDocSe&gt;</w:t>
      </w:r>
      <w:r w:rsidR="009D33CF" w:rsidRPr="00F050E7">
        <w:t xml:space="preserve"> } </w:t>
      </w:r>
    </w:p>
    <w:p w14:paraId="64703D0C" w14:textId="77777777" w:rsidR="00BD29CB" w:rsidRPr="00F050E7" w:rsidRDefault="00BD29CB" w:rsidP="00BD29CB">
      <w:pPr>
        <w:pStyle w:val="RefDocRC"/>
      </w:pPr>
      <w:r w:rsidRPr="00F050E7">
        <w:tab/>
      </w:r>
      <w:r w:rsidRPr="00F050E7">
        <w:rPr>
          <w:rStyle w:val="HideTWBExt"/>
          <w:b w:val="0"/>
          <w:noProof w:val="0"/>
        </w:rPr>
        <w:t>&lt;NoDocSe&gt;</w:t>
      </w:r>
      <w:r>
        <w:t>B9</w:t>
      </w:r>
      <w:r>
        <w:noBreakHyphen/>
        <w:t>0015/2019</w:t>
      </w:r>
      <w:r w:rsidRPr="00F050E7">
        <w:rPr>
          <w:rStyle w:val="HideTWBExt"/>
          <w:b w:val="0"/>
          <w:noProof w:val="0"/>
        </w:rPr>
        <w:t>&lt;/NoDocSe&gt;</w:t>
      </w:r>
      <w:r w:rsidRPr="00F050E7">
        <w:t xml:space="preserve"> } </w:t>
      </w:r>
    </w:p>
    <w:p w14:paraId="40E2DCB0" w14:textId="77777777" w:rsidR="00BD29CB" w:rsidRPr="00F050E7" w:rsidRDefault="00BD29CB" w:rsidP="00BD29CB">
      <w:pPr>
        <w:pStyle w:val="RefDocRC"/>
      </w:pPr>
      <w:r w:rsidRPr="00F050E7">
        <w:tab/>
      </w:r>
      <w:r w:rsidRPr="00F050E7">
        <w:rPr>
          <w:rStyle w:val="HideTWBExt"/>
          <w:b w:val="0"/>
          <w:noProof w:val="0"/>
        </w:rPr>
        <w:t>&lt;NoDocSe&gt;</w:t>
      </w:r>
      <w:r>
        <w:t>B9</w:t>
      </w:r>
      <w:r>
        <w:noBreakHyphen/>
        <w:t>0017/2019</w:t>
      </w:r>
      <w:r w:rsidRPr="00F050E7">
        <w:rPr>
          <w:rStyle w:val="HideTWBExt"/>
          <w:b w:val="0"/>
          <w:noProof w:val="0"/>
        </w:rPr>
        <w:t>&lt;/NoDocSe&gt;</w:t>
      </w:r>
      <w:r w:rsidRPr="00F050E7">
        <w:t xml:space="preserve"> } </w:t>
      </w:r>
    </w:p>
    <w:p w14:paraId="5A3911EB" w14:textId="77777777" w:rsidR="00BD29CB" w:rsidRPr="00F050E7" w:rsidRDefault="00BD29CB" w:rsidP="00BD29CB">
      <w:pPr>
        <w:pStyle w:val="RefDocRC"/>
      </w:pPr>
      <w:r w:rsidRPr="00F050E7">
        <w:tab/>
      </w:r>
      <w:r w:rsidRPr="00F050E7">
        <w:rPr>
          <w:rStyle w:val="HideTWBExt"/>
          <w:b w:val="0"/>
          <w:noProof w:val="0"/>
        </w:rPr>
        <w:t>&lt;NoDocSe&gt;</w:t>
      </w:r>
      <w:r>
        <w:t>B9</w:t>
      </w:r>
      <w:r>
        <w:noBreakHyphen/>
        <w:t>0021/2019</w:t>
      </w:r>
      <w:r w:rsidRPr="00F050E7">
        <w:rPr>
          <w:rStyle w:val="HideTWBExt"/>
          <w:b w:val="0"/>
          <w:noProof w:val="0"/>
        </w:rPr>
        <w:t>&lt;/NoDocSe&gt;</w:t>
      </w:r>
      <w:r w:rsidRPr="00F050E7">
        <w:t xml:space="preserve"> } </w:t>
      </w:r>
    </w:p>
    <w:p w14:paraId="5A71573C" w14:textId="77777777" w:rsidR="009D33CF" w:rsidRPr="00BD29CB" w:rsidRDefault="009D33CF" w:rsidP="00D57C45">
      <w:pPr>
        <w:pStyle w:val="RefDocRC"/>
      </w:pPr>
      <w:r w:rsidRPr="00F050E7">
        <w:tab/>
      </w:r>
      <w:r w:rsidRPr="00BD29CB">
        <w:rPr>
          <w:rStyle w:val="HideTWBExt"/>
          <w:b w:val="0"/>
          <w:noProof w:val="0"/>
        </w:rPr>
        <w:t>&lt;NoDocSe&gt;</w:t>
      </w:r>
      <w:r w:rsidR="00BD29CB" w:rsidRPr="00BD29CB">
        <w:t>B9</w:t>
      </w:r>
      <w:r w:rsidR="00BD29CB" w:rsidRPr="00BD29CB">
        <w:noBreakHyphen/>
        <w:t>0023/2019</w:t>
      </w:r>
      <w:r w:rsidRPr="00BD29CB">
        <w:rPr>
          <w:rStyle w:val="HideTWBExt"/>
          <w:b w:val="0"/>
          <w:noProof w:val="0"/>
        </w:rPr>
        <w:t>&lt;/NoDocSe&gt;</w:t>
      </w:r>
      <w:r w:rsidR="00A72F04" w:rsidRPr="00BD29CB">
        <w:rPr>
          <w:rStyle w:val="HideTWBExt"/>
          <w:b w:val="0"/>
          <w:noProof w:val="0"/>
        </w:rPr>
        <w:t>&lt;</w:t>
      </w:r>
      <w:r w:rsidR="002E2D08" w:rsidRPr="00BD29CB">
        <w:rPr>
          <w:rStyle w:val="HideTWBExt"/>
          <w:b w:val="0"/>
          <w:noProof w:val="0"/>
        </w:rPr>
        <w:t>/</w:t>
      </w:r>
      <w:r w:rsidR="00A72F04" w:rsidRPr="00BD29CB">
        <w:rPr>
          <w:rStyle w:val="HideTWBExt"/>
          <w:b w:val="0"/>
          <w:noProof w:val="0"/>
        </w:rPr>
        <w:t>RepeatBlock-NoDocSe&gt;</w:t>
      </w:r>
      <w:r w:rsidRPr="00BD29CB">
        <w:t xml:space="preserve"> } RC1</w:t>
      </w:r>
    </w:p>
    <w:p w14:paraId="492C8418" w14:textId="77777777" w:rsidR="004F500E" w:rsidRPr="00BD29CB" w:rsidRDefault="004F500E" w:rsidP="00250797">
      <w:pPr>
        <w:widowControl/>
        <w:tabs>
          <w:tab w:val="left" w:pos="-1071"/>
          <w:tab w:val="left" w:pos="-873"/>
          <w:tab w:val="left" w:pos="-453"/>
          <w:tab w:val="left" w:pos="7059"/>
          <w:tab w:val="left" w:pos="8763"/>
          <w:tab w:val="left" w:pos="9044"/>
        </w:tabs>
        <w:jc w:val="both"/>
      </w:pPr>
    </w:p>
    <w:p w14:paraId="4BD46AC1" w14:textId="77777777" w:rsidR="004F500E" w:rsidRPr="00F050E7" w:rsidRDefault="004F500E" w:rsidP="00F849BF">
      <w:pPr>
        <w:pStyle w:val="DateRC"/>
      </w:pPr>
      <w:r w:rsidRPr="00F050E7">
        <w:rPr>
          <w:rStyle w:val="HideTWBExt"/>
          <w:noProof w:val="0"/>
        </w:rPr>
        <w:t>&lt;Date&gt;</w:t>
      </w:r>
      <w:r w:rsidR="00BD29CB" w:rsidRPr="00BD29CB">
        <w:rPr>
          <w:rStyle w:val="HideTWBInt"/>
        </w:rPr>
        <w:t>{17/07/2019}</w:t>
      </w:r>
      <w:r w:rsidR="00BD29CB">
        <w:t>17.7.2019</w:t>
      </w:r>
      <w:r w:rsidRPr="00F050E7">
        <w:rPr>
          <w:rStyle w:val="HideTWBExt"/>
          <w:noProof w:val="0"/>
        </w:rPr>
        <w:t>&lt;/Date&gt;</w:t>
      </w:r>
    </w:p>
    <w:p w14:paraId="2F104661" w14:textId="77777777" w:rsidR="009D33CF" w:rsidRPr="00F050E7" w:rsidRDefault="009D33CF">
      <w:pPr>
        <w:pStyle w:val="TypeDocRC"/>
      </w:pPr>
      <w:r w:rsidRPr="00F050E7">
        <w:rPr>
          <w:rStyle w:val="HideTWBExt"/>
          <w:b w:val="0"/>
          <w:noProof w:val="0"/>
        </w:rPr>
        <w:t>&lt;TitreType&gt;</w:t>
      </w:r>
      <w:r w:rsidR="00F050E7" w:rsidRPr="00F050E7">
        <w:t>JOINT MOTION FOR A RESOLUTION</w:t>
      </w:r>
      <w:r w:rsidRPr="00F050E7">
        <w:rPr>
          <w:rStyle w:val="HideTWBExt"/>
          <w:b w:val="0"/>
          <w:noProof w:val="0"/>
        </w:rPr>
        <w:t>&lt;/TitreType&gt;</w:t>
      </w:r>
    </w:p>
    <w:p w14:paraId="1E68D008" w14:textId="77777777" w:rsidR="009D33CF" w:rsidRPr="00F050E7" w:rsidRDefault="009D33CF">
      <w:pPr>
        <w:pStyle w:val="Cover12"/>
      </w:pPr>
      <w:r w:rsidRPr="00F050E7">
        <w:rPr>
          <w:rStyle w:val="HideTWBExt"/>
          <w:noProof w:val="0"/>
        </w:rPr>
        <w:t>&lt;TitreRecueil&gt;</w:t>
      </w:r>
      <w:r w:rsidR="00F050E7" w:rsidRPr="00F050E7">
        <w:t xml:space="preserve">pursuant to </w:t>
      </w:r>
      <w:r w:rsidR="00BD29CB">
        <w:t>Rules 144(5) and 132(4)</w:t>
      </w:r>
      <w:r w:rsidR="00F050E7" w:rsidRPr="00F050E7">
        <w:t xml:space="preserve"> of the Rules of Procedure</w:t>
      </w:r>
      <w:r w:rsidRPr="00F050E7">
        <w:rPr>
          <w:rStyle w:val="HideTWBExt"/>
          <w:noProof w:val="0"/>
        </w:rPr>
        <w:t>&lt;/TitreRecueil&gt;</w:t>
      </w:r>
    </w:p>
    <w:p w14:paraId="36017FC0" w14:textId="77777777" w:rsidR="00747149" w:rsidRPr="00F050E7" w:rsidRDefault="00B15782" w:rsidP="00747149">
      <w:pPr>
        <w:pStyle w:val="CoverNormal"/>
      </w:pPr>
      <w:r w:rsidRPr="00F050E7">
        <w:rPr>
          <w:rStyle w:val="HideTWBExt"/>
          <w:noProof w:val="0"/>
        </w:rPr>
        <w:t>&lt;Replacing&gt;</w:t>
      </w:r>
      <w:r w:rsidR="00F050E7" w:rsidRPr="00F050E7">
        <w:t>replacing the following motions:</w:t>
      </w:r>
      <w:r w:rsidRPr="00F050E7">
        <w:rPr>
          <w:rStyle w:val="HideTWBExt"/>
          <w:noProof w:val="0"/>
        </w:rPr>
        <w:t>&lt;/Replacing&gt;</w:t>
      </w:r>
    </w:p>
    <w:p w14:paraId="728EAF1B" w14:textId="77777777" w:rsidR="00747149" w:rsidRPr="00F050E7" w:rsidRDefault="00B15782" w:rsidP="00747149">
      <w:pPr>
        <w:pStyle w:val="CoverNormal"/>
      </w:pPr>
      <w:r w:rsidRPr="00F050E7">
        <w:rPr>
          <w:rStyle w:val="HideTWBExt"/>
          <w:noProof w:val="0"/>
        </w:rPr>
        <w:t>&lt;Tabl</w:t>
      </w:r>
      <w:r w:rsidR="00E504B7" w:rsidRPr="00F050E7">
        <w:rPr>
          <w:rStyle w:val="HideTWBExt"/>
          <w:noProof w:val="0"/>
        </w:rPr>
        <w:t>ingGroups</w:t>
      </w:r>
      <w:r w:rsidRPr="00F050E7">
        <w:rPr>
          <w:rStyle w:val="HideTWBExt"/>
          <w:noProof w:val="0"/>
        </w:rPr>
        <w:t>&gt;</w:t>
      </w:r>
      <w:r w:rsidR="00BD29CB">
        <w:t>B9</w:t>
      </w:r>
      <w:r w:rsidR="00BD29CB">
        <w:noBreakHyphen/>
      </w:r>
      <w:r w:rsidR="00BD29CB" w:rsidRPr="00BD29CB">
        <w:t>0013/2019</w:t>
      </w:r>
      <w:r w:rsidR="00747149" w:rsidRPr="00F050E7">
        <w:t xml:space="preserve"> (</w:t>
      </w:r>
      <w:r w:rsidR="00BD29CB">
        <w:t>Verts/ALE</w:t>
      </w:r>
      <w:r w:rsidR="00747149" w:rsidRPr="00F050E7">
        <w:t>)</w:t>
      </w:r>
    </w:p>
    <w:p w14:paraId="66E08E26" w14:textId="77777777" w:rsidR="00BD29CB" w:rsidRPr="00F050E7" w:rsidRDefault="00BD29CB" w:rsidP="00BD29CB">
      <w:pPr>
        <w:pStyle w:val="CoverNormal"/>
      </w:pPr>
      <w:r>
        <w:t>B9</w:t>
      </w:r>
      <w:r>
        <w:noBreakHyphen/>
      </w:r>
      <w:r w:rsidRPr="00BD29CB">
        <w:t>0015/2019</w:t>
      </w:r>
      <w:r w:rsidRPr="00F050E7">
        <w:t xml:space="preserve"> (</w:t>
      </w:r>
      <w:r>
        <w:t>ECR</w:t>
      </w:r>
      <w:r w:rsidRPr="00F050E7">
        <w:t>)</w:t>
      </w:r>
    </w:p>
    <w:p w14:paraId="4FBA4502" w14:textId="77777777" w:rsidR="00BD29CB" w:rsidRPr="00F050E7" w:rsidRDefault="00BD29CB" w:rsidP="00BD29CB">
      <w:pPr>
        <w:pStyle w:val="CoverNormal"/>
      </w:pPr>
      <w:r>
        <w:t>B9</w:t>
      </w:r>
      <w:r>
        <w:noBreakHyphen/>
      </w:r>
      <w:r w:rsidRPr="00BD29CB">
        <w:t>0017/2019</w:t>
      </w:r>
      <w:r w:rsidRPr="00F050E7">
        <w:t xml:space="preserve"> (</w:t>
      </w:r>
      <w:r>
        <w:t>S&amp;D</w:t>
      </w:r>
      <w:r w:rsidRPr="00F050E7">
        <w:t>)</w:t>
      </w:r>
    </w:p>
    <w:p w14:paraId="37F64B92" w14:textId="77777777" w:rsidR="00BD29CB" w:rsidRPr="00F050E7" w:rsidRDefault="00BD29CB" w:rsidP="00BD29CB">
      <w:pPr>
        <w:pStyle w:val="CoverNormal"/>
      </w:pPr>
      <w:r>
        <w:t>B9</w:t>
      </w:r>
      <w:r>
        <w:noBreakHyphen/>
      </w:r>
      <w:r w:rsidRPr="00BD29CB">
        <w:t>0021/2019</w:t>
      </w:r>
      <w:r w:rsidRPr="00F050E7">
        <w:t xml:space="preserve"> (</w:t>
      </w:r>
      <w:r>
        <w:t>PPE</w:t>
      </w:r>
      <w:r w:rsidRPr="00F050E7">
        <w:t>)</w:t>
      </w:r>
    </w:p>
    <w:p w14:paraId="7EBE04D0" w14:textId="77777777" w:rsidR="00747149" w:rsidRPr="00F050E7" w:rsidRDefault="00BD29CB" w:rsidP="00747149">
      <w:pPr>
        <w:pStyle w:val="Cover12"/>
      </w:pPr>
      <w:r>
        <w:t>B9</w:t>
      </w:r>
      <w:r>
        <w:noBreakHyphen/>
      </w:r>
      <w:r w:rsidRPr="00BD29CB">
        <w:t>0023/2019</w:t>
      </w:r>
      <w:r w:rsidR="00747149" w:rsidRPr="00F050E7">
        <w:t xml:space="preserve"> (</w:t>
      </w:r>
      <w:r>
        <w:t>Renew</w:t>
      </w:r>
      <w:r w:rsidR="00747149" w:rsidRPr="00F050E7">
        <w:t>)</w:t>
      </w:r>
      <w:r w:rsidR="00E504B7" w:rsidRPr="00F050E7">
        <w:rPr>
          <w:rStyle w:val="HideTWBExt"/>
          <w:noProof w:val="0"/>
        </w:rPr>
        <w:t>&lt;/TablingGroups&gt;</w:t>
      </w:r>
    </w:p>
    <w:p w14:paraId="5ACBAB87" w14:textId="77777777" w:rsidR="00747149" w:rsidRPr="00F050E7" w:rsidRDefault="00747149" w:rsidP="00747149">
      <w:pPr>
        <w:pStyle w:val="CoverNormal"/>
      </w:pPr>
      <w:r w:rsidRPr="00F050E7">
        <w:rPr>
          <w:rStyle w:val="HideTWBExt"/>
          <w:noProof w:val="0"/>
        </w:rPr>
        <w:t>&lt;Titre&gt;</w:t>
      </w:r>
      <w:r w:rsidR="00F050E7" w:rsidRPr="00F050E7">
        <w:t xml:space="preserve">on </w:t>
      </w:r>
      <w:r w:rsidR="00BD29CB">
        <w:t>the situation in Hong Kong</w:t>
      </w:r>
      <w:r w:rsidRPr="00F050E7">
        <w:rPr>
          <w:rStyle w:val="HideTWBExt"/>
          <w:noProof w:val="0"/>
        </w:rPr>
        <w:t>&lt;/Titre&gt;</w:t>
      </w:r>
    </w:p>
    <w:p w14:paraId="52803F92" w14:textId="77777777" w:rsidR="00747149" w:rsidRPr="00F050E7" w:rsidRDefault="00747149" w:rsidP="00747149">
      <w:pPr>
        <w:pStyle w:val="Cover24"/>
      </w:pPr>
      <w:r w:rsidRPr="00F050E7">
        <w:rPr>
          <w:rStyle w:val="HideTWBExt"/>
          <w:noProof w:val="0"/>
        </w:rPr>
        <w:t>&lt;DocRef&gt;</w:t>
      </w:r>
      <w:r w:rsidR="00F050E7" w:rsidRPr="00F050E7">
        <w:t>(</w:t>
      </w:r>
      <w:r w:rsidR="00BD29CB">
        <w:t>2019/2732</w:t>
      </w:r>
      <w:r w:rsidR="00F050E7" w:rsidRPr="00F050E7">
        <w:t>(RSP))</w:t>
      </w:r>
      <w:r w:rsidRPr="00F050E7">
        <w:rPr>
          <w:rStyle w:val="HideTWBExt"/>
          <w:noProof w:val="0"/>
        </w:rPr>
        <w:t>&lt;/DocRef&gt;</w:t>
      </w:r>
    </w:p>
    <w:p w14:paraId="1D13A29A" w14:textId="77777777" w:rsidR="00747149" w:rsidRPr="00F050E7" w:rsidRDefault="00747149" w:rsidP="00747149">
      <w:pPr>
        <w:pStyle w:val="CoverBold"/>
      </w:pPr>
      <w:r w:rsidRPr="00F050E7">
        <w:rPr>
          <w:rStyle w:val="HideTWBExt"/>
          <w:b w:val="0"/>
          <w:noProof w:val="0"/>
        </w:rPr>
        <w:t>&lt;RepeatBlock-By&gt;&lt;Depute&gt;</w:t>
      </w:r>
      <w:r w:rsidR="00BD29CB">
        <w:t>Michael Gahler, Tomáš Zdechovský, Antonio Tajani, Romana Tomc, Eva Maydell, Andrius Kubilius, Roberta Metsola, Krzysztof Hetman, Adam Jarubas, Milan Zver, Ivan Štefanec, Andrey Kovatchev, Peter Pollák, Vladimír Bilčík, Michal Wiezik, Michaela Šojdrová, Željana Zovko, David McAllister, Andrzej Halicki, Isabel Wiseler</w:t>
      </w:r>
      <w:r w:rsidR="00BD29CB">
        <w:noBreakHyphen/>
        <w:t>Lima, Loránt Vincze, Karoline Edtstadler, Dubravka Šuica, David Lega, Arba Kokalari, Sandra Kalniete, Luděk Niedermayer, Stanislav Polčák, Jiří Pospíšil, Benoît Lutgen, Inese Vaidere</w:t>
      </w:r>
      <w:r w:rsidRPr="00F050E7">
        <w:rPr>
          <w:rStyle w:val="HideTWBExt"/>
          <w:b w:val="0"/>
          <w:noProof w:val="0"/>
        </w:rPr>
        <w:t>&lt;/Depute&gt;</w:t>
      </w:r>
    </w:p>
    <w:p w14:paraId="1551AA44" w14:textId="77777777" w:rsidR="00747149" w:rsidRPr="00F050E7" w:rsidRDefault="00747149" w:rsidP="00747149">
      <w:pPr>
        <w:pStyle w:val="CoverNormal"/>
      </w:pPr>
      <w:r w:rsidRPr="00F050E7">
        <w:rPr>
          <w:rStyle w:val="HideTWBExt"/>
          <w:noProof w:val="0"/>
        </w:rPr>
        <w:t>&lt;Commission&gt;</w:t>
      </w:r>
      <w:r w:rsidR="00BD29CB" w:rsidRPr="00BD29CB">
        <w:rPr>
          <w:rStyle w:val="HideTWBInt"/>
        </w:rPr>
        <w:t>{PPE}</w:t>
      </w:r>
      <w:r w:rsidR="00BD29CB">
        <w:t>on behalf of the PPE Group</w:t>
      </w:r>
      <w:r w:rsidRPr="00F050E7">
        <w:rPr>
          <w:rStyle w:val="HideTWBExt"/>
          <w:noProof w:val="0"/>
        </w:rPr>
        <w:t>&lt;/Commission&gt;</w:t>
      </w:r>
    </w:p>
    <w:p w14:paraId="78FDAEA5" w14:textId="77777777" w:rsidR="00BD29CB" w:rsidRPr="00BD29CB" w:rsidRDefault="00BD29CB" w:rsidP="00BD29CB">
      <w:pPr>
        <w:pStyle w:val="CoverBold"/>
        <w:rPr>
          <w:lang w:val="it-IT"/>
        </w:rPr>
      </w:pPr>
      <w:r w:rsidRPr="00BD29CB">
        <w:rPr>
          <w:rStyle w:val="HideTWBExt"/>
          <w:b w:val="0"/>
          <w:noProof w:val="0"/>
          <w:lang w:val="it-IT"/>
        </w:rPr>
        <w:t>&lt;Depute&gt;</w:t>
      </w:r>
      <w:r w:rsidRPr="00BD29CB">
        <w:rPr>
          <w:lang w:val="it-IT"/>
        </w:rPr>
        <w:t>Kati Piri, Tonino Picula</w:t>
      </w:r>
      <w:r w:rsidRPr="00BD29CB">
        <w:rPr>
          <w:rStyle w:val="HideTWBExt"/>
          <w:b w:val="0"/>
          <w:noProof w:val="0"/>
          <w:lang w:val="it-IT"/>
        </w:rPr>
        <w:t>&lt;/Depute&gt;</w:t>
      </w:r>
    </w:p>
    <w:p w14:paraId="3721D5C5" w14:textId="77777777" w:rsidR="00BD29CB" w:rsidRPr="00F050E7" w:rsidRDefault="00BD29CB" w:rsidP="00BD29CB">
      <w:pPr>
        <w:pStyle w:val="CoverNormal"/>
      </w:pPr>
      <w:r w:rsidRPr="00F050E7">
        <w:rPr>
          <w:rStyle w:val="HideTWBExt"/>
          <w:noProof w:val="0"/>
        </w:rPr>
        <w:t>&lt;Commission&gt;</w:t>
      </w:r>
      <w:r w:rsidRPr="00BD29CB">
        <w:rPr>
          <w:rStyle w:val="HideTWBInt"/>
        </w:rPr>
        <w:t>{S&amp;D}</w:t>
      </w:r>
      <w:r>
        <w:t>on behalf of the S&amp;D Group</w:t>
      </w:r>
      <w:r w:rsidRPr="00F050E7">
        <w:rPr>
          <w:rStyle w:val="HideTWBExt"/>
          <w:noProof w:val="0"/>
        </w:rPr>
        <w:t>&lt;/Commission&gt;</w:t>
      </w:r>
    </w:p>
    <w:p w14:paraId="2812BAB6" w14:textId="77777777" w:rsidR="00BD29CB" w:rsidRPr="00BD29CB" w:rsidRDefault="00BD29CB" w:rsidP="00BD29CB">
      <w:pPr>
        <w:pStyle w:val="CoverBold"/>
      </w:pPr>
      <w:r w:rsidRPr="00F050E7">
        <w:rPr>
          <w:rStyle w:val="HideTWBExt"/>
          <w:b w:val="0"/>
          <w:noProof w:val="0"/>
        </w:rPr>
        <w:t>&lt;Depute&gt;</w:t>
      </w:r>
      <w:r>
        <w:t xml:space="preserve">Antony Hook, Andrus Ansip, Petras Auštrevičius, José Ramón Bauzá </w:t>
      </w:r>
      <w:r>
        <w:lastRenderedPageBreak/>
        <w:t>Díaz, Izaskun Bilbao Barandica, Jordi Cañas, Catherine Chabaud, Olivier Chastel, Pascal Durand, Laurence Farreng, Valter Flego, Luis Garicano, Cristian Ghinea, Klemen Grošelj, Christophe Grudler, Bernard Guetta, Irena Joveva, Pierre Karleskind, Ondřej Kovařík, Ilhan Kyuchyuk, Javier Nart, Urmas Paet, Maite Pagazaurtundúa, Mauri Pekkarinen, Dragoş Pîslaru, Frédérique Ries, María Soraya Rodríguez Ramos, Stéphane Séjourné, Michal Šimečka, Susana Solís Pérez, Nicolae Ştefănuță, Ramona Strugariu, Irène Tolleret, Dragoş Tudorache, Viktor Uspaskich, Hilde Vautmans, Marie</w:t>
      </w:r>
      <w:r>
        <w:noBreakHyphen/>
        <w:t>Pierre Vedrenne</w:t>
      </w:r>
      <w:r w:rsidRPr="00BD29CB">
        <w:rPr>
          <w:rStyle w:val="HideTWBExt"/>
          <w:b w:val="0"/>
          <w:noProof w:val="0"/>
          <w:color w:val="auto"/>
        </w:rPr>
        <w:t>&lt;/Depute&gt;</w:t>
      </w:r>
    </w:p>
    <w:p w14:paraId="7191B147" w14:textId="77777777" w:rsidR="00BD29CB" w:rsidRPr="00F050E7" w:rsidRDefault="00BD29CB" w:rsidP="00BD29CB">
      <w:pPr>
        <w:pStyle w:val="CoverNormal"/>
      </w:pPr>
      <w:r w:rsidRPr="00F050E7">
        <w:rPr>
          <w:rStyle w:val="HideTWBExt"/>
          <w:noProof w:val="0"/>
        </w:rPr>
        <w:t>&lt;Commission&gt;</w:t>
      </w:r>
      <w:r w:rsidRPr="00BD29CB">
        <w:rPr>
          <w:rStyle w:val="HideTWBInt"/>
        </w:rPr>
        <w:t>{Renew}</w:t>
      </w:r>
      <w:r>
        <w:t>on behalf of the Renew Group</w:t>
      </w:r>
      <w:r w:rsidRPr="00F050E7">
        <w:rPr>
          <w:rStyle w:val="HideTWBExt"/>
          <w:noProof w:val="0"/>
        </w:rPr>
        <w:t>&lt;/Commission&gt;</w:t>
      </w:r>
    </w:p>
    <w:p w14:paraId="7D4AF6D6" w14:textId="77777777" w:rsidR="00BD29CB" w:rsidRPr="00BD29CB" w:rsidRDefault="00BD29CB" w:rsidP="00BD29CB">
      <w:pPr>
        <w:pStyle w:val="CoverBold"/>
      </w:pPr>
      <w:r w:rsidRPr="00F050E7">
        <w:rPr>
          <w:rStyle w:val="HideTWBExt"/>
          <w:b w:val="0"/>
          <w:noProof w:val="0"/>
        </w:rPr>
        <w:t>&lt;Depute&gt;</w:t>
      </w:r>
      <w:r>
        <w:t>Reinhard Bütikofer, Ernest Urtasun, Viola Von Cramon</w:t>
      </w:r>
      <w:r>
        <w:noBreakHyphen/>
        <w:t>Taubadel, Monika Vana, Hannah Neumann, Gina Dowding</w:t>
      </w:r>
      <w:r w:rsidRPr="00BD29CB">
        <w:rPr>
          <w:rStyle w:val="HideTWBExt"/>
          <w:b w:val="0"/>
          <w:noProof w:val="0"/>
          <w:color w:val="auto"/>
        </w:rPr>
        <w:t>&lt;/Depute&gt;</w:t>
      </w:r>
    </w:p>
    <w:p w14:paraId="3FEC6E4C" w14:textId="77777777" w:rsidR="00BD29CB" w:rsidRPr="00F050E7" w:rsidRDefault="00BD29CB" w:rsidP="00BD29CB">
      <w:pPr>
        <w:pStyle w:val="CoverNormal"/>
      </w:pPr>
      <w:r w:rsidRPr="00F050E7">
        <w:rPr>
          <w:rStyle w:val="HideTWBExt"/>
          <w:noProof w:val="0"/>
        </w:rPr>
        <w:t>&lt;Commission&gt;</w:t>
      </w:r>
      <w:r w:rsidRPr="00BD29CB">
        <w:rPr>
          <w:rStyle w:val="HideTWBInt"/>
        </w:rPr>
        <w:t>{Verts/ALE}</w:t>
      </w:r>
      <w:r>
        <w:t>on behalf of the Verts/ALE Group</w:t>
      </w:r>
      <w:r w:rsidRPr="00F050E7">
        <w:rPr>
          <w:rStyle w:val="HideTWBExt"/>
          <w:noProof w:val="0"/>
        </w:rPr>
        <w:t>&lt;/Commission&gt;</w:t>
      </w:r>
    </w:p>
    <w:p w14:paraId="6C502B81" w14:textId="77777777" w:rsidR="00BD29CB" w:rsidRPr="00F050E7" w:rsidRDefault="00BD29CB" w:rsidP="00BD29CB">
      <w:pPr>
        <w:pStyle w:val="CoverBold"/>
      </w:pPr>
      <w:r w:rsidRPr="00F050E7">
        <w:rPr>
          <w:rStyle w:val="HideTWBExt"/>
          <w:b w:val="0"/>
          <w:noProof w:val="0"/>
        </w:rPr>
        <w:t>&lt;Depute&gt;</w:t>
      </w:r>
      <w:r>
        <w:t>Anna Fotyga, Jadwiga Wiśniewska, Alexandr Vondra, Beata Kempa, Valdemar Tomaševski, Evžen Tošenovský, Assita Kanko, Charlie Weimers</w:t>
      </w:r>
      <w:r w:rsidRPr="00F050E7">
        <w:rPr>
          <w:rStyle w:val="HideTWBExt"/>
          <w:b w:val="0"/>
          <w:noProof w:val="0"/>
        </w:rPr>
        <w:t>&lt;/Depute&gt;</w:t>
      </w:r>
    </w:p>
    <w:p w14:paraId="5AA1E228" w14:textId="77777777" w:rsidR="00BD29CB" w:rsidRPr="00F050E7" w:rsidRDefault="00BD29CB" w:rsidP="00BD29CB">
      <w:pPr>
        <w:pStyle w:val="CoverNormal"/>
      </w:pPr>
      <w:r w:rsidRPr="00F050E7">
        <w:rPr>
          <w:rStyle w:val="HideTWBExt"/>
          <w:noProof w:val="0"/>
        </w:rPr>
        <w:t>&lt;Commission&gt;</w:t>
      </w:r>
      <w:r w:rsidRPr="00BD29CB">
        <w:rPr>
          <w:rStyle w:val="HideTWBInt"/>
        </w:rPr>
        <w:t>{ECR}</w:t>
      </w:r>
      <w:r>
        <w:t>on behalf of the ECR Group</w:t>
      </w:r>
      <w:r w:rsidRPr="00F050E7">
        <w:rPr>
          <w:rStyle w:val="HideTWBExt"/>
          <w:noProof w:val="0"/>
        </w:rPr>
        <w:t>&lt;/Commission&gt;</w:t>
      </w:r>
    </w:p>
    <w:p w14:paraId="0F6E00C3" w14:textId="77777777" w:rsidR="00747149" w:rsidRPr="00BD29CB" w:rsidRDefault="00747149" w:rsidP="00747149">
      <w:pPr>
        <w:pStyle w:val="CoverBold"/>
        <w:rPr>
          <w:lang w:val="it-IT"/>
        </w:rPr>
      </w:pPr>
      <w:r w:rsidRPr="00BD29CB">
        <w:rPr>
          <w:rStyle w:val="HideTWBExt"/>
          <w:b w:val="0"/>
          <w:noProof w:val="0"/>
          <w:lang w:val="it-IT"/>
        </w:rPr>
        <w:t>&lt;Depute&gt;</w:t>
      </w:r>
      <w:r w:rsidR="00BD29CB" w:rsidRPr="00BD29CB">
        <w:rPr>
          <w:lang w:val="it-IT"/>
        </w:rPr>
        <w:t>Fabio Massimo Castaldo</w:t>
      </w:r>
      <w:r w:rsidRPr="00BD29CB">
        <w:rPr>
          <w:rStyle w:val="HideTWBExt"/>
          <w:b w:val="0"/>
          <w:noProof w:val="0"/>
          <w:color w:val="auto"/>
          <w:lang w:val="it-IT"/>
        </w:rPr>
        <w:t>&lt;/Depute&gt;</w:t>
      </w:r>
    </w:p>
    <w:p w14:paraId="0A1FDF5B" w14:textId="77777777" w:rsidR="00747149" w:rsidRPr="00F050E7" w:rsidRDefault="00747149" w:rsidP="00BB330A">
      <w:pPr>
        <w:pStyle w:val="CoverNormal"/>
      </w:pPr>
      <w:r w:rsidRPr="00F050E7">
        <w:rPr>
          <w:rStyle w:val="HideTWBExt"/>
          <w:noProof w:val="0"/>
        </w:rPr>
        <w:t>&lt;/RepeatBlock-By&gt;</w:t>
      </w:r>
      <w:bookmarkStart w:id="0" w:name="_GoBack"/>
      <w:bookmarkEnd w:id="0"/>
    </w:p>
    <w:p w14:paraId="03C8677A" w14:textId="77777777" w:rsidR="00AB70B2" w:rsidRPr="00F050E7" w:rsidRDefault="009D33CF" w:rsidP="00AB70B2">
      <w:pPr>
        <w:pStyle w:val="NormalBold"/>
      </w:pPr>
      <w:r w:rsidRPr="00F050E7">
        <w:br w:type="page"/>
      </w:r>
      <w:r w:rsidR="00F050E7" w:rsidRPr="00F050E7">
        <w:lastRenderedPageBreak/>
        <w:t xml:space="preserve">European Parliament resolution on </w:t>
      </w:r>
      <w:r w:rsidR="00BD29CB" w:rsidRPr="00BD29CB">
        <w:t>the situation in Hong Kong</w:t>
      </w:r>
    </w:p>
    <w:p w14:paraId="3A365663" w14:textId="77777777" w:rsidR="00AB70B2" w:rsidRPr="00F050E7" w:rsidRDefault="00F050E7" w:rsidP="00AB70B2">
      <w:pPr>
        <w:pStyle w:val="Normal24Bold"/>
      </w:pPr>
      <w:r w:rsidRPr="00F050E7">
        <w:t>(</w:t>
      </w:r>
      <w:r w:rsidR="00BD29CB" w:rsidRPr="00BD29CB">
        <w:t>2019/2732</w:t>
      </w:r>
      <w:r w:rsidRPr="00F050E7">
        <w:t>(RSP))</w:t>
      </w:r>
    </w:p>
    <w:p w14:paraId="519CEE1A" w14:textId="77777777" w:rsidR="009D33CF" w:rsidRPr="00F050E7" w:rsidRDefault="00F050E7" w:rsidP="0082552A">
      <w:pPr>
        <w:pStyle w:val="Normal12"/>
      </w:pPr>
      <w:r w:rsidRPr="00F050E7">
        <w:rPr>
          <w:i/>
        </w:rPr>
        <w:t>The European Parliament</w:t>
      </w:r>
      <w:r w:rsidRPr="00F050E7">
        <w:t>,</w:t>
      </w:r>
    </w:p>
    <w:p w14:paraId="63BA915A" w14:textId="36FA0B67" w:rsidR="00D227E5" w:rsidRPr="00DC0A82" w:rsidRDefault="00D227E5" w:rsidP="00D227E5">
      <w:pPr>
        <w:pStyle w:val="Hanging12"/>
        <w:tabs>
          <w:tab w:val="clear" w:pos="357"/>
        </w:tabs>
      </w:pPr>
      <w:r>
        <w:t>–</w:t>
      </w:r>
      <w:r>
        <w:tab/>
        <w:t>having regard to its previous resolutions on Hong Kong,</w:t>
      </w:r>
    </w:p>
    <w:p w14:paraId="076714C6" w14:textId="1DD07E3E" w:rsidR="00D227E5" w:rsidRPr="00DC0A82" w:rsidRDefault="00D227E5" w:rsidP="00D227E5">
      <w:pPr>
        <w:pStyle w:val="Hanging12"/>
        <w:tabs>
          <w:tab w:val="clear" w:pos="357"/>
        </w:tabs>
      </w:pPr>
      <w:r>
        <w:t>–</w:t>
      </w:r>
      <w:r>
        <w:tab/>
        <w:t xml:space="preserve">having regard to the </w:t>
      </w:r>
      <w:r>
        <w:t>s</w:t>
      </w:r>
      <w:r>
        <w:t xml:space="preserve">tatement by the Spokesperson of the European External Action Service (EEAS) </w:t>
      </w:r>
      <w:r>
        <w:t>of</w:t>
      </w:r>
      <w:r>
        <w:t xml:space="preserve"> 12 June 2019 on the ongoing protests against the proposed extradition reforms in Hong Kong,</w:t>
      </w:r>
    </w:p>
    <w:p w14:paraId="189492B3" w14:textId="6287C63F" w:rsidR="00D227E5" w:rsidRPr="00DC0A82" w:rsidRDefault="00D227E5" w:rsidP="00D227E5">
      <w:pPr>
        <w:pStyle w:val="Hanging12"/>
        <w:tabs>
          <w:tab w:val="clear" w:pos="357"/>
        </w:tabs>
      </w:pPr>
      <w:r>
        <w:t>–</w:t>
      </w:r>
      <w:r>
        <w:tab/>
        <w:t xml:space="preserve">having regard to the </w:t>
      </w:r>
      <w:r>
        <w:t>statement</w:t>
      </w:r>
      <w:r>
        <w:t xml:space="preserve"> by the Spokesperson of the EEAS</w:t>
      </w:r>
      <w:r>
        <w:t xml:space="preserve"> of 1 July 2019</w:t>
      </w:r>
      <w:r>
        <w:t xml:space="preserve"> on the latest developments in Hong Kong,</w:t>
      </w:r>
    </w:p>
    <w:p w14:paraId="16CC9B4C" w14:textId="77777777" w:rsidR="00D227E5" w:rsidRPr="00DC0A82" w:rsidRDefault="00D227E5" w:rsidP="00D227E5">
      <w:pPr>
        <w:pStyle w:val="Hanging12"/>
        <w:tabs>
          <w:tab w:val="clear" w:pos="357"/>
        </w:tabs>
      </w:pPr>
      <w:r>
        <w:t>–</w:t>
      </w:r>
      <w:r>
        <w:tab/>
        <w:t>having regard to the Basic Law of the Special Administrative Region (SAR) of Hong Kong adopted on 4 April 1990, which entered into force on 1 July 1997,</w:t>
      </w:r>
    </w:p>
    <w:p w14:paraId="426E63EA" w14:textId="2CD7A626" w:rsidR="00D227E5" w:rsidRPr="00DC0A82" w:rsidRDefault="00D227E5" w:rsidP="00D227E5">
      <w:pPr>
        <w:pStyle w:val="Hanging12"/>
        <w:tabs>
          <w:tab w:val="clear" w:pos="357"/>
        </w:tabs>
      </w:pPr>
      <w:r>
        <w:t>–</w:t>
      </w:r>
      <w:r>
        <w:tab/>
        <w:t>having regard to the Joint Declaration of the Government of the United Kingdom and the Government of the People</w:t>
      </w:r>
      <w:r w:rsidR="00E83D2F">
        <w:t>’</w:t>
      </w:r>
      <w:r>
        <w:t>s Republic of China on the Question of Hong Kong of 19 December 1984, also known as the Sino-British Joint Declaration,</w:t>
      </w:r>
    </w:p>
    <w:p w14:paraId="1FFBCF6B" w14:textId="2DDF09E4" w:rsidR="00D227E5" w:rsidRPr="00DC0A82" w:rsidRDefault="00D227E5" w:rsidP="00D227E5">
      <w:pPr>
        <w:pStyle w:val="Hanging12"/>
        <w:tabs>
          <w:tab w:val="clear" w:pos="357"/>
        </w:tabs>
      </w:pPr>
      <w:r>
        <w:t>–</w:t>
      </w:r>
      <w:r>
        <w:tab/>
        <w:t xml:space="preserve">having regard to the </w:t>
      </w:r>
      <w:r>
        <w:t>joint report of the</w:t>
      </w:r>
      <w:r>
        <w:t xml:space="preserve"> Commission and </w:t>
      </w:r>
      <w:r>
        <w:t xml:space="preserve">the </w:t>
      </w:r>
      <w:r>
        <w:t>Vice-President</w:t>
      </w:r>
      <w:r>
        <w:t xml:space="preserve"> of the Commission / </w:t>
      </w:r>
      <w:r>
        <w:t xml:space="preserve">High Representative </w:t>
      </w:r>
      <w:r>
        <w:t>of the Union for Foreign Affairs and Security Policy (VP/HR)</w:t>
      </w:r>
      <w:r>
        <w:t xml:space="preserve"> to the European Parliament and the Council</w:t>
      </w:r>
      <w:r>
        <w:t xml:space="preserve"> of 8 May 2018, entitled </w:t>
      </w:r>
      <w:r w:rsidR="00E83D2F">
        <w:t>‘</w:t>
      </w:r>
      <w:r>
        <w:t xml:space="preserve">Hong Kong Special Administrative Region: Annual Report </w:t>
      </w:r>
      <w:r>
        <w:t>2018</w:t>
      </w:r>
      <w:r w:rsidR="00E83D2F">
        <w:t>’</w:t>
      </w:r>
      <w:r>
        <w:t>,</w:t>
      </w:r>
    </w:p>
    <w:p w14:paraId="1A50F352" w14:textId="2065852D" w:rsidR="00D227E5" w:rsidRPr="00DC0A82" w:rsidRDefault="00D227E5" w:rsidP="00D227E5">
      <w:pPr>
        <w:pStyle w:val="Hanging12"/>
        <w:tabs>
          <w:tab w:val="clear" w:pos="357"/>
        </w:tabs>
      </w:pPr>
      <w:r>
        <w:t>–</w:t>
      </w:r>
      <w:r>
        <w:tab/>
        <w:t xml:space="preserve">having regard to the </w:t>
      </w:r>
      <w:r>
        <w:t>j</w:t>
      </w:r>
      <w:r>
        <w:t>oint statement of the 21st EU-China summit of 9 April 2019,</w:t>
      </w:r>
    </w:p>
    <w:p w14:paraId="2E935427" w14:textId="77777777" w:rsidR="00D227E5" w:rsidRPr="00DC0A82" w:rsidRDefault="00D227E5" w:rsidP="00D227E5">
      <w:pPr>
        <w:pStyle w:val="Hanging12"/>
        <w:tabs>
          <w:tab w:val="clear" w:pos="357"/>
        </w:tabs>
      </w:pPr>
      <w:r>
        <w:t>–</w:t>
      </w:r>
      <w:r>
        <w:tab/>
        <w:t xml:space="preserve">having regard to the EU-China dialogue on human rights, launched in 1995, and </w:t>
      </w:r>
      <w:r>
        <w:t xml:space="preserve">to </w:t>
      </w:r>
      <w:r>
        <w:t>the 37th round of this dialogue</w:t>
      </w:r>
      <w:r>
        <w:t>,</w:t>
      </w:r>
      <w:r>
        <w:t xml:space="preserve"> of 1-2 April 2019,</w:t>
      </w:r>
    </w:p>
    <w:p w14:paraId="65101AF5" w14:textId="0ABCD9B6" w:rsidR="00D227E5" w:rsidRPr="00DC0A82" w:rsidRDefault="00D227E5" w:rsidP="00D227E5">
      <w:pPr>
        <w:pStyle w:val="Hanging12"/>
        <w:tabs>
          <w:tab w:val="clear" w:pos="357"/>
        </w:tabs>
      </w:pPr>
      <w:r>
        <w:t>–</w:t>
      </w:r>
      <w:r>
        <w:tab/>
        <w:t xml:space="preserve">having regard to the joint communication from the Commission and the </w:t>
      </w:r>
      <w:r>
        <w:t xml:space="preserve">VP/HR </w:t>
      </w:r>
      <w:r>
        <w:t>to the European Parliament and the Council</w:t>
      </w:r>
      <w:r>
        <w:t xml:space="preserve"> of 12 March 2019 entitled</w:t>
      </w:r>
      <w:r>
        <w:t xml:space="preserve"> </w:t>
      </w:r>
      <w:r w:rsidR="00E83D2F">
        <w:t>‘</w:t>
      </w:r>
      <w:r>
        <w:t>EU-China – A strategic outlook</w:t>
      </w:r>
      <w:r w:rsidR="00E83D2F">
        <w:t>’</w:t>
      </w:r>
      <w:r>
        <w:t>,</w:t>
      </w:r>
    </w:p>
    <w:p w14:paraId="7BA11BE9" w14:textId="77777777" w:rsidR="00D227E5" w:rsidRPr="00DC0A82" w:rsidRDefault="00D227E5" w:rsidP="00D227E5">
      <w:pPr>
        <w:pStyle w:val="Hanging12"/>
        <w:tabs>
          <w:tab w:val="clear" w:pos="357"/>
        </w:tabs>
      </w:pPr>
      <w:r>
        <w:t>–</w:t>
      </w:r>
      <w:r>
        <w:tab/>
        <w:t>having regard to the International Covenant on Civil and Political Rights of 16 December 1966,</w:t>
      </w:r>
    </w:p>
    <w:p w14:paraId="6EB8C070" w14:textId="0500E630" w:rsidR="00D227E5" w:rsidRPr="00DC0A82" w:rsidRDefault="00D227E5" w:rsidP="00D227E5">
      <w:pPr>
        <w:pStyle w:val="Hanging12"/>
        <w:tabs>
          <w:tab w:val="clear" w:pos="357"/>
        </w:tabs>
      </w:pPr>
      <w:r>
        <w:t>–</w:t>
      </w:r>
      <w:r>
        <w:tab/>
        <w:t>having regard to the UN Convention against Torture and Other Cruel, Inhuman or Degrading Treatment or Punishment,</w:t>
      </w:r>
    </w:p>
    <w:p w14:paraId="40BB8033" w14:textId="77777777" w:rsidR="00D227E5" w:rsidRPr="00DC0A82" w:rsidRDefault="00D227E5" w:rsidP="00D227E5">
      <w:pPr>
        <w:pStyle w:val="Hanging12"/>
        <w:tabs>
          <w:tab w:val="clear" w:pos="357"/>
        </w:tabs>
      </w:pPr>
      <w:r>
        <w:t>–</w:t>
      </w:r>
      <w:r>
        <w:tab/>
        <w:t>having regard to the Universal Declaration of Human Rights of 1948,</w:t>
      </w:r>
    </w:p>
    <w:p w14:paraId="7431F393" w14:textId="2BE06EF3" w:rsidR="00D227E5" w:rsidRPr="00DC0A82" w:rsidRDefault="00D227E5" w:rsidP="00D227E5">
      <w:pPr>
        <w:pStyle w:val="Hanging12"/>
        <w:tabs>
          <w:tab w:val="clear" w:pos="357"/>
        </w:tabs>
      </w:pPr>
      <w:r>
        <w:t>–</w:t>
      </w:r>
      <w:r>
        <w:tab/>
        <w:t>having regard to the United Nations</w:t>
      </w:r>
      <w:r w:rsidR="00E83D2F">
        <w:t>’</w:t>
      </w:r>
      <w:r>
        <w:t xml:space="preserve"> universal periodic review (UPR) of China carried out in November 2018,</w:t>
      </w:r>
    </w:p>
    <w:p w14:paraId="3B5A4072" w14:textId="0E8B704B" w:rsidR="00D227E5" w:rsidRPr="00DC0A82" w:rsidRDefault="00D227E5" w:rsidP="00D227E5">
      <w:pPr>
        <w:pStyle w:val="Hanging12"/>
        <w:tabs>
          <w:tab w:val="clear" w:pos="357"/>
        </w:tabs>
      </w:pPr>
      <w:r>
        <w:t>–</w:t>
      </w:r>
      <w:r>
        <w:tab/>
        <w:t>having regard to Rule</w:t>
      </w:r>
      <w:r w:rsidRPr="00DC0A82">
        <w:t>s</w:t>
      </w:r>
      <w:r w:rsidR="00D0251E">
        <w:t xml:space="preserve"> 144(5) and 132(4)</w:t>
      </w:r>
      <w:r>
        <w:t xml:space="preserve"> of its Rules of Procedure,</w:t>
      </w:r>
    </w:p>
    <w:p w14:paraId="10671A93" w14:textId="2E6565C4" w:rsidR="00D227E5" w:rsidRPr="00DC0A82" w:rsidRDefault="00D227E5" w:rsidP="00D227E5">
      <w:pPr>
        <w:pStyle w:val="Hanging12"/>
        <w:tabs>
          <w:tab w:val="clear" w:pos="357"/>
        </w:tabs>
        <w:rPr>
          <w:szCs w:val="24"/>
        </w:rPr>
      </w:pPr>
      <w:r>
        <w:t>A.</w:t>
      </w:r>
      <w:r>
        <w:tab/>
        <w:t xml:space="preserve">whereas the promotion </w:t>
      </w:r>
      <w:r>
        <w:t xml:space="preserve">of </w:t>
      </w:r>
      <w:r>
        <w:t xml:space="preserve">and respect for human rights, democracy and the rule of law should remain at the centre </w:t>
      </w:r>
      <w:r>
        <w:t xml:space="preserve">of </w:t>
      </w:r>
      <w:r>
        <w:t>the long</w:t>
      </w:r>
      <w:r>
        <w:t>-</w:t>
      </w:r>
      <w:r>
        <w:t>standing relationship between the EU and China, in line with the EU</w:t>
      </w:r>
      <w:r w:rsidR="00E83D2F">
        <w:t>’</w:t>
      </w:r>
      <w:r>
        <w:t>s commitment to uphold these values in its external action and China</w:t>
      </w:r>
      <w:r w:rsidR="00E83D2F">
        <w:t>’</w:t>
      </w:r>
      <w:r>
        <w:t>s expressed interest in adhering to these very values in its own development and international cooperation;</w:t>
      </w:r>
    </w:p>
    <w:p w14:paraId="5E7345FA" w14:textId="4C1C5313" w:rsidR="00D227E5" w:rsidRPr="00DC0A82" w:rsidRDefault="00D227E5" w:rsidP="00D227E5">
      <w:pPr>
        <w:pStyle w:val="Hanging12"/>
        <w:tabs>
          <w:tab w:val="clear" w:pos="357"/>
        </w:tabs>
        <w:rPr>
          <w:szCs w:val="24"/>
        </w:rPr>
      </w:pPr>
      <w:r>
        <w:t>B.</w:t>
      </w:r>
      <w:r>
        <w:tab/>
        <w:t xml:space="preserve">whereas the </w:t>
      </w:r>
      <w:r>
        <w:t xml:space="preserve">Government of the </w:t>
      </w:r>
      <w:r>
        <w:t>Hong Kong Special Administrative Region (HKSAR) has proposed the Fugitive Offenders and Mutual Legal Assistance in Criminal Matters Legislation (Amendment) Bill 2019 to amend the Fugitive Offenders Ordinance (FOO) and the Mutual Legal Assistance in Criminal Matters Ordinance (MLAO);</w:t>
      </w:r>
    </w:p>
    <w:p w14:paraId="07507A17" w14:textId="5EEE296D" w:rsidR="00D227E5" w:rsidRPr="00DC0A82" w:rsidRDefault="00D227E5" w:rsidP="00D227E5">
      <w:pPr>
        <w:pStyle w:val="Hanging12"/>
        <w:tabs>
          <w:tab w:val="clear" w:pos="357"/>
        </w:tabs>
      </w:pPr>
      <w:r>
        <w:t>C.</w:t>
      </w:r>
      <w:r>
        <w:tab/>
        <w:t>whereas Hong Kong</w:t>
      </w:r>
      <w:r w:rsidR="00E83D2F">
        <w:t>’</w:t>
      </w:r>
      <w:r>
        <w:t>s</w:t>
      </w:r>
      <w:r>
        <w:t xml:space="preserve"> leader Carrie Lam announced </w:t>
      </w:r>
      <w:r>
        <w:t xml:space="preserve">on 9 July that </w:t>
      </w:r>
      <w:r>
        <w:t>the widely</w:t>
      </w:r>
      <w:r>
        <w:t xml:space="preserve"> </w:t>
      </w:r>
      <w:r>
        <w:t xml:space="preserve">loathed legislation was </w:t>
      </w:r>
      <w:r w:rsidR="00E83D2F">
        <w:t>‘</w:t>
      </w:r>
      <w:r>
        <w:t>dead</w:t>
      </w:r>
      <w:r w:rsidR="00E83D2F">
        <w:t>’</w:t>
      </w:r>
      <w:r>
        <w:t>; whereas</w:t>
      </w:r>
      <w:r>
        <w:t xml:space="preserve"> she stopped short of announcing that the </w:t>
      </w:r>
      <w:r>
        <w:t>b</w:t>
      </w:r>
      <w:r>
        <w:t>ill would be withdrawn;</w:t>
      </w:r>
    </w:p>
    <w:p w14:paraId="356877E8" w14:textId="51E91FC0" w:rsidR="00D227E5" w:rsidRPr="00DC0A82" w:rsidRDefault="00D227E5" w:rsidP="00D227E5">
      <w:pPr>
        <w:pStyle w:val="Hanging12"/>
        <w:tabs>
          <w:tab w:val="clear" w:pos="357"/>
        </w:tabs>
        <w:rPr>
          <w:iCs/>
        </w:rPr>
      </w:pPr>
      <w:r>
        <w:t>D.</w:t>
      </w:r>
      <w:r>
        <w:tab/>
        <w:t xml:space="preserve">whereas the proposed </w:t>
      </w:r>
      <w:r>
        <w:t>b</w:t>
      </w:r>
      <w:r>
        <w:t xml:space="preserve">ill could facilitate </w:t>
      </w:r>
      <w:r>
        <w:t xml:space="preserve">the </w:t>
      </w:r>
      <w:r>
        <w:t xml:space="preserve">rendition to China of people for political reasons and </w:t>
      </w:r>
      <w:r>
        <w:t xml:space="preserve">their </w:t>
      </w:r>
      <w:r>
        <w:t xml:space="preserve">exposure to a judicial system with serious human rights failings; whereas </w:t>
      </w:r>
      <w:r>
        <w:t>under</w:t>
      </w:r>
      <w:r>
        <w:t xml:space="preserve"> the proposed amendments</w:t>
      </w:r>
      <w:r>
        <w:t>,</w:t>
      </w:r>
      <w:r>
        <w:t xml:space="preserve"> the Hong Kong court </w:t>
      </w:r>
      <w:r>
        <w:t>would</w:t>
      </w:r>
      <w:r>
        <w:t xml:space="preserve"> not have the clear</w:t>
      </w:r>
      <w:r>
        <w:t>,</w:t>
      </w:r>
      <w:r>
        <w:t xml:space="preserve"> explicit jurisdiction and legal obligation to examine the various human rights involved in cases being handled by the courts in mainland China or in other countries;</w:t>
      </w:r>
    </w:p>
    <w:p w14:paraId="03CCD7ED" w14:textId="4011460C" w:rsidR="00D227E5" w:rsidRPr="00DC0A82" w:rsidRDefault="00D227E5" w:rsidP="00D227E5">
      <w:pPr>
        <w:pStyle w:val="Hanging12"/>
        <w:tabs>
          <w:tab w:val="clear" w:pos="357"/>
        </w:tabs>
      </w:pPr>
      <w:r>
        <w:t>E.</w:t>
      </w:r>
      <w:r>
        <w:tab/>
        <w:t>whereas mainland China</w:t>
      </w:r>
      <w:r w:rsidR="00E83D2F">
        <w:t>’</w:t>
      </w:r>
      <w:r>
        <w:t xml:space="preserve">s judiciary lacks independence from the government and the Chinese Communist Party and is characterised by arbitrary detention, torture and other ill-treatment, serious violations of </w:t>
      </w:r>
      <w:r>
        <w:t xml:space="preserve">the right to a </w:t>
      </w:r>
      <w:r>
        <w:t>fair trial, enforced disappearances and various systems of incommunicado detention without trial;</w:t>
      </w:r>
    </w:p>
    <w:p w14:paraId="64844E00" w14:textId="379700B0" w:rsidR="00D227E5" w:rsidRPr="00DC0A82" w:rsidRDefault="00D227E5" w:rsidP="00D227E5">
      <w:pPr>
        <w:pStyle w:val="Hanging12"/>
        <w:tabs>
          <w:tab w:val="clear" w:pos="357"/>
        </w:tabs>
      </w:pPr>
      <w:r>
        <w:t>F.</w:t>
      </w:r>
      <w:r>
        <w:tab/>
        <w:t>whereas many citizens of Hong Kong</w:t>
      </w:r>
      <w:r>
        <w:t>,</w:t>
      </w:r>
      <w:r>
        <w:t xml:space="preserve"> from pro-democracy activists to business people</w:t>
      </w:r>
      <w:r>
        <w:t>,</w:t>
      </w:r>
      <w:r>
        <w:t xml:space="preserve"> fear </w:t>
      </w:r>
      <w:r>
        <w:t>being</w:t>
      </w:r>
      <w:r>
        <w:t xml:space="preserve"> extradited to mainland China;</w:t>
      </w:r>
    </w:p>
    <w:p w14:paraId="42B14AF7" w14:textId="631DC7A6" w:rsidR="00D227E5" w:rsidRPr="00DC0A82" w:rsidRDefault="00D227E5" w:rsidP="00D227E5">
      <w:pPr>
        <w:pStyle w:val="Hanging12"/>
        <w:tabs>
          <w:tab w:val="clear" w:pos="357"/>
        </w:tabs>
      </w:pPr>
      <w:r>
        <w:t>G.</w:t>
      </w:r>
      <w:r>
        <w:tab/>
        <w:t xml:space="preserve">whereas the people of Hong Kong have taken to the streets in unprecedented numbers, peacefully exercising their fundamental right to assemble and to protest; whereas on </w:t>
      </w:r>
      <w:r>
        <w:t xml:space="preserve">12 </w:t>
      </w:r>
      <w:r>
        <w:t>June, tens of thousands of protesters assembled around the Legislative Council building and its nearby roads, calling on the government to drop its proposed amendments to Hong Kong</w:t>
      </w:r>
      <w:r w:rsidR="00E83D2F">
        <w:t>’</w:t>
      </w:r>
      <w:r>
        <w:t>s extradition law;</w:t>
      </w:r>
    </w:p>
    <w:p w14:paraId="2695ADF7" w14:textId="5B2AC306" w:rsidR="00D227E5" w:rsidRPr="00DC0A82" w:rsidRDefault="00D227E5" w:rsidP="00D227E5">
      <w:pPr>
        <w:pStyle w:val="Hanging12"/>
        <w:tabs>
          <w:tab w:val="clear" w:pos="357"/>
        </w:tabs>
        <w:rPr>
          <w:iCs/>
        </w:rPr>
      </w:pPr>
      <w:r>
        <w:t>H.</w:t>
      </w:r>
      <w:r>
        <w:tab/>
        <w:t>whereas more than 70 human rights NGOs, including, Amnesty International, Human Rights Watch, Human Rights Monitor, the Hong Kong Bar Association and the Law Society of Hong Kong</w:t>
      </w:r>
      <w:r>
        <w:t>,</w:t>
      </w:r>
      <w:r>
        <w:t xml:space="preserve"> had addressed a collective letter to Chief Executive </w:t>
      </w:r>
      <w:r>
        <w:t>Lam, requesting that her government</w:t>
      </w:r>
      <w:r>
        <w:t xml:space="preserve"> drop the extradition bill as </w:t>
      </w:r>
      <w:r>
        <w:t>it posed a threat to</w:t>
      </w:r>
      <w:r>
        <w:t xml:space="preserve"> respect for human rights;</w:t>
      </w:r>
    </w:p>
    <w:p w14:paraId="573F941A" w14:textId="154C44EB" w:rsidR="00D227E5" w:rsidRPr="00DC0A82" w:rsidRDefault="00D227E5" w:rsidP="00D227E5">
      <w:pPr>
        <w:pStyle w:val="Hanging12"/>
        <w:tabs>
          <w:tab w:val="clear" w:pos="357"/>
        </w:tabs>
      </w:pPr>
      <w:r>
        <w:t>I.</w:t>
      </w:r>
      <w:r>
        <w:tab/>
        <w:t xml:space="preserve">whereas the Hong Kong police used the violent acts of a small number of protesters as a pretext to use unnecessary and excessive force against the </w:t>
      </w:r>
      <w:r>
        <w:t xml:space="preserve">peaceful </w:t>
      </w:r>
      <w:r>
        <w:t>vast majority, including tear gas, rubber bullets, beanbags</w:t>
      </w:r>
      <w:r>
        <w:t xml:space="preserve"> and</w:t>
      </w:r>
      <w:r>
        <w:t xml:space="preserve"> pepper spray</w:t>
      </w:r>
      <w:r>
        <w:t>,</w:t>
      </w:r>
      <w:r>
        <w:t xml:space="preserve"> labelled the incident a riot</w:t>
      </w:r>
      <w:r>
        <w:t xml:space="preserve"> and</w:t>
      </w:r>
      <w:r>
        <w:t xml:space="preserve"> hence </w:t>
      </w:r>
      <w:r>
        <w:t xml:space="preserve">proceeded to make several </w:t>
      </w:r>
      <w:r>
        <w:t xml:space="preserve">dozen </w:t>
      </w:r>
      <w:r>
        <w:t>arrests</w:t>
      </w:r>
      <w:r>
        <w:t xml:space="preserve">; whereas several people were charged with rioting, which carries a </w:t>
      </w:r>
      <w:r>
        <w:t>10</w:t>
      </w:r>
      <w:r>
        <w:t>-year prison sentence;</w:t>
      </w:r>
    </w:p>
    <w:p w14:paraId="3D218C34" w14:textId="2CC2FE48" w:rsidR="00D227E5" w:rsidRPr="00DC0A82" w:rsidRDefault="00D227E5" w:rsidP="00D227E5">
      <w:pPr>
        <w:pStyle w:val="Hanging12"/>
        <w:tabs>
          <w:tab w:val="clear" w:pos="357"/>
        </w:tabs>
        <w:rPr>
          <w:iCs/>
        </w:rPr>
      </w:pPr>
      <w:r>
        <w:t>J.</w:t>
      </w:r>
      <w:r>
        <w:tab/>
        <w:t>whereas, over the years, the people of Hong Kong ha</w:t>
      </w:r>
      <w:r>
        <w:t>ve</w:t>
      </w:r>
      <w:r>
        <w:t xml:space="preserve"> witnessed mass demonstrations in favour of democracy and the full implementation of the Basic Law, </w:t>
      </w:r>
      <w:r>
        <w:t>such as</w:t>
      </w:r>
      <w:r>
        <w:t xml:space="preserve"> the 2014 protests by the so-called Umbrella Movement, as well as </w:t>
      </w:r>
      <w:r>
        <w:t>demonstrations in favour of</w:t>
      </w:r>
      <w:r>
        <w:t xml:space="preserve"> media freedoms and, among other things, against the disappearance of the Hong Kong booksellers;</w:t>
      </w:r>
    </w:p>
    <w:p w14:paraId="4B0C69CD" w14:textId="114A30EF" w:rsidR="00D227E5" w:rsidRPr="00DC0A82" w:rsidRDefault="00D227E5" w:rsidP="00D227E5">
      <w:pPr>
        <w:pStyle w:val="Hanging12"/>
        <w:tabs>
          <w:tab w:val="clear" w:pos="357"/>
        </w:tabs>
      </w:pPr>
      <w:r>
        <w:t>K.</w:t>
      </w:r>
      <w:r>
        <w:tab/>
        <w:t>whereas at the end of 2015, four Hong Kong residents, among them Gui Minhai, and one non-resident associated with the publishing house Mighty Current and its bookshop</w:t>
      </w:r>
      <w:r>
        <w:t>,</w:t>
      </w:r>
      <w:r>
        <w:t xml:space="preserve"> disappeared</w:t>
      </w:r>
      <w:r>
        <w:t>;</w:t>
      </w:r>
      <w:r>
        <w:t xml:space="preserve"> whereas months later, information emerged that they were</w:t>
      </w:r>
      <w:r>
        <w:t xml:space="preserve"> being</w:t>
      </w:r>
      <w:r>
        <w:t xml:space="preserve"> detained in mainland China in undisclosed locations; whereas one of the booksellers who returned to Hong Kong has </w:t>
      </w:r>
      <w:r>
        <w:t xml:space="preserve">since </w:t>
      </w:r>
      <w:r>
        <w:t>moved to Taiwan out of fear of being extradited;</w:t>
      </w:r>
    </w:p>
    <w:p w14:paraId="3643BF2E" w14:textId="77777777" w:rsidR="00D227E5" w:rsidRPr="00DC0A82" w:rsidRDefault="00D227E5" w:rsidP="00D227E5">
      <w:pPr>
        <w:pStyle w:val="Hanging12"/>
        <w:tabs>
          <w:tab w:val="clear" w:pos="357"/>
        </w:tabs>
      </w:pPr>
      <w:r>
        <w:t>L.</w:t>
      </w:r>
      <w:r>
        <w:tab/>
        <w:t>whereas the Basic Law lays down provisions guaranteeing protection for human rights and individual freedoms; whereas Article 27 of the Basic Law guarantees freedom of speech, of the press and publication, and of association, assembly, procession and demonstration; whereas Articles 45 and 68 of the Basic Law stipulate that the Chief Executive and all members of the Legislative Council should ultimately be elected by universal suffrage;</w:t>
      </w:r>
    </w:p>
    <w:p w14:paraId="600A1C27" w14:textId="2248EF68" w:rsidR="00D227E5" w:rsidRPr="00DC0A82" w:rsidRDefault="00D227E5" w:rsidP="00D227E5">
      <w:pPr>
        <w:pStyle w:val="Hanging12"/>
        <w:tabs>
          <w:tab w:val="clear" w:pos="357"/>
        </w:tabs>
      </w:pPr>
      <w:r w:rsidRPr="00DC0A82">
        <w:t>M</w:t>
      </w:r>
      <w:r>
        <w:t>.</w:t>
      </w:r>
      <w:r>
        <w:tab/>
        <w:t>whereas the EU support</w:t>
      </w:r>
      <w:r>
        <w:t>s</w:t>
      </w:r>
      <w:r>
        <w:t xml:space="preserve"> the </w:t>
      </w:r>
      <w:r w:rsidR="00E83D2F">
        <w:t>‘</w:t>
      </w:r>
      <w:r>
        <w:t>one country, two systems</w:t>
      </w:r>
      <w:r w:rsidR="00E83D2F">
        <w:t>’</w:t>
      </w:r>
      <w:r>
        <w:t xml:space="preserve"> principle and Hong Kong</w:t>
      </w:r>
      <w:r w:rsidR="00E83D2F">
        <w:t>’</w:t>
      </w:r>
      <w:r>
        <w:t>s high degree of autonomy;</w:t>
      </w:r>
    </w:p>
    <w:p w14:paraId="7EE6F934" w14:textId="77777777" w:rsidR="00D227E5" w:rsidRPr="00DC0A82" w:rsidRDefault="00D227E5" w:rsidP="00D227E5">
      <w:pPr>
        <w:pStyle w:val="Hanging12"/>
        <w:tabs>
          <w:tab w:val="clear" w:pos="357"/>
        </w:tabs>
      </w:pPr>
      <w:r>
        <w:t>1.</w:t>
      </w:r>
      <w:r>
        <w:tab/>
        <w:t>Calls on the HKSAR Government to withdraw the Fugitive Offenders and Mutual Legal Assistance in Criminal Matters Legislation (Amendment) Bill 2019;</w:t>
      </w:r>
    </w:p>
    <w:p w14:paraId="7DF33573" w14:textId="3672628D" w:rsidR="00D227E5" w:rsidRPr="00DC0A82" w:rsidRDefault="00D227E5" w:rsidP="00D227E5">
      <w:pPr>
        <w:pStyle w:val="Hanging12"/>
        <w:tabs>
          <w:tab w:val="clear" w:pos="357"/>
        </w:tabs>
      </w:pPr>
      <w:r>
        <w:t>2.</w:t>
      </w:r>
      <w:r>
        <w:tab/>
        <w:t xml:space="preserve">Calls on the </w:t>
      </w:r>
      <w:r>
        <w:t>HKSAR</w:t>
      </w:r>
      <w:r>
        <w:t xml:space="preserve"> Government to immediately release and drop all charges against peaceful protesters and all those detained for the peaceful exercise of their freedom of expression</w:t>
      </w:r>
      <w:r>
        <w:t xml:space="preserve"> during or in the lead-up to protests</w:t>
      </w:r>
      <w:r>
        <w:t>;</w:t>
      </w:r>
    </w:p>
    <w:p w14:paraId="76567CD4" w14:textId="77777777" w:rsidR="00D227E5" w:rsidRPr="00DC0A82" w:rsidRDefault="00D227E5" w:rsidP="00D227E5">
      <w:pPr>
        <w:pStyle w:val="Hanging12"/>
        <w:tabs>
          <w:tab w:val="clear" w:pos="357"/>
        </w:tabs>
      </w:pPr>
      <w:r>
        <w:t>3.</w:t>
      </w:r>
      <w:r>
        <w:tab/>
        <w:t>Calls for an independent, impartial, effective and prompt investigation into the use of force by Hong Kong police against protesters;</w:t>
      </w:r>
    </w:p>
    <w:p w14:paraId="6EFFBB30" w14:textId="25F67521" w:rsidR="00D227E5" w:rsidRPr="00DC0A82" w:rsidRDefault="00D227E5" w:rsidP="00D227E5">
      <w:pPr>
        <w:pStyle w:val="Hanging12"/>
        <w:tabs>
          <w:tab w:val="clear" w:pos="357"/>
        </w:tabs>
      </w:pPr>
      <w:r>
        <w:t>4.</w:t>
      </w:r>
      <w:r>
        <w:tab/>
        <w:t>Stresses that the EU shares many of the concerns raised by citizens of Hong Kong regarding the proposed extradition reforms and has conveyed the</w:t>
      </w:r>
      <w:r>
        <w:t>m</w:t>
      </w:r>
      <w:r>
        <w:t xml:space="preserve"> to the HKSAR Government; underlines that the </w:t>
      </w:r>
      <w:r>
        <w:t>b</w:t>
      </w:r>
      <w:r>
        <w:t>ill has far-reaching consequences for Hong Kong and its people, for the EU and</w:t>
      </w:r>
      <w:r>
        <w:t xml:space="preserve"> for</w:t>
      </w:r>
      <w:r>
        <w:t xml:space="preserve"> foreign citizens, as well as for business confidence in Hong Kong;</w:t>
      </w:r>
    </w:p>
    <w:p w14:paraId="63BD091C" w14:textId="213D51FB" w:rsidR="00D227E5" w:rsidRPr="00DC0A82" w:rsidRDefault="00D227E5" w:rsidP="00D227E5">
      <w:pPr>
        <w:pStyle w:val="Hanging12"/>
        <w:tabs>
          <w:tab w:val="clear" w:pos="357"/>
        </w:tabs>
      </w:pPr>
      <w:r>
        <w:t>5.</w:t>
      </w:r>
      <w:r>
        <w:tab/>
        <w:t xml:space="preserve">Urges </w:t>
      </w:r>
      <w:r>
        <w:t xml:space="preserve">Hong Kong to ensure </w:t>
      </w:r>
      <w:r>
        <w:t xml:space="preserve">that </w:t>
      </w:r>
      <w:r>
        <w:t>its</w:t>
      </w:r>
      <w:r>
        <w:t xml:space="preserve"> legislation remains fully in line with </w:t>
      </w:r>
      <w:r>
        <w:t>its</w:t>
      </w:r>
      <w:r>
        <w:t xml:space="preserve"> international human rights obligations, including provisions of the International Covenant on Civil and Political Rights (ICCPR) and of the UN Convention against Torture and Other Cruel, Inhuman or Degrading Treatment or Punishment;</w:t>
      </w:r>
    </w:p>
    <w:p w14:paraId="66136DEE" w14:textId="0D568E50" w:rsidR="00D227E5" w:rsidRPr="00DC0A82" w:rsidRDefault="00D227E5" w:rsidP="00D227E5">
      <w:pPr>
        <w:pStyle w:val="Hanging12"/>
        <w:tabs>
          <w:tab w:val="clear" w:pos="357"/>
        </w:tabs>
      </w:pPr>
      <w:r>
        <w:t>6.</w:t>
      </w:r>
      <w:r>
        <w:tab/>
        <w:t xml:space="preserve">Recognises that the people </w:t>
      </w:r>
      <w:r>
        <w:t>of</w:t>
      </w:r>
      <w:r>
        <w:t xml:space="preserve"> Hong Kong have taken to the streets in extraordinary numbers in </w:t>
      </w:r>
      <w:r>
        <w:t>recent</w:t>
      </w:r>
      <w:r>
        <w:t xml:space="preserve"> weeks, </w:t>
      </w:r>
      <w:r>
        <w:t>with estimates of</w:t>
      </w:r>
      <w:r>
        <w:t xml:space="preserve"> more than a million people on </w:t>
      </w:r>
      <w:r>
        <w:t xml:space="preserve">9 </w:t>
      </w:r>
      <w:r>
        <w:t>June and up to two million the following week</w:t>
      </w:r>
      <w:r>
        <w:t>,</w:t>
      </w:r>
      <w:r>
        <w:t xml:space="preserve"> in mainly peaceful mass demonstrations triggered by high </w:t>
      </w:r>
      <w:r>
        <w:t>levels of concern</w:t>
      </w:r>
      <w:r>
        <w:t xml:space="preserve"> regarding the proposed laws on extradition;</w:t>
      </w:r>
    </w:p>
    <w:p w14:paraId="126D3FD8" w14:textId="1273CFC2" w:rsidR="00D227E5" w:rsidRPr="00DC0A82" w:rsidRDefault="00D227E5" w:rsidP="00D227E5">
      <w:pPr>
        <w:pStyle w:val="Hanging12"/>
        <w:tabs>
          <w:tab w:val="clear" w:pos="357"/>
        </w:tabs>
      </w:pPr>
      <w:r>
        <w:t>7.</w:t>
      </w:r>
      <w:r>
        <w:tab/>
        <w:t xml:space="preserve">Underlines that the rights of Hong Kong citizens have generally been upheld in Hong Kong, but expresses great concern at the steady deterioration of civil rights, political rights and press freedom; </w:t>
      </w:r>
      <w:r>
        <w:t>is</w:t>
      </w:r>
      <w:r>
        <w:t xml:space="preserve"> deeply concerned </w:t>
      </w:r>
      <w:r>
        <w:t>by</w:t>
      </w:r>
      <w:r>
        <w:t xml:space="preserve"> the unprecedented pressure on journalists</w:t>
      </w:r>
      <w:r>
        <w:t xml:space="preserve"> and their</w:t>
      </w:r>
      <w:r>
        <w:t xml:space="preserve"> increasing self-censorship with regard, in particular, to </w:t>
      </w:r>
      <w:r>
        <w:t>coverage of</w:t>
      </w:r>
      <w:r>
        <w:t xml:space="preserve"> sensitive issues on mainland China or </w:t>
      </w:r>
      <w:r>
        <w:t xml:space="preserve">those </w:t>
      </w:r>
      <w:r>
        <w:t xml:space="preserve">concerning the </w:t>
      </w:r>
      <w:r>
        <w:t>HKSAR</w:t>
      </w:r>
      <w:r>
        <w:t xml:space="preserve"> Government;</w:t>
      </w:r>
    </w:p>
    <w:p w14:paraId="04370907" w14:textId="77777777" w:rsidR="00D227E5" w:rsidRPr="00DC0A82" w:rsidRDefault="00D227E5" w:rsidP="00D227E5">
      <w:pPr>
        <w:pStyle w:val="Hanging12"/>
        <w:tabs>
          <w:tab w:val="clear" w:pos="357"/>
        </w:tabs>
      </w:pPr>
      <w:r>
        <w:t>8.</w:t>
      </w:r>
      <w:r>
        <w:tab/>
        <w:t xml:space="preserve">Stresses that the Basic Law guarantees freedom of speech, of the press and publication, and of association, assembly, procession and demonstration; calls on </w:t>
      </w:r>
      <w:r>
        <w:t xml:space="preserve">the </w:t>
      </w:r>
      <w:r>
        <w:t>authorities in Hong Kong and China to ensure the protection of human rights and the freedoms enshrined in the Basic Law for all citizens;</w:t>
      </w:r>
    </w:p>
    <w:p w14:paraId="4E6216ED" w14:textId="78842DF5" w:rsidR="00D227E5" w:rsidRPr="00DC0A82" w:rsidRDefault="00D227E5" w:rsidP="00D227E5">
      <w:pPr>
        <w:pStyle w:val="Hanging12"/>
        <w:tabs>
          <w:tab w:val="clear" w:pos="357"/>
        </w:tabs>
      </w:pPr>
      <w:r>
        <w:t>9.</w:t>
      </w:r>
      <w:r>
        <w:tab/>
        <w:t xml:space="preserve">Strongly condemns the constant and increasing interference </w:t>
      </w:r>
      <w:r>
        <w:t>by China</w:t>
      </w:r>
      <w:r>
        <w:t xml:space="preserve"> in Hong Kong</w:t>
      </w:r>
      <w:r w:rsidR="00E83D2F">
        <w:t>’</w:t>
      </w:r>
      <w:r>
        <w:t>s internal affairs</w:t>
      </w:r>
      <w:r>
        <w:t>,</w:t>
      </w:r>
      <w:r>
        <w:t xml:space="preserve"> as well the recent assertion by China that the Sino-British Joint Declaration of 1984 is a historic document</w:t>
      </w:r>
      <w:r>
        <w:t>, and</w:t>
      </w:r>
      <w:r>
        <w:t xml:space="preserve"> hence </w:t>
      </w:r>
      <w:r>
        <w:t xml:space="preserve">is </w:t>
      </w:r>
      <w:r>
        <w:t xml:space="preserve">no longer valid; stresses that the Chinese </w:t>
      </w:r>
      <w:r>
        <w:t>G</w:t>
      </w:r>
      <w:r>
        <w:t>overnment is bound by the Joint Declaration to uphold Hong Kong</w:t>
      </w:r>
      <w:r w:rsidR="00E83D2F">
        <w:t>’</w:t>
      </w:r>
      <w:r>
        <w:t>s high degree of autonomy and its rights and freedoms;</w:t>
      </w:r>
    </w:p>
    <w:p w14:paraId="24166395" w14:textId="66C7275B" w:rsidR="00D227E5" w:rsidRPr="00DC0A82" w:rsidRDefault="00D227E5" w:rsidP="00D227E5">
      <w:pPr>
        <w:pStyle w:val="Hanging12"/>
        <w:tabs>
          <w:tab w:val="clear" w:pos="357"/>
        </w:tabs>
      </w:pPr>
      <w:r>
        <w:t>10.</w:t>
      </w:r>
      <w:r>
        <w:tab/>
        <w:t>Notes with deep concern in this context that opposition candidates, including Anges Chow and former lawmaker Lau Siu-Lai</w:t>
      </w:r>
      <w:r>
        <w:t>,</w:t>
      </w:r>
      <w:r>
        <w:t xml:space="preserve"> were not allowed to run in the Legislative Council by-election </w:t>
      </w:r>
      <w:r>
        <w:t>owing</w:t>
      </w:r>
      <w:r>
        <w:t xml:space="preserve"> to their political affiliation or views;</w:t>
      </w:r>
    </w:p>
    <w:p w14:paraId="09F70AAC" w14:textId="013DAE1F" w:rsidR="00D227E5" w:rsidRPr="00DC0A82" w:rsidRDefault="00D227E5" w:rsidP="00D227E5">
      <w:pPr>
        <w:pStyle w:val="Hanging12"/>
        <w:tabs>
          <w:tab w:val="clear" w:pos="357"/>
        </w:tabs>
      </w:pPr>
      <w:r>
        <w:t>11.</w:t>
      </w:r>
      <w:r>
        <w:tab/>
        <w:t xml:space="preserve">Calls </w:t>
      </w:r>
      <w:r>
        <w:t>for</w:t>
      </w:r>
      <w:r>
        <w:t xml:space="preserve"> the EU, its Member States and the international community to work towards the imposition of appropriate export control mechanisms to deny China</w:t>
      </w:r>
      <w:r>
        <w:t>,</w:t>
      </w:r>
      <w:r>
        <w:t xml:space="preserve"> and in particular Hong Kong</w:t>
      </w:r>
      <w:r>
        <w:t>,</w:t>
      </w:r>
      <w:r>
        <w:t xml:space="preserve"> access to technologies used to violate basic rights;</w:t>
      </w:r>
    </w:p>
    <w:p w14:paraId="65611D28" w14:textId="6DF60312" w:rsidR="00D227E5" w:rsidRPr="00DC0A82" w:rsidRDefault="00D227E5" w:rsidP="00D227E5">
      <w:pPr>
        <w:pStyle w:val="Hanging12"/>
        <w:tabs>
          <w:tab w:val="clear" w:pos="357"/>
        </w:tabs>
      </w:pPr>
      <w:r>
        <w:t>12.</w:t>
      </w:r>
      <w:r>
        <w:tab/>
      </w:r>
      <w:r>
        <w:t>Urges</w:t>
      </w:r>
      <w:r>
        <w:t xml:space="preserve"> systematic reform to implement direct elections </w:t>
      </w:r>
      <w:r>
        <w:t>for</w:t>
      </w:r>
      <w:r>
        <w:t xml:space="preserve"> the </w:t>
      </w:r>
      <w:r>
        <w:t xml:space="preserve">position of </w:t>
      </w:r>
      <w:r>
        <w:t xml:space="preserve">Chief Executive and </w:t>
      </w:r>
      <w:r>
        <w:t xml:space="preserve">to </w:t>
      </w:r>
      <w:r>
        <w:t xml:space="preserve">the </w:t>
      </w:r>
      <w:r>
        <w:t>Legislative Council,</w:t>
      </w:r>
      <w:r>
        <w:t xml:space="preserve"> as enshrined in the Basic Law</w:t>
      </w:r>
      <w:r>
        <w:t>,</w:t>
      </w:r>
      <w:r>
        <w:t xml:space="preserve"> and </w:t>
      </w:r>
      <w:r>
        <w:t>calls for</w:t>
      </w:r>
      <w:r>
        <w:t xml:space="preserve"> agreement on an electo</w:t>
      </w:r>
      <w:r>
        <w:t>ral</w:t>
      </w:r>
      <w:r>
        <w:t xml:space="preserve"> system that is overall democratic, fair, open</w:t>
      </w:r>
      <w:r>
        <w:t xml:space="preserve"> and</w:t>
      </w:r>
      <w:r>
        <w:t xml:space="preserve"> transparent and </w:t>
      </w:r>
      <w:r>
        <w:t>that</w:t>
      </w:r>
      <w:r>
        <w:t xml:space="preserve"> it</w:t>
      </w:r>
      <w:r>
        <w:t xml:space="preserve"> grants</w:t>
      </w:r>
      <w:r>
        <w:t xml:space="preserve"> the people of the </w:t>
      </w:r>
      <w:r>
        <w:t>HK</w:t>
      </w:r>
      <w:r>
        <w:t xml:space="preserve">SAR the right to elect </w:t>
      </w:r>
      <w:r>
        <w:t xml:space="preserve">candidates </w:t>
      </w:r>
      <w:r>
        <w:t xml:space="preserve">and to </w:t>
      </w:r>
      <w:r>
        <w:t>stand for election</w:t>
      </w:r>
      <w:r>
        <w:t xml:space="preserve"> in the selection process for all leadership positions;</w:t>
      </w:r>
    </w:p>
    <w:p w14:paraId="59A87BF8" w14:textId="58910411" w:rsidR="00D227E5" w:rsidRPr="00DC0A82" w:rsidRDefault="00D227E5" w:rsidP="00D227E5">
      <w:pPr>
        <w:pStyle w:val="Hanging12"/>
        <w:tabs>
          <w:tab w:val="clear" w:pos="357"/>
        </w:tabs>
      </w:pPr>
      <w:r>
        <w:t>13.</w:t>
      </w:r>
      <w:r>
        <w:tab/>
        <w:t xml:space="preserve">Repeats its call </w:t>
      </w:r>
      <w:r>
        <w:t>for the immediate</w:t>
      </w:r>
      <w:r>
        <w:t xml:space="preserve"> release </w:t>
      </w:r>
      <w:r>
        <w:t>of</w:t>
      </w:r>
      <w:r>
        <w:t xml:space="preserve"> book publisher Gui Minhai</w:t>
      </w:r>
      <w:r>
        <w:t>, a Swedish national;</w:t>
      </w:r>
    </w:p>
    <w:p w14:paraId="2FA8BD46" w14:textId="21801EC5" w:rsidR="00D227E5" w:rsidRPr="00DC0A82" w:rsidRDefault="00D227E5" w:rsidP="00D227E5">
      <w:pPr>
        <w:pStyle w:val="Hanging12"/>
        <w:tabs>
          <w:tab w:val="clear" w:pos="357"/>
        </w:tabs>
      </w:pPr>
      <w:r>
        <w:t>14.</w:t>
      </w:r>
      <w:r>
        <w:tab/>
        <w:t xml:space="preserve">Underlines the </w:t>
      </w:r>
      <w:r>
        <w:t>EU</w:t>
      </w:r>
      <w:r w:rsidR="00E83D2F">
        <w:t>’</w:t>
      </w:r>
      <w:r>
        <w:t>s</w:t>
      </w:r>
      <w:r>
        <w:t xml:space="preserve"> commitment to strengthening democracy, including the rule of law, the independence of the judiciary, fundamental freedoms and rights, transparency, and freedom of information and expression in Hong Kong;</w:t>
      </w:r>
    </w:p>
    <w:p w14:paraId="7771FAA5" w14:textId="05EBD6E8" w:rsidR="00D227E5" w:rsidRPr="00DC0A82" w:rsidRDefault="00D227E5" w:rsidP="00D227E5">
      <w:pPr>
        <w:pStyle w:val="Hanging12"/>
        <w:tabs>
          <w:tab w:val="clear" w:pos="357"/>
        </w:tabs>
      </w:pPr>
      <w:r>
        <w:t>15.</w:t>
      </w:r>
      <w:r>
        <w:tab/>
        <w:t xml:space="preserve">Recalls the importance </w:t>
      </w:r>
      <w:r>
        <w:t>of</w:t>
      </w:r>
      <w:r>
        <w:t xml:space="preserve"> the EU</w:t>
      </w:r>
      <w:r>
        <w:t xml:space="preserve"> continuing</w:t>
      </w:r>
      <w:r>
        <w:t xml:space="preserve"> to raise the issue of human rights violations in China at every political and human rights dialogue with the Chinese authorities, in line with the EU</w:t>
      </w:r>
      <w:r w:rsidR="00E83D2F">
        <w:t>’</w:t>
      </w:r>
      <w:r>
        <w:t xml:space="preserve">s commitment to project a strong, clear and unified voice in its approach to the country; </w:t>
      </w:r>
      <w:r>
        <w:t>further recalls</w:t>
      </w:r>
      <w:r>
        <w:t xml:space="preserve"> that in its ongoing reform process and increasing global engagement</w:t>
      </w:r>
      <w:r>
        <w:t>,</w:t>
      </w:r>
      <w:r>
        <w:t xml:space="preserve"> China has opted into the international human rights framework by signing up to a wide range of international human rights treaties</w:t>
      </w:r>
      <w:r>
        <w:t>; calls for the EU</w:t>
      </w:r>
      <w:r>
        <w:t>, therefore</w:t>
      </w:r>
      <w:r>
        <w:t>, to pursue</w:t>
      </w:r>
      <w:r>
        <w:t xml:space="preserve"> dialogue with China </w:t>
      </w:r>
      <w:r>
        <w:t>in order to ensure that it lives</w:t>
      </w:r>
      <w:r>
        <w:t xml:space="preserve"> up to these commitments;</w:t>
      </w:r>
    </w:p>
    <w:p w14:paraId="6AA9926F" w14:textId="72D62CFD" w:rsidR="00D227E5" w:rsidRPr="00DC0A82" w:rsidRDefault="00D227E5" w:rsidP="00D227E5">
      <w:pPr>
        <w:pStyle w:val="Hanging12"/>
        <w:tabs>
          <w:tab w:val="clear" w:pos="357"/>
        </w:tabs>
      </w:pPr>
      <w:r>
        <w:t>16.</w:t>
      </w:r>
      <w:r>
        <w:tab/>
        <w:t xml:space="preserve">Calls on the </w:t>
      </w:r>
      <w:r>
        <w:t>VP/HR</w:t>
      </w:r>
      <w:r>
        <w:t xml:space="preserve">, the EEAS and </w:t>
      </w:r>
      <w:r>
        <w:t xml:space="preserve">the </w:t>
      </w:r>
      <w:r>
        <w:t xml:space="preserve">Member States to raise all these concerns and to ensure a dialogue with the </w:t>
      </w:r>
      <w:r>
        <w:t>governments of the HKSAR</w:t>
      </w:r>
      <w:r>
        <w:t xml:space="preserve"> and of China;</w:t>
      </w:r>
    </w:p>
    <w:p w14:paraId="0663AE54" w14:textId="71724538" w:rsidR="00D227E5" w:rsidRPr="00DC0A82" w:rsidRDefault="00D227E5" w:rsidP="00D227E5">
      <w:pPr>
        <w:pStyle w:val="Hanging12"/>
        <w:tabs>
          <w:tab w:val="clear" w:pos="357"/>
        </w:tabs>
      </w:pPr>
      <w:r>
        <w:t>17.</w:t>
      </w:r>
      <w:r>
        <w:tab/>
        <w:t>Instructs its President to forward this resolution to the Council, the Commission, the Vice-President of the Commission</w:t>
      </w:r>
      <w:r>
        <w:t> / </w:t>
      </w:r>
      <w:r>
        <w:t>High Representative of the Union for Foreign Affairs and Security Policy, the Government and Parliament of the People</w:t>
      </w:r>
      <w:r w:rsidR="00E83D2F">
        <w:t>’</w:t>
      </w:r>
      <w:r>
        <w:t>s Republic of China</w:t>
      </w:r>
      <w:r>
        <w:t>,</w:t>
      </w:r>
      <w:r>
        <w:t xml:space="preserve"> and the Chief Executive and the Assembly of the Hong Kong Special Administrative Region.</w:t>
      </w:r>
    </w:p>
    <w:p w14:paraId="3923859D" w14:textId="77777777" w:rsidR="00D227E5" w:rsidRPr="00DC0A82" w:rsidRDefault="00D227E5" w:rsidP="00D227E5">
      <w:pPr>
        <w:pStyle w:val="Hanging12"/>
        <w:tabs>
          <w:tab w:val="clear" w:pos="357"/>
        </w:tabs>
      </w:pPr>
    </w:p>
    <w:p w14:paraId="3869941B" w14:textId="77777777" w:rsidR="00D227E5" w:rsidRPr="00F050E7" w:rsidRDefault="00D227E5" w:rsidP="001B3354">
      <w:pPr>
        <w:pStyle w:val="Hanging12"/>
        <w:tabs>
          <w:tab w:val="clear" w:pos="357"/>
        </w:tabs>
      </w:pPr>
    </w:p>
    <w:p w14:paraId="45B6A221" w14:textId="77777777" w:rsidR="001B3354" w:rsidRPr="00F050E7" w:rsidRDefault="001B3354" w:rsidP="00D62D4B">
      <w:pPr>
        <w:pStyle w:val="Hanging12"/>
        <w:tabs>
          <w:tab w:val="clear" w:pos="357"/>
        </w:tabs>
        <w:ind w:left="0" w:firstLine="0"/>
      </w:pPr>
    </w:p>
    <w:sectPr w:rsidR="001B3354" w:rsidRPr="00F050E7" w:rsidSect="006764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4873" w14:textId="77777777" w:rsidR="00F050E7" w:rsidRPr="00F050E7" w:rsidRDefault="00F050E7">
      <w:r w:rsidRPr="00F050E7">
        <w:separator/>
      </w:r>
    </w:p>
  </w:endnote>
  <w:endnote w:type="continuationSeparator" w:id="0">
    <w:p w14:paraId="2EECEC6A" w14:textId="77777777" w:rsidR="00F050E7" w:rsidRPr="00F050E7" w:rsidRDefault="00F050E7">
      <w:r w:rsidRPr="00F050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D6B6" w14:textId="53CDB431" w:rsidR="00C55061" w:rsidRPr="00F050E7" w:rsidRDefault="00C55061" w:rsidP="001B3354">
    <w:pPr>
      <w:pStyle w:val="Footer"/>
      <w:tabs>
        <w:tab w:val="center" w:pos="4536"/>
      </w:tabs>
      <w:rPr>
        <w:lang w:val="en-GB"/>
      </w:rPr>
    </w:pPr>
    <w:r w:rsidRPr="00F050E7">
      <w:rPr>
        <w:rStyle w:val="HideTWBExt"/>
        <w:noProof w:val="0"/>
        <w:lang w:val="en-GB"/>
      </w:rPr>
      <w:t>&lt;PathFdR&gt;</w:t>
    </w:r>
    <w:r w:rsidR="00BD29CB" w:rsidRPr="00BD29CB">
      <w:rPr>
        <w:lang w:val="en-GB"/>
      </w:rPr>
      <w:t>RC\1186283EN.docx</w:t>
    </w:r>
    <w:r w:rsidRPr="00F050E7">
      <w:rPr>
        <w:rStyle w:val="HideTWBExt"/>
        <w:noProof w:val="0"/>
        <w:lang w:val="en-GB"/>
      </w:rPr>
      <w:t>&lt;/PathFdR&gt;</w:t>
    </w:r>
    <w:r w:rsidR="00B011CF" w:rsidRPr="00F050E7">
      <w:rPr>
        <w:lang w:val="en-GB"/>
      </w:rPr>
      <w:t xml:space="preserve"> </w:t>
    </w:r>
    <w:r w:rsidR="00AA1D6D" w:rsidRPr="00F050E7">
      <w:rPr>
        <w:lang w:val="en-GB"/>
      </w:rPr>
      <w:tab/>
    </w:r>
    <w:r w:rsidR="00BD29CB">
      <w:rPr>
        <w:lang w:val="en-GB"/>
      </w:rPr>
      <w:fldChar w:fldCharType="begin"/>
    </w:r>
    <w:r w:rsidR="00BD29CB">
      <w:rPr>
        <w:lang w:val="en-GB"/>
      </w:rPr>
      <w:instrText xml:space="preserve"> PAGE  \* MERGEFORMAT </w:instrText>
    </w:r>
    <w:r w:rsidR="00BD29CB">
      <w:rPr>
        <w:lang w:val="en-GB"/>
      </w:rPr>
      <w:fldChar w:fldCharType="separate"/>
    </w:r>
    <w:r w:rsidR="00E83D2F">
      <w:rPr>
        <w:noProof/>
        <w:lang w:val="en-GB"/>
      </w:rPr>
      <w:t>2</w:t>
    </w:r>
    <w:r w:rsidR="00BD29CB">
      <w:rPr>
        <w:lang w:val="en-GB"/>
      </w:rPr>
      <w:fldChar w:fldCharType="end"/>
    </w:r>
    <w:r w:rsidR="00BD29CB">
      <w:rPr>
        <w:lang w:val="en-GB"/>
      </w:rPr>
      <w:t>/</w:t>
    </w:r>
    <w:r w:rsidR="00BD29CB">
      <w:rPr>
        <w:lang w:val="en-GB"/>
      </w:rPr>
      <w:fldChar w:fldCharType="begin"/>
    </w:r>
    <w:r w:rsidR="00BD29CB">
      <w:rPr>
        <w:lang w:val="en-GB"/>
      </w:rPr>
      <w:instrText xml:space="preserve"> NUMPAGES  \* MERGEFORMAT </w:instrText>
    </w:r>
    <w:r w:rsidR="00BD29CB">
      <w:rPr>
        <w:lang w:val="en-GB"/>
      </w:rPr>
      <w:fldChar w:fldCharType="separate"/>
    </w:r>
    <w:r w:rsidR="00E83D2F">
      <w:rPr>
        <w:noProof/>
        <w:lang w:val="en-GB"/>
      </w:rPr>
      <w:t>7</w:t>
    </w:r>
    <w:r w:rsidR="00BD29CB">
      <w:rPr>
        <w:lang w:val="en-GB"/>
      </w:rPr>
      <w:fldChar w:fldCharType="end"/>
    </w:r>
    <w:r w:rsidRPr="00F050E7">
      <w:rPr>
        <w:lang w:val="en-GB"/>
      </w:rPr>
      <w:tab/>
      <w:t>PE</w:t>
    </w:r>
    <w:r w:rsidRPr="00F050E7">
      <w:rPr>
        <w:rStyle w:val="HideTWBExt"/>
        <w:noProof w:val="0"/>
        <w:lang w:val="en-GB"/>
      </w:rPr>
      <w:t>&lt;NoPE&gt;</w:t>
    </w:r>
    <w:r w:rsidR="00BD29CB" w:rsidRPr="00BD29CB">
      <w:rPr>
        <w:lang w:val="en-GB"/>
      </w:rPr>
      <w:t>637.779</w:t>
    </w:r>
    <w:r w:rsidRPr="00F050E7">
      <w:rPr>
        <w:rStyle w:val="HideTWBExt"/>
        <w:noProof w:val="0"/>
        <w:lang w:val="en-GB"/>
      </w:rPr>
      <w:t>&lt;/NoPE&gt;&lt;Version&gt;</w:t>
    </w:r>
    <w:r w:rsidR="00F050E7" w:rsidRPr="00F050E7">
      <w:rPr>
        <w:lang w:val="en-GB"/>
      </w:rPr>
      <w:t>v</w:t>
    </w:r>
    <w:r w:rsidR="00BD29CB" w:rsidRPr="00BD29CB">
      <w:rPr>
        <w:lang w:val="en-GB"/>
      </w:rPr>
      <w:t>01-00</w:t>
    </w:r>
    <w:r w:rsidRPr="00F050E7">
      <w:rPr>
        <w:rStyle w:val="HideTWBExt"/>
        <w:noProof w:val="0"/>
        <w:lang w:val="en-GB"/>
      </w:rPr>
      <w:t>&lt;/Version&gt;</w:t>
    </w:r>
    <w:r w:rsidRPr="00F050E7">
      <w:rPr>
        <w:lang w:val="en-GB"/>
      </w:rPr>
      <w:t xml:space="preserve"> }</w:t>
    </w:r>
  </w:p>
  <w:p w14:paraId="6A80C800" w14:textId="77777777" w:rsidR="00BD29CB" w:rsidRPr="00D227E5" w:rsidRDefault="00BD29CB" w:rsidP="00BD29CB">
    <w:pPr>
      <w:pStyle w:val="Footer"/>
      <w:tabs>
        <w:tab w:val="center" w:pos="4536"/>
      </w:tabs>
      <w:rPr>
        <w:lang w:val="en-GB"/>
      </w:rPr>
    </w:pPr>
    <w:r w:rsidRPr="00F050E7">
      <w:rPr>
        <w:lang w:val="en-GB"/>
      </w:rPr>
      <w:tab/>
    </w:r>
    <w:r w:rsidRPr="00F050E7">
      <w:rPr>
        <w:lang w:val="en-GB"/>
      </w:rPr>
      <w:tab/>
    </w:r>
    <w:r w:rsidRPr="00D227E5">
      <w:rPr>
        <w:lang w:val="en-GB"/>
      </w:rPr>
      <w:t>PE</w:t>
    </w:r>
    <w:r w:rsidRPr="00D227E5">
      <w:rPr>
        <w:rStyle w:val="HideTWBExt"/>
        <w:noProof w:val="0"/>
        <w:lang w:val="en-GB"/>
      </w:rPr>
      <w:t>&lt;NoPE&gt;</w:t>
    </w:r>
    <w:r w:rsidRPr="00D227E5">
      <w:rPr>
        <w:lang w:val="en-GB"/>
      </w:rPr>
      <w:t>637.781</w:t>
    </w:r>
    <w:r w:rsidRPr="00D227E5">
      <w:rPr>
        <w:rStyle w:val="HideTWBExt"/>
        <w:noProof w:val="0"/>
        <w:lang w:val="en-GB"/>
      </w:rPr>
      <w:t>&lt;/NoPE&gt;&lt;Version&gt;</w:t>
    </w:r>
    <w:r w:rsidRPr="00D227E5">
      <w:rPr>
        <w:lang w:val="en-GB"/>
      </w:rPr>
      <w:t>v01-00</w:t>
    </w:r>
    <w:r w:rsidRPr="00D227E5">
      <w:rPr>
        <w:rStyle w:val="HideTWBExt"/>
        <w:noProof w:val="0"/>
        <w:lang w:val="en-GB"/>
      </w:rPr>
      <w:t>&lt;/Version&gt;</w:t>
    </w:r>
    <w:r w:rsidRPr="00D227E5">
      <w:rPr>
        <w:lang w:val="en-GB"/>
      </w:rPr>
      <w:t xml:space="preserve"> }</w:t>
    </w:r>
  </w:p>
  <w:p w14:paraId="69859791" w14:textId="77777777" w:rsidR="00BD29CB" w:rsidRPr="00D227E5" w:rsidRDefault="00BD29CB" w:rsidP="00BD29CB">
    <w:pPr>
      <w:pStyle w:val="Footer"/>
      <w:tabs>
        <w:tab w:val="center" w:pos="4536"/>
      </w:tabs>
      <w:rPr>
        <w:lang w:val="en-GB"/>
      </w:rPr>
    </w:pPr>
    <w:r w:rsidRPr="00D227E5">
      <w:rPr>
        <w:lang w:val="en-GB"/>
      </w:rPr>
      <w:tab/>
    </w:r>
    <w:r w:rsidRPr="00D227E5">
      <w:rPr>
        <w:lang w:val="en-GB"/>
      </w:rPr>
      <w:tab/>
      <w:t>PE</w:t>
    </w:r>
    <w:r w:rsidRPr="00D227E5">
      <w:rPr>
        <w:rStyle w:val="HideTWBExt"/>
        <w:noProof w:val="0"/>
        <w:lang w:val="en-GB"/>
      </w:rPr>
      <w:t>&lt;NoPE&gt;</w:t>
    </w:r>
    <w:r w:rsidRPr="00D227E5">
      <w:rPr>
        <w:lang w:val="en-GB"/>
      </w:rPr>
      <w:t>637.783</w:t>
    </w:r>
    <w:r w:rsidRPr="00D227E5">
      <w:rPr>
        <w:rStyle w:val="HideTWBExt"/>
        <w:noProof w:val="0"/>
        <w:lang w:val="en-GB"/>
      </w:rPr>
      <w:t>&lt;/NoPE&gt;&lt;Version&gt;</w:t>
    </w:r>
    <w:r w:rsidRPr="00D227E5">
      <w:rPr>
        <w:lang w:val="en-GB"/>
      </w:rPr>
      <w:t>v01-00</w:t>
    </w:r>
    <w:r w:rsidRPr="00D227E5">
      <w:rPr>
        <w:rStyle w:val="HideTWBExt"/>
        <w:noProof w:val="0"/>
        <w:lang w:val="en-GB"/>
      </w:rPr>
      <w:t>&lt;/Version&gt;</w:t>
    </w:r>
    <w:r w:rsidRPr="00D227E5">
      <w:rPr>
        <w:lang w:val="en-GB"/>
      </w:rPr>
      <w:t xml:space="preserve"> }</w:t>
    </w:r>
  </w:p>
  <w:p w14:paraId="45148146" w14:textId="77777777" w:rsidR="00BD29CB" w:rsidRPr="00D227E5" w:rsidRDefault="00BD29CB" w:rsidP="00BD29CB">
    <w:pPr>
      <w:pStyle w:val="Footer"/>
      <w:tabs>
        <w:tab w:val="center" w:pos="4536"/>
      </w:tabs>
      <w:rPr>
        <w:lang w:val="en-GB"/>
      </w:rPr>
    </w:pPr>
    <w:r w:rsidRPr="00D227E5">
      <w:rPr>
        <w:lang w:val="en-GB"/>
      </w:rPr>
      <w:tab/>
    </w:r>
    <w:r w:rsidRPr="00D227E5">
      <w:rPr>
        <w:lang w:val="en-GB"/>
      </w:rPr>
      <w:tab/>
      <w:t>PE</w:t>
    </w:r>
    <w:r w:rsidRPr="00D227E5">
      <w:rPr>
        <w:rStyle w:val="HideTWBExt"/>
        <w:noProof w:val="0"/>
        <w:lang w:val="en-GB"/>
      </w:rPr>
      <w:t>&lt;NoPE&gt;</w:t>
    </w:r>
    <w:r w:rsidRPr="00D227E5">
      <w:rPr>
        <w:lang w:val="en-GB"/>
      </w:rPr>
      <w:t>637.787</w:t>
    </w:r>
    <w:r w:rsidRPr="00D227E5">
      <w:rPr>
        <w:rStyle w:val="HideTWBExt"/>
        <w:noProof w:val="0"/>
        <w:lang w:val="en-GB"/>
      </w:rPr>
      <w:t>&lt;/NoPE&gt;&lt;Version&gt;</w:t>
    </w:r>
    <w:r w:rsidRPr="00D227E5">
      <w:rPr>
        <w:lang w:val="en-GB"/>
      </w:rPr>
      <w:t>v01-00</w:t>
    </w:r>
    <w:r w:rsidRPr="00D227E5">
      <w:rPr>
        <w:rStyle w:val="HideTWBExt"/>
        <w:noProof w:val="0"/>
        <w:lang w:val="en-GB"/>
      </w:rPr>
      <w:t>&lt;/Version&gt;</w:t>
    </w:r>
    <w:r w:rsidRPr="00D227E5">
      <w:rPr>
        <w:lang w:val="en-GB"/>
      </w:rPr>
      <w:t xml:space="preserve"> }</w:t>
    </w:r>
  </w:p>
  <w:p w14:paraId="3EB02DFA" w14:textId="77777777" w:rsidR="00C55061" w:rsidRPr="00D227E5" w:rsidRDefault="00C55061" w:rsidP="001B3354">
    <w:pPr>
      <w:pStyle w:val="Footer"/>
      <w:rPr>
        <w:lang w:val="en-GB"/>
      </w:rPr>
    </w:pPr>
    <w:r w:rsidRPr="00D227E5">
      <w:rPr>
        <w:lang w:val="en-GB"/>
      </w:rPr>
      <w:tab/>
      <w:t>PE</w:t>
    </w:r>
    <w:r w:rsidRPr="00D227E5">
      <w:rPr>
        <w:rStyle w:val="HideTWBExt"/>
        <w:noProof w:val="0"/>
        <w:lang w:val="en-GB"/>
      </w:rPr>
      <w:t>&lt;NoPE&gt;</w:t>
    </w:r>
    <w:r w:rsidR="00BD29CB" w:rsidRPr="00D227E5">
      <w:rPr>
        <w:lang w:val="en-GB"/>
      </w:rPr>
      <w:t>637.789</w:t>
    </w:r>
    <w:r w:rsidRPr="00D227E5">
      <w:rPr>
        <w:rStyle w:val="HideTWBExt"/>
        <w:noProof w:val="0"/>
        <w:lang w:val="en-GB"/>
      </w:rPr>
      <w:t>&lt;/NoPE&gt;&lt;Version&gt;</w:t>
    </w:r>
    <w:r w:rsidR="00F050E7" w:rsidRPr="00D227E5">
      <w:rPr>
        <w:lang w:val="en-GB"/>
      </w:rPr>
      <w:t>v</w:t>
    </w:r>
    <w:r w:rsidR="00BD29CB" w:rsidRPr="00D227E5">
      <w:rPr>
        <w:lang w:val="en-GB"/>
      </w:rPr>
      <w:t>01-00</w:t>
    </w:r>
    <w:r w:rsidRPr="00D227E5">
      <w:rPr>
        <w:rStyle w:val="HideTWBExt"/>
        <w:noProof w:val="0"/>
        <w:lang w:val="en-GB"/>
      </w:rPr>
      <w:t>&lt;/Version&gt;</w:t>
    </w:r>
    <w:r w:rsidRPr="00D227E5">
      <w:rPr>
        <w:lang w:val="en-GB"/>
      </w:rPr>
      <w:t xml:space="preserve"> } RC1</w:t>
    </w:r>
  </w:p>
  <w:p w14:paraId="07E0979B" w14:textId="58710191" w:rsidR="00626D73" w:rsidRPr="00F050E7" w:rsidRDefault="00626D73" w:rsidP="00D62D4B">
    <w:pPr>
      <w:pStyle w:val="Footer2"/>
    </w:pPr>
    <w:r w:rsidRPr="00F050E7">
      <w:fldChar w:fldCharType="begin"/>
    </w:r>
    <w:r w:rsidRPr="00F050E7">
      <w:instrText xml:space="preserve"> DOCPROPERTY "&lt;Extension&gt;"</w:instrText>
    </w:r>
    <w:r w:rsidRPr="00F050E7">
      <w:fldChar w:fldCharType="separate"/>
    </w:r>
    <w:r w:rsidR="00E83D2F">
      <w:t>EN</w:t>
    </w:r>
    <w:r w:rsidRPr="00F050E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D7EA" w14:textId="2AC4E818" w:rsidR="00AA1D6D" w:rsidRPr="00F050E7" w:rsidRDefault="00AA1D6D" w:rsidP="001B3354">
    <w:pPr>
      <w:pStyle w:val="Footer"/>
      <w:tabs>
        <w:tab w:val="center" w:pos="4536"/>
      </w:tabs>
      <w:rPr>
        <w:lang w:val="en-GB"/>
      </w:rPr>
    </w:pPr>
    <w:r w:rsidRPr="00F050E7">
      <w:rPr>
        <w:rStyle w:val="HideTWBExt"/>
        <w:noProof w:val="0"/>
        <w:sz w:val="22"/>
        <w:lang w:val="en-GB"/>
      </w:rPr>
      <w:t>&lt;</w:t>
    </w:r>
    <w:r w:rsidRPr="00F050E7">
      <w:rPr>
        <w:rStyle w:val="HideTWBExt"/>
        <w:noProof w:val="0"/>
        <w:lang w:val="en-GB"/>
      </w:rPr>
      <w:t>PathFdR</w:t>
    </w:r>
    <w:r w:rsidRPr="00F050E7">
      <w:rPr>
        <w:rStyle w:val="HideTWBExt"/>
        <w:noProof w:val="0"/>
        <w:sz w:val="22"/>
        <w:lang w:val="en-GB"/>
      </w:rPr>
      <w:t>&gt;</w:t>
    </w:r>
    <w:r w:rsidR="00BD29CB" w:rsidRPr="00BD29CB">
      <w:rPr>
        <w:lang w:val="en-GB"/>
      </w:rPr>
      <w:t>RC\1186283EN.docx</w:t>
    </w:r>
    <w:r w:rsidRPr="00F050E7">
      <w:rPr>
        <w:rStyle w:val="HideTWBExt"/>
        <w:noProof w:val="0"/>
        <w:sz w:val="22"/>
        <w:lang w:val="en-GB"/>
      </w:rPr>
      <w:t>&lt;/</w:t>
    </w:r>
    <w:r w:rsidRPr="00F050E7">
      <w:rPr>
        <w:rStyle w:val="HideTWBExt"/>
        <w:noProof w:val="0"/>
        <w:lang w:val="en-GB"/>
      </w:rPr>
      <w:t>PathFdR</w:t>
    </w:r>
    <w:r w:rsidRPr="00F050E7">
      <w:rPr>
        <w:rStyle w:val="HideTWBExt"/>
        <w:noProof w:val="0"/>
        <w:sz w:val="22"/>
        <w:lang w:val="en-GB"/>
      </w:rPr>
      <w:t>&gt;</w:t>
    </w:r>
    <w:r w:rsidRPr="00F050E7">
      <w:rPr>
        <w:lang w:val="en-GB"/>
      </w:rPr>
      <w:t xml:space="preserve"> </w:t>
    </w:r>
    <w:r w:rsidRPr="00F050E7">
      <w:rPr>
        <w:lang w:val="en-GB"/>
      </w:rPr>
      <w:tab/>
    </w:r>
    <w:r w:rsidR="00BD29CB">
      <w:rPr>
        <w:lang w:val="en-GB"/>
      </w:rPr>
      <w:fldChar w:fldCharType="begin"/>
    </w:r>
    <w:r w:rsidR="00BD29CB">
      <w:rPr>
        <w:lang w:val="en-GB"/>
      </w:rPr>
      <w:instrText xml:space="preserve"> PAGE  \* MERGEFORMAT </w:instrText>
    </w:r>
    <w:r w:rsidR="00BD29CB">
      <w:rPr>
        <w:lang w:val="en-GB"/>
      </w:rPr>
      <w:fldChar w:fldCharType="separate"/>
    </w:r>
    <w:r w:rsidR="00E83D2F">
      <w:rPr>
        <w:noProof/>
        <w:lang w:val="en-GB"/>
      </w:rPr>
      <w:t>3</w:t>
    </w:r>
    <w:r w:rsidR="00BD29CB">
      <w:rPr>
        <w:lang w:val="en-GB"/>
      </w:rPr>
      <w:fldChar w:fldCharType="end"/>
    </w:r>
    <w:r w:rsidR="00BD29CB">
      <w:rPr>
        <w:lang w:val="en-GB"/>
      </w:rPr>
      <w:t>/</w:t>
    </w:r>
    <w:r w:rsidR="00BD29CB">
      <w:rPr>
        <w:lang w:val="en-GB"/>
      </w:rPr>
      <w:fldChar w:fldCharType="begin"/>
    </w:r>
    <w:r w:rsidR="00BD29CB">
      <w:rPr>
        <w:lang w:val="en-GB"/>
      </w:rPr>
      <w:instrText xml:space="preserve"> NUMPAGES  \* MERGEFORMAT </w:instrText>
    </w:r>
    <w:r w:rsidR="00BD29CB">
      <w:rPr>
        <w:lang w:val="en-GB"/>
      </w:rPr>
      <w:fldChar w:fldCharType="separate"/>
    </w:r>
    <w:r w:rsidR="00E83D2F">
      <w:rPr>
        <w:noProof/>
        <w:lang w:val="en-GB"/>
      </w:rPr>
      <w:t>7</w:t>
    </w:r>
    <w:r w:rsidR="00BD29CB">
      <w:rPr>
        <w:lang w:val="en-GB"/>
      </w:rPr>
      <w:fldChar w:fldCharType="end"/>
    </w:r>
    <w:r w:rsidRPr="00F050E7">
      <w:rPr>
        <w:lang w:val="en-GB"/>
      </w:rPr>
      <w:tab/>
      <w:t>PE</w:t>
    </w:r>
    <w:r w:rsidRPr="00F050E7">
      <w:rPr>
        <w:rStyle w:val="HideTWBExt"/>
        <w:noProof w:val="0"/>
        <w:sz w:val="22"/>
        <w:lang w:val="en-GB"/>
      </w:rPr>
      <w:t>&lt;</w:t>
    </w:r>
    <w:r w:rsidRPr="00F050E7">
      <w:rPr>
        <w:rStyle w:val="HideTWBExt"/>
        <w:noProof w:val="0"/>
        <w:lang w:val="en-GB"/>
      </w:rPr>
      <w:t>NoPE&gt;</w:t>
    </w:r>
    <w:r w:rsidR="00BD29CB" w:rsidRPr="00BD29CB">
      <w:rPr>
        <w:lang w:val="en-GB"/>
      </w:rPr>
      <w:t>637.779</w:t>
    </w:r>
    <w:r w:rsidRPr="00F050E7">
      <w:rPr>
        <w:rStyle w:val="HideTWBExt"/>
        <w:noProof w:val="0"/>
        <w:lang w:val="en-GB"/>
      </w:rPr>
      <w:t>&lt;/NoPE&gt;&lt;Version&gt;</w:t>
    </w:r>
    <w:r w:rsidR="00F050E7" w:rsidRPr="00F050E7">
      <w:rPr>
        <w:lang w:val="en-GB"/>
      </w:rPr>
      <w:t>v</w:t>
    </w:r>
    <w:r w:rsidR="00BD29CB" w:rsidRPr="00BD29CB">
      <w:rPr>
        <w:lang w:val="en-GB"/>
      </w:rPr>
      <w:t>01-00</w:t>
    </w:r>
    <w:r w:rsidRPr="00F050E7">
      <w:rPr>
        <w:rStyle w:val="HideTWBExt"/>
        <w:noProof w:val="0"/>
        <w:lang w:val="en-GB"/>
      </w:rPr>
      <w:t>&lt;/Version</w:t>
    </w:r>
    <w:r w:rsidRPr="00F050E7">
      <w:rPr>
        <w:rStyle w:val="HideTWBExt"/>
        <w:noProof w:val="0"/>
        <w:sz w:val="22"/>
        <w:lang w:val="en-GB"/>
      </w:rPr>
      <w:t>&gt;</w:t>
    </w:r>
    <w:r w:rsidRPr="00F050E7">
      <w:rPr>
        <w:lang w:val="en-GB"/>
      </w:rPr>
      <w:t xml:space="preserve"> }</w:t>
    </w:r>
  </w:p>
  <w:p w14:paraId="29901309" w14:textId="77777777" w:rsidR="00BD29CB" w:rsidRPr="00D227E5" w:rsidRDefault="00BD29CB" w:rsidP="00BD29CB">
    <w:pPr>
      <w:pStyle w:val="Footer"/>
      <w:tabs>
        <w:tab w:val="center" w:pos="4536"/>
      </w:tabs>
      <w:rPr>
        <w:lang w:val="en-GB"/>
      </w:rPr>
    </w:pPr>
    <w:r w:rsidRPr="00F050E7">
      <w:rPr>
        <w:lang w:val="en-GB"/>
      </w:rPr>
      <w:tab/>
    </w:r>
    <w:r w:rsidRPr="00F050E7">
      <w:rPr>
        <w:lang w:val="en-GB"/>
      </w:rPr>
      <w:tab/>
    </w:r>
    <w:r w:rsidRPr="00D227E5">
      <w:rPr>
        <w:lang w:val="en-GB"/>
      </w:rPr>
      <w:t>PE</w:t>
    </w:r>
    <w:r w:rsidRPr="00D227E5">
      <w:rPr>
        <w:rStyle w:val="HideTWBExt"/>
        <w:noProof w:val="0"/>
        <w:sz w:val="22"/>
        <w:lang w:val="en-GB"/>
      </w:rPr>
      <w:t>&lt;</w:t>
    </w:r>
    <w:r w:rsidRPr="00D227E5">
      <w:rPr>
        <w:rStyle w:val="HideTWBExt"/>
        <w:noProof w:val="0"/>
        <w:lang w:val="en-GB"/>
      </w:rPr>
      <w:t>NoPE&gt;</w:t>
    </w:r>
    <w:r w:rsidRPr="00D227E5">
      <w:rPr>
        <w:lang w:val="en-GB"/>
      </w:rPr>
      <w:t>637.781</w:t>
    </w:r>
    <w:r w:rsidRPr="00D227E5">
      <w:rPr>
        <w:rStyle w:val="HideTWBExt"/>
        <w:noProof w:val="0"/>
        <w:lang w:val="en-GB"/>
      </w:rPr>
      <w:t>&lt;/NoPE&gt;&lt;Version&gt;</w:t>
    </w:r>
    <w:r w:rsidRPr="00D227E5">
      <w:rPr>
        <w:lang w:val="en-GB"/>
      </w:rPr>
      <w:t>v01-00</w:t>
    </w:r>
    <w:r w:rsidRPr="00D227E5">
      <w:rPr>
        <w:rStyle w:val="HideTWBExt"/>
        <w:noProof w:val="0"/>
        <w:lang w:val="en-GB"/>
      </w:rPr>
      <w:t>&lt;/Version</w:t>
    </w:r>
    <w:r w:rsidRPr="00D227E5">
      <w:rPr>
        <w:rStyle w:val="HideTWBExt"/>
        <w:noProof w:val="0"/>
        <w:sz w:val="22"/>
        <w:lang w:val="en-GB"/>
      </w:rPr>
      <w:t>&gt;</w:t>
    </w:r>
    <w:r w:rsidRPr="00D227E5">
      <w:rPr>
        <w:lang w:val="en-GB"/>
      </w:rPr>
      <w:t xml:space="preserve"> }</w:t>
    </w:r>
  </w:p>
  <w:p w14:paraId="173710D2" w14:textId="77777777" w:rsidR="00BD29CB" w:rsidRPr="00D227E5" w:rsidRDefault="00BD29CB" w:rsidP="00BD29CB">
    <w:pPr>
      <w:pStyle w:val="Footer"/>
      <w:tabs>
        <w:tab w:val="center" w:pos="4536"/>
      </w:tabs>
      <w:rPr>
        <w:lang w:val="en-GB"/>
      </w:rPr>
    </w:pPr>
    <w:r w:rsidRPr="00D227E5">
      <w:rPr>
        <w:lang w:val="en-GB"/>
      </w:rPr>
      <w:tab/>
    </w:r>
    <w:r w:rsidRPr="00D227E5">
      <w:rPr>
        <w:lang w:val="en-GB"/>
      </w:rPr>
      <w:tab/>
      <w:t>PE</w:t>
    </w:r>
    <w:r w:rsidRPr="00D227E5">
      <w:rPr>
        <w:rStyle w:val="HideTWBExt"/>
        <w:noProof w:val="0"/>
        <w:sz w:val="22"/>
        <w:lang w:val="en-GB"/>
      </w:rPr>
      <w:t>&lt;</w:t>
    </w:r>
    <w:r w:rsidRPr="00D227E5">
      <w:rPr>
        <w:rStyle w:val="HideTWBExt"/>
        <w:noProof w:val="0"/>
        <w:lang w:val="en-GB"/>
      </w:rPr>
      <w:t>NoPE&gt;</w:t>
    </w:r>
    <w:r w:rsidRPr="00D227E5">
      <w:rPr>
        <w:lang w:val="en-GB"/>
      </w:rPr>
      <w:t>637.783</w:t>
    </w:r>
    <w:r w:rsidRPr="00D227E5">
      <w:rPr>
        <w:rStyle w:val="HideTWBExt"/>
        <w:noProof w:val="0"/>
        <w:lang w:val="en-GB"/>
      </w:rPr>
      <w:t>&lt;/NoPE&gt;&lt;Version&gt;</w:t>
    </w:r>
    <w:r w:rsidRPr="00D227E5">
      <w:rPr>
        <w:lang w:val="en-GB"/>
      </w:rPr>
      <w:t>v01-00</w:t>
    </w:r>
    <w:r w:rsidRPr="00D227E5">
      <w:rPr>
        <w:rStyle w:val="HideTWBExt"/>
        <w:noProof w:val="0"/>
        <w:lang w:val="en-GB"/>
      </w:rPr>
      <w:t>&lt;/Version</w:t>
    </w:r>
    <w:r w:rsidRPr="00D227E5">
      <w:rPr>
        <w:rStyle w:val="HideTWBExt"/>
        <w:noProof w:val="0"/>
        <w:sz w:val="22"/>
        <w:lang w:val="en-GB"/>
      </w:rPr>
      <w:t>&gt;</w:t>
    </w:r>
    <w:r w:rsidRPr="00D227E5">
      <w:rPr>
        <w:lang w:val="en-GB"/>
      </w:rPr>
      <w:t xml:space="preserve"> }</w:t>
    </w:r>
  </w:p>
  <w:p w14:paraId="368D05E2" w14:textId="77777777" w:rsidR="00BD29CB" w:rsidRPr="00D227E5" w:rsidRDefault="00BD29CB" w:rsidP="00BD29CB">
    <w:pPr>
      <w:pStyle w:val="Footer"/>
      <w:tabs>
        <w:tab w:val="center" w:pos="4536"/>
      </w:tabs>
      <w:rPr>
        <w:lang w:val="en-GB"/>
      </w:rPr>
    </w:pPr>
    <w:r w:rsidRPr="00D227E5">
      <w:rPr>
        <w:lang w:val="en-GB"/>
      </w:rPr>
      <w:tab/>
    </w:r>
    <w:r w:rsidRPr="00D227E5">
      <w:rPr>
        <w:lang w:val="en-GB"/>
      </w:rPr>
      <w:tab/>
      <w:t>PE</w:t>
    </w:r>
    <w:r w:rsidRPr="00D227E5">
      <w:rPr>
        <w:rStyle w:val="HideTWBExt"/>
        <w:noProof w:val="0"/>
        <w:sz w:val="22"/>
        <w:lang w:val="en-GB"/>
      </w:rPr>
      <w:t>&lt;</w:t>
    </w:r>
    <w:r w:rsidRPr="00D227E5">
      <w:rPr>
        <w:rStyle w:val="HideTWBExt"/>
        <w:noProof w:val="0"/>
        <w:lang w:val="en-GB"/>
      </w:rPr>
      <w:t>NoPE&gt;</w:t>
    </w:r>
    <w:r w:rsidRPr="00D227E5">
      <w:rPr>
        <w:lang w:val="en-GB"/>
      </w:rPr>
      <w:t>637.787</w:t>
    </w:r>
    <w:r w:rsidRPr="00D227E5">
      <w:rPr>
        <w:rStyle w:val="HideTWBExt"/>
        <w:noProof w:val="0"/>
        <w:lang w:val="en-GB"/>
      </w:rPr>
      <w:t>&lt;/NoPE&gt;&lt;Version&gt;</w:t>
    </w:r>
    <w:r w:rsidRPr="00D227E5">
      <w:rPr>
        <w:lang w:val="en-GB"/>
      </w:rPr>
      <w:t>v01-00</w:t>
    </w:r>
    <w:r w:rsidRPr="00D227E5">
      <w:rPr>
        <w:rStyle w:val="HideTWBExt"/>
        <w:noProof w:val="0"/>
        <w:lang w:val="en-GB"/>
      </w:rPr>
      <w:t>&lt;/Version</w:t>
    </w:r>
    <w:r w:rsidRPr="00D227E5">
      <w:rPr>
        <w:rStyle w:val="HideTWBExt"/>
        <w:noProof w:val="0"/>
        <w:sz w:val="22"/>
        <w:lang w:val="en-GB"/>
      </w:rPr>
      <w:t>&gt;</w:t>
    </w:r>
    <w:r w:rsidRPr="00D227E5">
      <w:rPr>
        <w:lang w:val="en-GB"/>
      </w:rPr>
      <w:t xml:space="preserve"> }</w:t>
    </w:r>
  </w:p>
  <w:p w14:paraId="5B276E6A" w14:textId="77777777" w:rsidR="00AA1D6D" w:rsidRPr="00D227E5" w:rsidRDefault="00AA1D6D" w:rsidP="001B3354">
    <w:pPr>
      <w:pStyle w:val="Footer"/>
      <w:rPr>
        <w:lang w:val="en-GB"/>
      </w:rPr>
    </w:pPr>
    <w:r w:rsidRPr="00D227E5">
      <w:rPr>
        <w:lang w:val="en-GB"/>
      </w:rPr>
      <w:tab/>
      <w:t>PE</w:t>
    </w:r>
    <w:r w:rsidRPr="00D227E5">
      <w:rPr>
        <w:rStyle w:val="HideTWBExt"/>
        <w:noProof w:val="0"/>
        <w:sz w:val="22"/>
        <w:lang w:val="en-GB"/>
      </w:rPr>
      <w:t>&lt;</w:t>
    </w:r>
    <w:r w:rsidRPr="00D227E5">
      <w:rPr>
        <w:rStyle w:val="HideTWBExt"/>
        <w:noProof w:val="0"/>
        <w:lang w:val="en-GB"/>
      </w:rPr>
      <w:t>NoPE&gt;</w:t>
    </w:r>
    <w:r w:rsidR="00BD29CB" w:rsidRPr="00D227E5">
      <w:rPr>
        <w:lang w:val="en-GB"/>
      </w:rPr>
      <w:t>637.789</w:t>
    </w:r>
    <w:r w:rsidRPr="00D227E5">
      <w:rPr>
        <w:rStyle w:val="HideTWBExt"/>
        <w:noProof w:val="0"/>
        <w:lang w:val="en-GB"/>
      </w:rPr>
      <w:t>&lt;/NoPE&gt;&lt;Version&gt;</w:t>
    </w:r>
    <w:r w:rsidR="00F050E7" w:rsidRPr="00D227E5">
      <w:rPr>
        <w:lang w:val="en-GB"/>
      </w:rPr>
      <w:t>v</w:t>
    </w:r>
    <w:r w:rsidR="00BD29CB" w:rsidRPr="00D227E5">
      <w:rPr>
        <w:lang w:val="en-GB"/>
      </w:rPr>
      <w:t>01-00</w:t>
    </w:r>
    <w:r w:rsidRPr="00D227E5">
      <w:rPr>
        <w:rStyle w:val="HideTWBExt"/>
        <w:noProof w:val="0"/>
        <w:lang w:val="en-GB"/>
      </w:rPr>
      <w:t>&lt;/Version</w:t>
    </w:r>
    <w:r w:rsidRPr="00D227E5">
      <w:rPr>
        <w:rStyle w:val="HideTWBExt"/>
        <w:noProof w:val="0"/>
        <w:sz w:val="22"/>
        <w:lang w:val="en-GB"/>
      </w:rPr>
      <w:t>&gt;</w:t>
    </w:r>
    <w:r w:rsidRPr="00D227E5">
      <w:rPr>
        <w:lang w:val="en-GB"/>
      </w:rPr>
      <w:t xml:space="preserve"> } RC1</w:t>
    </w:r>
  </w:p>
  <w:p w14:paraId="12C3C502" w14:textId="6721123D" w:rsidR="00626D73" w:rsidRPr="00F050E7" w:rsidRDefault="00626D73" w:rsidP="00D62D4B">
    <w:pPr>
      <w:pStyle w:val="Footer2"/>
    </w:pPr>
    <w:r w:rsidRPr="00D227E5">
      <w:tab/>
    </w:r>
    <w:r w:rsidRPr="00F050E7">
      <w:fldChar w:fldCharType="begin"/>
    </w:r>
    <w:r w:rsidRPr="00F050E7">
      <w:instrText xml:space="preserve"> DOCPROPERTY "&lt;Extension&gt;" </w:instrText>
    </w:r>
    <w:r w:rsidRPr="00F050E7">
      <w:fldChar w:fldCharType="separate"/>
    </w:r>
    <w:r w:rsidR="00E83D2F">
      <w:t>EN</w:t>
    </w:r>
    <w:r w:rsidRPr="00F050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4888" w14:textId="77777777" w:rsidR="00626D73" w:rsidRPr="00F050E7" w:rsidRDefault="00626D73" w:rsidP="001B3354">
    <w:pPr>
      <w:pStyle w:val="Footer"/>
      <w:rPr>
        <w:lang w:val="en-GB"/>
      </w:rPr>
    </w:pPr>
    <w:bookmarkStart w:id="1" w:name="InsideFooter"/>
    <w:bookmarkStart w:id="2" w:name="AllFooter"/>
    <w:r w:rsidRPr="00F050E7">
      <w:rPr>
        <w:rStyle w:val="HideTWBExt"/>
        <w:noProof w:val="0"/>
        <w:sz w:val="22"/>
        <w:lang w:val="en-GB"/>
      </w:rPr>
      <w:t>&lt;</w:t>
    </w:r>
    <w:r w:rsidRPr="00F050E7">
      <w:rPr>
        <w:rStyle w:val="HideTWBExt"/>
        <w:noProof w:val="0"/>
        <w:lang w:val="en-GB"/>
      </w:rPr>
      <w:t>PathFdR</w:t>
    </w:r>
    <w:r w:rsidRPr="00F050E7">
      <w:rPr>
        <w:rStyle w:val="HideTWBExt"/>
        <w:noProof w:val="0"/>
        <w:sz w:val="22"/>
        <w:lang w:val="en-GB"/>
      </w:rPr>
      <w:t>&gt;</w:t>
    </w:r>
    <w:r w:rsidR="00BD29CB" w:rsidRPr="00BD29CB">
      <w:rPr>
        <w:lang w:val="en-GB"/>
      </w:rPr>
      <w:t>RC\1186283EN.docx</w:t>
    </w:r>
    <w:r w:rsidRPr="00F050E7">
      <w:rPr>
        <w:rStyle w:val="HideTWBExt"/>
        <w:noProof w:val="0"/>
        <w:sz w:val="22"/>
        <w:lang w:val="en-GB"/>
      </w:rPr>
      <w:t>&lt;/</w:t>
    </w:r>
    <w:r w:rsidRPr="00F050E7">
      <w:rPr>
        <w:rStyle w:val="HideTWBExt"/>
        <w:noProof w:val="0"/>
        <w:lang w:val="en-GB"/>
      </w:rPr>
      <w:t>PathFdR</w:t>
    </w:r>
    <w:r w:rsidRPr="00F050E7">
      <w:rPr>
        <w:rStyle w:val="HideTWBExt"/>
        <w:noProof w:val="0"/>
        <w:sz w:val="22"/>
        <w:lang w:val="en-GB"/>
      </w:rPr>
      <w:t>&gt;</w:t>
    </w:r>
    <w:bookmarkEnd w:id="1"/>
    <w:r w:rsidRPr="00F050E7">
      <w:rPr>
        <w:lang w:val="en-GB"/>
      </w:rPr>
      <w:t xml:space="preserve"> </w:t>
    </w:r>
    <w:r w:rsidRPr="00F050E7">
      <w:rPr>
        <w:lang w:val="en-GB"/>
      </w:rPr>
      <w:tab/>
    </w:r>
    <w:bookmarkStart w:id="3" w:name="OutsideFooter1"/>
    <w:r w:rsidRPr="00F050E7">
      <w:rPr>
        <w:lang w:val="en-GB"/>
      </w:rPr>
      <w:t>PE</w:t>
    </w:r>
    <w:r w:rsidRPr="00F050E7">
      <w:rPr>
        <w:rStyle w:val="HideTWBExt"/>
        <w:noProof w:val="0"/>
        <w:sz w:val="22"/>
        <w:lang w:val="en-GB"/>
      </w:rPr>
      <w:t>&lt;</w:t>
    </w:r>
    <w:r w:rsidRPr="00F050E7">
      <w:rPr>
        <w:rStyle w:val="HideTWBExt"/>
        <w:noProof w:val="0"/>
        <w:lang w:val="en-GB"/>
      </w:rPr>
      <w:t>NoPE&gt;</w:t>
    </w:r>
    <w:r w:rsidR="00BD29CB">
      <w:rPr>
        <w:lang w:val="en-GB"/>
      </w:rPr>
      <w:t>637.779</w:t>
    </w:r>
    <w:r w:rsidRPr="00F050E7">
      <w:rPr>
        <w:rStyle w:val="HideTWBExt"/>
        <w:noProof w:val="0"/>
        <w:lang w:val="en-GB"/>
      </w:rPr>
      <w:t>&lt;/NoPE&gt;&lt;Version&gt;</w:t>
    </w:r>
    <w:r w:rsidR="00F050E7" w:rsidRPr="00F050E7">
      <w:rPr>
        <w:lang w:val="en-GB"/>
      </w:rPr>
      <w:t>v</w:t>
    </w:r>
    <w:r w:rsidR="00BD29CB">
      <w:rPr>
        <w:lang w:val="en-GB"/>
      </w:rPr>
      <w:t>01-00</w:t>
    </w:r>
    <w:r w:rsidRPr="00F050E7">
      <w:rPr>
        <w:rStyle w:val="HideTWBExt"/>
        <w:noProof w:val="0"/>
        <w:lang w:val="en-GB"/>
      </w:rPr>
      <w:t>&lt;/Version</w:t>
    </w:r>
    <w:r w:rsidRPr="00F050E7">
      <w:rPr>
        <w:rStyle w:val="HideTWBExt"/>
        <w:noProof w:val="0"/>
        <w:sz w:val="22"/>
        <w:lang w:val="en-GB"/>
      </w:rPr>
      <w:t>&gt;</w:t>
    </w:r>
    <w:r w:rsidRPr="00F050E7">
      <w:rPr>
        <w:lang w:val="en-GB"/>
      </w:rPr>
      <w:t xml:space="preserve"> }</w:t>
    </w:r>
  </w:p>
  <w:p w14:paraId="77EA41F9" w14:textId="77777777" w:rsidR="00BD29CB" w:rsidRPr="00D227E5" w:rsidRDefault="00BD29CB" w:rsidP="00BD29CB">
    <w:pPr>
      <w:pStyle w:val="Footer"/>
      <w:rPr>
        <w:lang w:val="en-GB"/>
      </w:rPr>
    </w:pPr>
    <w:r w:rsidRPr="00F050E7">
      <w:rPr>
        <w:lang w:val="en-GB"/>
      </w:rPr>
      <w:tab/>
    </w:r>
    <w:r w:rsidRPr="00D227E5">
      <w:rPr>
        <w:lang w:val="en-GB"/>
      </w:rPr>
      <w:t>PE</w:t>
    </w:r>
    <w:r w:rsidRPr="00D227E5">
      <w:rPr>
        <w:rStyle w:val="HideTWBExt"/>
        <w:noProof w:val="0"/>
        <w:sz w:val="22"/>
        <w:lang w:val="en-GB"/>
      </w:rPr>
      <w:t>&lt;</w:t>
    </w:r>
    <w:r w:rsidRPr="00D227E5">
      <w:rPr>
        <w:rStyle w:val="HideTWBExt"/>
        <w:noProof w:val="0"/>
        <w:lang w:val="en-GB"/>
      </w:rPr>
      <w:t>NoPE&gt;</w:t>
    </w:r>
    <w:r w:rsidRPr="00D227E5">
      <w:rPr>
        <w:lang w:val="en-GB"/>
      </w:rPr>
      <w:t>637.781</w:t>
    </w:r>
    <w:r w:rsidRPr="00D227E5">
      <w:rPr>
        <w:rStyle w:val="HideTWBExt"/>
        <w:noProof w:val="0"/>
        <w:lang w:val="en-GB"/>
      </w:rPr>
      <w:t>&lt;/NoPE&gt;&lt;Version&gt;</w:t>
    </w:r>
    <w:r w:rsidRPr="00D227E5">
      <w:rPr>
        <w:lang w:val="en-GB"/>
      </w:rPr>
      <w:t>v01-00</w:t>
    </w:r>
    <w:r w:rsidRPr="00D227E5">
      <w:rPr>
        <w:rStyle w:val="HideTWBExt"/>
        <w:noProof w:val="0"/>
        <w:lang w:val="en-GB"/>
      </w:rPr>
      <w:t>&lt;/Version</w:t>
    </w:r>
    <w:r w:rsidRPr="00D227E5">
      <w:rPr>
        <w:rStyle w:val="HideTWBExt"/>
        <w:noProof w:val="0"/>
        <w:sz w:val="22"/>
        <w:lang w:val="en-GB"/>
      </w:rPr>
      <w:t>&gt;</w:t>
    </w:r>
    <w:r w:rsidRPr="00D227E5">
      <w:rPr>
        <w:lang w:val="en-GB"/>
      </w:rPr>
      <w:t xml:space="preserve"> }</w:t>
    </w:r>
  </w:p>
  <w:p w14:paraId="70F1F2FA" w14:textId="77777777" w:rsidR="00BD29CB" w:rsidRPr="00D227E5" w:rsidRDefault="00BD29CB" w:rsidP="00BD29CB">
    <w:pPr>
      <w:pStyle w:val="Footer"/>
      <w:rPr>
        <w:lang w:val="en-GB"/>
      </w:rPr>
    </w:pPr>
    <w:r w:rsidRPr="00D227E5">
      <w:rPr>
        <w:lang w:val="en-GB"/>
      </w:rPr>
      <w:tab/>
      <w:t>PE</w:t>
    </w:r>
    <w:r w:rsidRPr="00D227E5">
      <w:rPr>
        <w:rStyle w:val="HideTWBExt"/>
        <w:noProof w:val="0"/>
        <w:sz w:val="22"/>
        <w:lang w:val="en-GB"/>
      </w:rPr>
      <w:t>&lt;</w:t>
    </w:r>
    <w:r w:rsidRPr="00D227E5">
      <w:rPr>
        <w:rStyle w:val="HideTWBExt"/>
        <w:noProof w:val="0"/>
        <w:lang w:val="en-GB"/>
      </w:rPr>
      <w:t>NoPE&gt;</w:t>
    </w:r>
    <w:r w:rsidRPr="00D227E5">
      <w:rPr>
        <w:lang w:val="en-GB"/>
      </w:rPr>
      <w:t>637.783</w:t>
    </w:r>
    <w:r w:rsidRPr="00D227E5">
      <w:rPr>
        <w:rStyle w:val="HideTWBExt"/>
        <w:noProof w:val="0"/>
        <w:lang w:val="en-GB"/>
      </w:rPr>
      <w:t>&lt;/NoPE&gt;&lt;Version&gt;</w:t>
    </w:r>
    <w:r w:rsidRPr="00D227E5">
      <w:rPr>
        <w:lang w:val="en-GB"/>
      </w:rPr>
      <w:t>v01-00</w:t>
    </w:r>
    <w:r w:rsidRPr="00D227E5">
      <w:rPr>
        <w:rStyle w:val="HideTWBExt"/>
        <w:noProof w:val="0"/>
        <w:lang w:val="en-GB"/>
      </w:rPr>
      <w:t>&lt;/Version</w:t>
    </w:r>
    <w:r w:rsidRPr="00D227E5">
      <w:rPr>
        <w:rStyle w:val="HideTWBExt"/>
        <w:noProof w:val="0"/>
        <w:sz w:val="22"/>
        <w:lang w:val="en-GB"/>
      </w:rPr>
      <w:t>&gt;</w:t>
    </w:r>
    <w:r w:rsidRPr="00D227E5">
      <w:rPr>
        <w:lang w:val="en-GB"/>
      </w:rPr>
      <w:t xml:space="preserve"> }</w:t>
    </w:r>
  </w:p>
  <w:p w14:paraId="0D03550A" w14:textId="77777777" w:rsidR="00BD29CB" w:rsidRPr="00D227E5" w:rsidRDefault="00BD29CB" w:rsidP="00BD29CB">
    <w:pPr>
      <w:pStyle w:val="Footer"/>
      <w:rPr>
        <w:lang w:val="en-GB"/>
      </w:rPr>
    </w:pPr>
    <w:r w:rsidRPr="00D227E5">
      <w:rPr>
        <w:lang w:val="en-GB"/>
      </w:rPr>
      <w:tab/>
      <w:t>PE</w:t>
    </w:r>
    <w:r w:rsidRPr="00D227E5">
      <w:rPr>
        <w:rStyle w:val="HideTWBExt"/>
        <w:noProof w:val="0"/>
        <w:sz w:val="22"/>
        <w:lang w:val="en-GB"/>
      </w:rPr>
      <w:t>&lt;</w:t>
    </w:r>
    <w:r w:rsidRPr="00D227E5">
      <w:rPr>
        <w:rStyle w:val="HideTWBExt"/>
        <w:noProof w:val="0"/>
        <w:lang w:val="en-GB"/>
      </w:rPr>
      <w:t>NoPE&gt;</w:t>
    </w:r>
    <w:r w:rsidRPr="00D227E5">
      <w:rPr>
        <w:lang w:val="en-GB"/>
      </w:rPr>
      <w:t>637.787</w:t>
    </w:r>
    <w:r w:rsidRPr="00D227E5">
      <w:rPr>
        <w:rStyle w:val="HideTWBExt"/>
        <w:noProof w:val="0"/>
        <w:lang w:val="en-GB"/>
      </w:rPr>
      <w:t>&lt;/NoPE&gt;&lt;Version&gt;</w:t>
    </w:r>
    <w:r w:rsidRPr="00D227E5">
      <w:rPr>
        <w:lang w:val="en-GB"/>
      </w:rPr>
      <w:t>v01-00</w:t>
    </w:r>
    <w:r w:rsidRPr="00D227E5">
      <w:rPr>
        <w:rStyle w:val="HideTWBExt"/>
        <w:noProof w:val="0"/>
        <w:lang w:val="en-GB"/>
      </w:rPr>
      <w:t>&lt;/Version</w:t>
    </w:r>
    <w:r w:rsidRPr="00D227E5">
      <w:rPr>
        <w:rStyle w:val="HideTWBExt"/>
        <w:noProof w:val="0"/>
        <w:sz w:val="22"/>
        <w:lang w:val="en-GB"/>
      </w:rPr>
      <w:t>&gt;</w:t>
    </w:r>
    <w:r w:rsidRPr="00D227E5">
      <w:rPr>
        <w:lang w:val="en-GB"/>
      </w:rPr>
      <w:t xml:space="preserve"> }</w:t>
    </w:r>
  </w:p>
  <w:p w14:paraId="53E2099E" w14:textId="77777777" w:rsidR="00626D73" w:rsidRPr="00D227E5" w:rsidRDefault="00626D73" w:rsidP="001B3354">
    <w:pPr>
      <w:pStyle w:val="Footer"/>
      <w:rPr>
        <w:lang w:val="en-GB"/>
      </w:rPr>
    </w:pPr>
    <w:r w:rsidRPr="00D227E5">
      <w:rPr>
        <w:lang w:val="en-GB"/>
      </w:rPr>
      <w:tab/>
      <w:t>PE</w:t>
    </w:r>
    <w:r w:rsidRPr="00D227E5">
      <w:rPr>
        <w:rStyle w:val="HideTWBExt"/>
        <w:noProof w:val="0"/>
        <w:sz w:val="22"/>
        <w:lang w:val="en-GB"/>
      </w:rPr>
      <w:t>&lt;</w:t>
    </w:r>
    <w:r w:rsidRPr="00D227E5">
      <w:rPr>
        <w:rStyle w:val="HideTWBExt"/>
        <w:noProof w:val="0"/>
        <w:lang w:val="en-GB"/>
      </w:rPr>
      <w:t>NoPE&gt;</w:t>
    </w:r>
    <w:r w:rsidR="00BD29CB" w:rsidRPr="00D227E5">
      <w:rPr>
        <w:lang w:val="en-GB"/>
      </w:rPr>
      <w:t>637.789</w:t>
    </w:r>
    <w:r w:rsidRPr="00D227E5">
      <w:rPr>
        <w:rStyle w:val="HideTWBExt"/>
        <w:noProof w:val="0"/>
        <w:lang w:val="en-GB"/>
      </w:rPr>
      <w:t>&lt;/NoPE&gt;&lt;Version&gt;</w:t>
    </w:r>
    <w:r w:rsidR="00F050E7" w:rsidRPr="00D227E5">
      <w:rPr>
        <w:lang w:val="en-GB"/>
      </w:rPr>
      <w:t>v</w:t>
    </w:r>
    <w:r w:rsidR="00BD29CB" w:rsidRPr="00D227E5">
      <w:rPr>
        <w:lang w:val="en-GB"/>
      </w:rPr>
      <w:t>01-00</w:t>
    </w:r>
    <w:r w:rsidRPr="00D227E5">
      <w:rPr>
        <w:rStyle w:val="HideTWBExt"/>
        <w:noProof w:val="0"/>
        <w:lang w:val="en-GB"/>
      </w:rPr>
      <w:t>&lt;/Version</w:t>
    </w:r>
    <w:r w:rsidRPr="00D227E5">
      <w:rPr>
        <w:rStyle w:val="HideTWBExt"/>
        <w:noProof w:val="0"/>
        <w:sz w:val="22"/>
        <w:lang w:val="en-GB"/>
      </w:rPr>
      <w:t>&gt;</w:t>
    </w:r>
    <w:r w:rsidRPr="00D227E5">
      <w:rPr>
        <w:lang w:val="en-GB"/>
      </w:rPr>
      <w:t xml:space="preserve"> } RC1</w:t>
    </w:r>
  </w:p>
  <w:bookmarkEnd w:id="2"/>
  <w:bookmarkEnd w:id="3"/>
  <w:p w14:paraId="2197D9F4" w14:textId="79F3B7A9" w:rsidR="00626D73" w:rsidRPr="00F050E7" w:rsidRDefault="00626D73" w:rsidP="003441B1">
    <w:pPr>
      <w:pStyle w:val="Footer2"/>
      <w:tabs>
        <w:tab w:val="center" w:pos="4536"/>
      </w:tabs>
    </w:pPr>
    <w:r w:rsidRPr="00F050E7">
      <w:fldChar w:fldCharType="begin"/>
    </w:r>
    <w:r w:rsidRPr="00F050E7">
      <w:instrText xml:space="preserve"> DOCPROPERTY "&lt;Extension&gt;" </w:instrText>
    </w:r>
    <w:r w:rsidRPr="00F050E7">
      <w:fldChar w:fldCharType="separate"/>
    </w:r>
    <w:r w:rsidR="00E83D2F">
      <w:t>EN</w:t>
    </w:r>
    <w:r w:rsidRPr="00F050E7">
      <w:fldChar w:fldCharType="end"/>
    </w:r>
    <w:r w:rsidRPr="00F050E7">
      <w:rPr>
        <w:color w:val="C0C0C0"/>
      </w:rPr>
      <w:tab/>
    </w:r>
    <w:r w:rsidR="00BD29CB">
      <w:rPr>
        <w:b w:val="0"/>
        <w:i/>
        <w:color w:val="C0C0C0"/>
        <w:sz w:val="22"/>
        <w:szCs w:val="22"/>
      </w:rPr>
      <w:t>United in diversity</w:t>
    </w:r>
    <w:r w:rsidRPr="00F050E7">
      <w:rPr>
        <w:color w:val="C0C0C0"/>
      </w:rPr>
      <w:tab/>
    </w:r>
    <w:r w:rsidRPr="00F050E7">
      <w:fldChar w:fldCharType="begin"/>
    </w:r>
    <w:r w:rsidRPr="00F050E7">
      <w:instrText xml:space="preserve"> DOCPROPERTY "&lt;Extension&gt;" </w:instrText>
    </w:r>
    <w:r w:rsidRPr="00F050E7">
      <w:fldChar w:fldCharType="separate"/>
    </w:r>
    <w:r w:rsidR="00E83D2F">
      <w:t>EN</w:t>
    </w:r>
    <w:r w:rsidRPr="00F050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62DE" w14:textId="77777777" w:rsidR="00F050E7" w:rsidRPr="00F050E7" w:rsidRDefault="00F050E7">
      <w:r w:rsidRPr="00F050E7">
        <w:separator/>
      </w:r>
    </w:p>
  </w:footnote>
  <w:footnote w:type="continuationSeparator" w:id="0">
    <w:p w14:paraId="45C98C49" w14:textId="77777777" w:rsidR="00F050E7" w:rsidRPr="00F050E7" w:rsidRDefault="00F050E7">
      <w:r w:rsidRPr="00F050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67FD" w14:textId="77777777" w:rsidR="00D227E5" w:rsidRDefault="00D22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A77D" w14:textId="77777777" w:rsidR="00D227E5" w:rsidRDefault="00D22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5A2E" w14:textId="77777777" w:rsidR="00D227E5" w:rsidRDefault="00D2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4"/>
    <w:docVar w:name="NVAR1" w:val="4"/>
    <w:docVar w:name="NVAR2" w:val="5"/>
    <w:docVar w:name="RULEMNU" w:val=" 5"/>
    <w:docVar w:name="strDocTypeID" w:val="RC"/>
    <w:docVar w:name="strSubDir" w:val="1186"/>
    <w:docVar w:name="TABLERMNU" w:val=" 1"/>
    <w:docVar w:name="TXTLANGUE" w:val="EN"/>
    <w:docVar w:name="TXTLANGUEMIN" w:val="en"/>
    <w:docVar w:name="TXTNRB1" w:val="0013/2019"/>
    <w:docVar w:name="TXTNRB2" w:val="0015/2019"/>
    <w:docVar w:name="TXTNRB3" w:val="0017/2019"/>
    <w:docVar w:name="TXTNRB4" w:val="0021/2019"/>
    <w:docVar w:name="TXTNRB5" w:val="0023/2019"/>
    <w:docVar w:name="TXTNRPE1" w:val="637.779"/>
    <w:docVar w:name="TXTNRPE2" w:val="637.781"/>
    <w:docVar w:name="TXTNRPE3" w:val="637.783"/>
    <w:docVar w:name="TXTNRPE4" w:val="637.787"/>
    <w:docVar w:name="TXTNRPE5" w:val="637.789"/>
    <w:docVar w:name="TXTNRRSP" w:val="2019/2732"/>
    <w:docVar w:name="TXTROUTE" w:val="RC\1186283EN.docx"/>
    <w:docVar w:name="TXTTITLE" w:val="the situation in Hong Kong"/>
    <w:docVar w:name="TXTVERSION1" w:val="01-00"/>
    <w:docVar w:name="TXTVERSION2" w:val="01-00"/>
    <w:docVar w:name="TXTVERSION3" w:val="01-00"/>
    <w:docVar w:name="TXTVERSION4" w:val="01-00"/>
    <w:docVar w:name="TXTVERSION5" w:val="01-00"/>
  </w:docVars>
  <w:rsids>
    <w:rsidRoot w:val="00F050E7"/>
    <w:rsid w:val="00005903"/>
    <w:rsid w:val="0001465F"/>
    <w:rsid w:val="0008467F"/>
    <w:rsid w:val="00177088"/>
    <w:rsid w:val="001816C4"/>
    <w:rsid w:val="00184B3E"/>
    <w:rsid w:val="001B3354"/>
    <w:rsid w:val="001E6953"/>
    <w:rsid w:val="002439D4"/>
    <w:rsid w:val="00250797"/>
    <w:rsid w:val="00263A64"/>
    <w:rsid w:val="002A2B62"/>
    <w:rsid w:val="002C4BC5"/>
    <w:rsid w:val="002E2D08"/>
    <w:rsid w:val="00335275"/>
    <w:rsid w:val="003441B1"/>
    <w:rsid w:val="003957F5"/>
    <w:rsid w:val="003B03C1"/>
    <w:rsid w:val="00407A72"/>
    <w:rsid w:val="00445AC8"/>
    <w:rsid w:val="00486CC2"/>
    <w:rsid w:val="004D5831"/>
    <w:rsid w:val="004E13DA"/>
    <w:rsid w:val="004F500E"/>
    <w:rsid w:val="00503B5F"/>
    <w:rsid w:val="00512790"/>
    <w:rsid w:val="00554F5C"/>
    <w:rsid w:val="00584E73"/>
    <w:rsid w:val="005B55C9"/>
    <w:rsid w:val="005C13B8"/>
    <w:rsid w:val="005E607B"/>
    <w:rsid w:val="005F6A25"/>
    <w:rsid w:val="00626D73"/>
    <w:rsid w:val="006612B5"/>
    <w:rsid w:val="00676484"/>
    <w:rsid w:val="00747149"/>
    <w:rsid w:val="00752855"/>
    <w:rsid w:val="00762DD4"/>
    <w:rsid w:val="00763757"/>
    <w:rsid w:val="007C394B"/>
    <w:rsid w:val="007C665E"/>
    <w:rsid w:val="0082552A"/>
    <w:rsid w:val="008803A8"/>
    <w:rsid w:val="008B04F8"/>
    <w:rsid w:val="008F76C4"/>
    <w:rsid w:val="00905E62"/>
    <w:rsid w:val="009219DC"/>
    <w:rsid w:val="00926E4D"/>
    <w:rsid w:val="00967F3D"/>
    <w:rsid w:val="0099390C"/>
    <w:rsid w:val="009D33CF"/>
    <w:rsid w:val="00A01E41"/>
    <w:rsid w:val="00A30C33"/>
    <w:rsid w:val="00A72F04"/>
    <w:rsid w:val="00AA1D6D"/>
    <w:rsid w:val="00AB70B2"/>
    <w:rsid w:val="00B011CF"/>
    <w:rsid w:val="00B15782"/>
    <w:rsid w:val="00B47668"/>
    <w:rsid w:val="00B602BC"/>
    <w:rsid w:val="00BB330A"/>
    <w:rsid w:val="00BD29CB"/>
    <w:rsid w:val="00C24E7F"/>
    <w:rsid w:val="00C55061"/>
    <w:rsid w:val="00C600AE"/>
    <w:rsid w:val="00CA2FB9"/>
    <w:rsid w:val="00CB6B3F"/>
    <w:rsid w:val="00CF6A5D"/>
    <w:rsid w:val="00D0251E"/>
    <w:rsid w:val="00D227E5"/>
    <w:rsid w:val="00D57C45"/>
    <w:rsid w:val="00D62D4B"/>
    <w:rsid w:val="00E01C7C"/>
    <w:rsid w:val="00E3396B"/>
    <w:rsid w:val="00E504B7"/>
    <w:rsid w:val="00E83D2F"/>
    <w:rsid w:val="00EC024A"/>
    <w:rsid w:val="00EC0A41"/>
    <w:rsid w:val="00F050E7"/>
    <w:rsid w:val="00F25968"/>
    <w:rsid w:val="00F849BF"/>
    <w:rsid w:val="00F92249"/>
    <w:rsid w:val="00FB463D"/>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88C07"/>
  <w15:chartTrackingRefBased/>
  <w15:docId w15:val="{EB2B06AC-7558-4CDD-B3E8-758C0D7D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62D4B"/>
    <w:pPr>
      <w:widowControl/>
      <w:tabs>
        <w:tab w:val="left" w:pos="6661"/>
      </w:tabs>
    </w:pPr>
    <w:rPr>
      <w:sz w:val="22"/>
      <w:lang w:val="nl-NL"/>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basedOn w:val="DefaultParagraphFont"/>
    <w:rsid w:val="00BD29CB"/>
    <w:rPr>
      <w:sz w:val="16"/>
      <w:szCs w:val="16"/>
    </w:rPr>
  </w:style>
  <w:style w:type="paragraph" w:styleId="CommentText">
    <w:name w:val="annotation text"/>
    <w:basedOn w:val="Normal"/>
    <w:link w:val="CommentTextChar"/>
    <w:rsid w:val="00BD29CB"/>
    <w:rPr>
      <w:sz w:val="20"/>
    </w:rPr>
  </w:style>
  <w:style w:type="character" w:customStyle="1" w:styleId="CommentTextChar">
    <w:name w:val="Comment Text Char"/>
    <w:basedOn w:val="DefaultParagraphFont"/>
    <w:link w:val="CommentText"/>
    <w:rsid w:val="00BD29CB"/>
  </w:style>
  <w:style w:type="paragraph" w:styleId="CommentSubject">
    <w:name w:val="annotation subject"/>
    <w:basedOn w:val="CommentText"/>
    <w:next w:val="CommentText"/>
    <w:link w:val="CommentSubjectChar"/>
    <w:rsid w:val="00BD29CB"/>
    <w:rPr>
      <w:b/>
      <w:bCs/>
    </w:rPr>
  </w:style>
  <w:style w:type="character" w:customStyle="1" w:styleId="CommentSubjectChar">
    <w:name w:val="Comment Subject Char"/>
    <w:basedOn w:val="CommentTextChar"/>
    <w:link w:val="CommentSubject"/>
    <w:rsid w:val="00BD29CB"/>
    <w:rPr>
      <w:b/>
      <w:bCs/>
    </w:rPr>
  </w:style>
  <w:style w:type="paragraph" w:styleId="BalloonText">
    <w:name w:val="Balloon Text"/>
    <w:basedOn w:val="Normal"/>
    <w:link w:val="BalloonTextChar"/>
    <w:rsid w:val="00BD29CB"/>
    <w:rPr>
      <w:rFonts w:ascii="Segoe UI" w:hAnsi="Segoe UI" w:cs="Segoe UI"/>
      <w:sz w:val="18"/>
      <w:szCs w:val="18"/>
    </w:rPr>
  </w:style>
  <w:style w:type="character" w:customStyle="1" w:styleId="BalloonTextChar">
    <w:name w:val="Balloon Text Char"/>
    <w:basedOn w:val="DefaultParagraphFont"/>
    <w:link w:val="BalloonText"/>
    <w:rsid w:val="00BD29CB"/>
    <w:rPr>
      <w:rFonts w:ascii="Segoe UI" w:hAnsi="Segoe UI" w:cs="Segoe UI"/>
      <w:sz w:val="18"/>
      <w:szCs w:val="18"/>
    </w:rPr>
  </w:style>
  <w:style w:type="character" w:customStyle="1" w:styleId="Normal12Char">
    <w:name w:val="Normal12 Char"/>
    <w:link w:val="Normal12"/>
    <w:rsid w:val="00D227E5"/>
    <w:rPr>
      <w:sz w:val="24"/>
    </w:rPr>
  </w:style>
  <w:style w:type="character" w:customStyle="1" w:styleId="Hanging12Char">
    <w:name w:val="Hanging12 Char"/>
    <w:link w:val="Hanging12"/>
    <w:rsid w:val="00D227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WHITE Samuel George</cp:lastModifiedBy>
  <cp:revision>2</cp:revision>
  <cp:lastPrinted>2019-07-17T13:42:00Z</cp:lastPrinted>
  <dcterms:created xsi:type="dcterms:W3CDTF">2019-07-17T14:30:00Z</dcterms:created>
  <dcterms:modified xsi:type="dcterms:W3CDTF">2019-07-17T14:30:00Z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1186283</vt:lpwstr>
  </property>
  <property fmtid="{D5CDD505-2E9C-101B-9397-08002B2CF9AE}" pid="6" name="&lt;Type&gt;">
    <vt:lpwstr>RC</vt:lpwstr>
  </property>
  <property fmtid="{D5CDD505-2E9C-101B-9397-08002B2CF9AE}" pid="7" name="&lt;ModelCod&gt;">
    <vt:lpwstr>\\eiciLUXpr1\pdocep$\DocEP\DOCS\General\RC\RC.dot(06/02/2019 08:45:34)</vt:lpwstr>
  </property>
  <property fmtid="{D5CDD505-2E9C-101B-9397-08002B2CF9AE}" pid="8" name="&lt;ModelTra&gt;">
    <vt:lpwstr>\\eiciLUXpr1\pdocep$\DocEP\TRANSFIL\EN\RC.EN(25/06/2019 12:01:01)</vt:lpwstr>
  </property>
  <property fmtid="{D5CDD505-2E9C-101B-9397-08002B2CF9AE}" pid="9" name="&lt;Model&gt;">
    <vt:lpwstr>RC</vt:lpwstr>
  </property>
  <property fmtid="{D5CDD505-2E9C-101B-9397-08002B2CF9AE}" pid="10" name="FooterPath">
    <vt:lpwstr>RC\1186283EN.docx</vt:lpwstr>
  </property>
  <property fmtid="{D5CDD505-2E9C-101B-9397-08002B2CF9AE}" pid="11" name="Bookout">
    <vt:lpwstr>OK - 2019/07/17 16:30</vt:lpwstr>
  </property>
  <property fmtid="{D5CDD505-2E9C-101B-9397-08002B2CF9AE}" pid="12" name="SubscribeElise">
    <vt:lpwstr/>
  </property>
</Properties>
</file>