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A000E" w:rsidRPr="00956DED" w:rsidTr="002B240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A000E" w:rsidRPr="00956DED" w:rsidRDefault="000A000E" w:rsidP="002B2404">
            <w:pPr>
              <w:pStyle w:val="EPName"/>
            </w:pPr>
            <w:r>
              <w:t>Evropský parlament</w:t>
            </w:r>
          </w:p>
          <w:p w:rsidR="000A000E" w:rsidRPr="00956DED" w:rsidRDefault="000A000E" w:rsidP="002B240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0A000E" w:rsidRPr="00956DED" w:rsidRDefault="000A000E" w:rsidP="002B2404">
            <w:pPr>
              <w:pStyle w:val="EPLogo"/>
            </w:pPr>
            <w:r w:rsidRPr="00956DED">
              <w:rPr>
                <w:noProof/>
                <w:lang w:val="en-GB"/>
              </w:rPr>
              <w:drawing>
                <wp:inline distT="0" distB="0" distL="0" distR="0" wp14:anchorId="54836987" wp14:editId="50743D41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00E" w:rsidRPr="00956DED" w:rsidRDefault="000A000E" w:rsidP="000A000E">
      <w:pPr>
        <w:pStyle w:val="LineTop"/>
      </w:pPr>
    </w:p>
    <w:p w:rsidR="000A000E" w:rsidRPr="00956DED" w:rsidRDefault="000A000E" w:rsidP="000A000E">
      <w:pPr>
        <w:pStyle w:val="EPBody"/>
      </w:pPr>
      <w:r>
        <w:t>Dokument ze zasedání</w:t>
      </w:r>
    </w:p>
    <w:p w:rsidR="000A000E" w:rsidRPr="00956DED" w:rsidRDefault="000A000E" w:rsidP="000A000E">
      <w:pPr>
        <w:pStyle w:val="LineBottom"/>
      </w:pPr>
    </w:p>
    <w:p w:rsidR="000A000E" w:rsidRPr="00956DED" w:rsidRDefault="000A000E" w:rsidP="000A000E"/>
    <w:p w:rsidR="000A000E" w:rsidRPr="00956DED" w:rsidRDefault="000A000E" w:rsidP="000A000E">
      <w:pPr>
        <w:pStyle w:val="CoverReferenceRC"/>
      </w:pPr>
      <w:r>
        <w:rPr>
          <w:rStyle w:val="HideTWBExt"/>
          <w:b w:val="0"/>
          <w:noProof w:val="0"/>
        </w:rPr>
        <w:t>&lt;RepeatBlock-NoDocSe&gt;</w:t>
      </w:r>
      <w:r>
        <w:tab/>
      </w:r>
      <w:r>
        <w:rPr>
          <w:rStyle w:val="HideTWBExt"/>
          <w:b w:val="0"/>
          <w:noProof w:val="0"/>
        </w:rPr>
        <w:t>&lt;NoDocSe&gt;</w:t>
      </w:r>
      <w:r>
        <w:t>B9-0193/2019</w:t>
      </w:r>
      <w:r>
        <w:rPr>
          <w:rStyle w:val="HideTWBExt"/>
          <w:b w:val="0"/>
          <w:noProof w:val="0"/>
        </w:rPr>
        <w:t>&lt;/NoDocSe&gt;</w:t>
      </w:r>
      <w:r>
        <w:t xml:space="preserve"> } </w:t>
      </w:r>
    </w:p>
    <w:p w:rsidR="000A000E" w:rsidRPr="00956DED" w:rsidRDefault="000A000E" w:rsidP="000A000E">
      <w:pPr>
        <w:pStyle w:val="CoverReferenceRC"/>
      </w:pPr>
      <w:r>
        <w:tab/>
      </w:r>
      <w:r>
        <w:rPr>
          <w:rStyle w:val="HideTWBExt"/>
          <w:b w:val="0"/>
          <w:noProof w:val="0"/>
        </w:rPr>
        <w:t>&lt;NoDocSe&gt;</w:t>
      </w:r>
      <w:r>
        <w:t>B9-0194/2019</w:t>
      </w:r>
      <w:r>
        <w:rPr>
          <w:rStyle w:val="HideTWBExt"/>
          <w:b w:val="0"/>
          <w:noProof w:val="0"/>
        </w:rPr>
        <w:t>&lt;/NoDocSe&gt;</w:t>
      </w:r>
      <w:r>
        <w:t xml:space="preserve"> } </w:t>
      </w:r>
    </w:p>
    <w:p w:rsidR="000A000E" w:rsidRPr="00956DED" w:rsidRDefault="000A000E" w:rsidP="000A000E">
      <w:pPr>
        <w:pStyle w:val="CoverReferenceRC"/>
      </w:pPr>
      <w:r>
        <w:tab/>
      </w:r>
      <w:r>
        <w:rPr>
          <w:rStyle w:val="HideTWBExt"/>
          <w:b w:val="0"/>
          <w:noProof w:val="0"/>
        </w:rPr>
        <w:t>&lt;NoDocSe&gt;</w:t>
      </w:r>
      <w:r>
        <w:t>B9-0196/2019</w:t>
      </w:r>
      <w:r>
        <w:rPr>
          <w:rStyle w:val="HideTWBExt"/>
          <w:b w:val="0"/>
          <w:noProof w:val="0"/>
        </w:rPr>
        <w:t>&lt;/NoDocSe&gt;</w:t>
      </w:r>
      <w:r>
        <w:t xml:space="preserve"> } </w:t>
      </w:r>
    </w:p>
    <w:p w:rsidR="000A000E" w:rsidRPr="00956DED" w:rsidRDefault="000A000E" w:rsidP="000A000E">
      <w:pPr>
        <w:pStyle w:val="CoverReferenceRC"/>
      </w:pPr>
      <w:r>
        <w:tab/>
      </w:r>
      <w:r>
        <w:rPr>
          <w:rStyle w:val="HideTWBExt"/>
          <w:b w:val="0"/>
          <w:noProof w:val="0"/>
        </w:rPr>
        <w:t>&lt;NoDocSe&gt;</w:t>
      </w:r>
      <w:r>
        <w:t>B9-0199/2019</w:t>
      </w:r>
      <w:r>
        <w:rPr>
          <w:rStyle w:val="HideTWBExt"/>
          <w:b w:val="0"/>
          <w:noProof w:val="0"/>
        </w:rPr>
        <w:t>&lt;/NoDocSe&gt;&lt;/RepeatBlock-NoDocSe&gt;</w:t>
      </w:r>
      <w:r>
        <w:t xml:space="preserve"> } RC1</w:t>
      </w:r>
    </w:p>
    <w:p w:rsidR="000A000E" w:rsidRPr="00956DED" w:rsidRDefault="000A000E" w:rsidP="000A000E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{27/11/2019}</w:t>
      </w:r>
      <w:r>
        <w:t>27.11.2019</w:t>
      </w:r>
      <w:r>
        <w:rPr>
          <w:rStyle w:val="HideTWBExt"/>
          <w:noProof w:val="0"/>
        </w:rPr>
        <w:t>&lt;/Date&gt;</w:t>
      </w:r>
    </w:p>
    <w:p w:rsidR="000A000E" w:rsidRPr="00956DED" w:rsidRDefault="000A000E" w:rsidP="000A000E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SPOLEČNÝ NÁVRH USNESENÍ</w:t>
      </w:r>
      <w:r>
        <w:rPr>
          <w:rStyle w:val="HideTWBExt"/>
          <w:b w:val="0"/>
          <w:noProof w:val="0"/>
        </w:rPr>
        <w:t>&lt;/TitreType&gt;</w:t>
      </w:r>
    </w:p>
    <w:p w:rsidR="000A000E" w:rsidRPr="00956DED" w:rsidRDefault="000A000E" w:rsidP="000A000E">
      <w:pPr>
        <w:pStyle w:val="CoverNormal12a"/>
      </w:pPr>
      <w:r>
        <w:rPr>
          <w:rStyle w:val="HideTWBExt"/>
          <w:noProof w:val="0"/>
        </w:rPr>
        <w:t>&lt;TitreRecueil&gt;</w:t>
      </w:r>
      <w:r>
        <w:t>předložený v souladu s čl. 144 odst. 5 a čl. 132 odst. 4 jednacího řádu</w:t>
      </w:r>
      <w:r>
        <w:rPr>
          <w:rStyle w:val="HideTWBExt"/>
          <w:noProof w:val="0"/>
        </w:rPr>
        <w:t>&lt;/TitreRecueil&gt;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&lt;Replacing&gt;</w:t>
      </w:r>
      <w:r>
        <w:t>a nahrazující tyto návrhy usnesení:</w:t>
      </w:r>
      <w:r>
        <w:rPr>
          <w:rStyle w:val="HideTWBExt"/>
          <w:noProof w:val="0"/>
        </w:rPr>
        <w:t>&lt;/Replacing&gt;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&lt;TablingGroups&gt;</w:t>
      </w:r>
      <w:r>
        <w:t>B9-0193/2019 (ECR)</w:t>
      </w:r>
    </w:p>
    <w:p w:rsidR="000A000E" w:rsidRPr="00956DED" w:rsidRDefault="000A000E" w:rsidP="000A000E">
      <w:pPr>
        <w:pStyle w:val="CoverNormal"/>
      </w:pPr>
      <w:r>
        <w:t>B9-0194/2019 (S&amp;D)</w:t>
      </w:r>
    </w:p>
    <w:p w:rsidR="000A000E" w:rsidRPr="00956DED" w:rsidRDefault="000A000E" w:rsidP="000A000E">
      <w:pPr>
        <w:pStyle w:val="CoverNormal"/>
      </w:pPr>
      <w:r>
        <w:t>B9-0196/2019 (PPE)</w:t>
      </w:r>
    </w:p>
    <w:p w:rsidR="000A000E" w:rsidRPr="00956DED" w:rsidRDefault="000A000E" w:rsidP="000A000E">
      <w:pPr>
        <w:pStyle w:val="CoverNormal12a"/>
      </w:pPr>
      <w:r>
        <w:t>B9-0199/2019 (</w:t>
      </w:r>
      <w:proofErr w:type="spellStart"/>
      <w:r>
        <w:t>Renew</w:t>
      </w:r>
      <w:proofErr w:type="spellEnd"/>
      <w:r>
        <w:t>)</w:t>
      </w:r>
      <w:r>
        <w:rPr>
          <w:rStyle w:val="HideTWBExt"/>
          <w:noProof w:val="0"/>
        </w:rPr>
        <w:t>&lt;/TablingGroups&gt;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&lt;Titre&gt;</w:t>
      </w:r>
      <w:r>
        <w:t xml:space="preserve">o situaci </w:t>
      </w:r>
      <w:r w:rsidR="00D92BB5">
        <w:t>v oblasti</w:t>
      </w:r>
      <w:r>
        <w:t xml:space="preserve"> svobod v Alžírsku </w:t>
      </w:r>
      <w:r>
        <w:rPr>
          <w:rStyle w:val="HideTWBExt"/>
          <w:noProof w:val="0"/>
        </w:rPr>
        <w:t>&lt;/Titre&gt;</w:t>
      </w:r>
    </w:p>
    <w:p w:rsidR="000A000E" w:rsidRPr="00956DED" w:rsidRDefault="000A000E" w:rsidP="000A000E">
      <w:pPr>
        <w:pStyle w:val="CoverNormal24a"/>
      </w:pPr>
      <w:r>
        <w:rPr>
          <w:rStyle w:val="HideTWBExt"/>
          <w:noProof w:val="0"/>
        </w:rPr>
        <w:t>&lt;DocRef&gt;</w:t>
      </w:r>
      <w:r>
        <w:t>(2019/2927(RSP))</w:t>
      </w:r>
      <w:r>
        <w:rPr>
          <w:rStyle w:val="HideTWBExt"/>
          <w:noProof w:val="0"/>
        </w:rPr>
        <w:t>&lt;/DocRef&gt;</w:t>
      </w:r>
    </w:p>
    <w:p w:rsidR="000A000E" w:rsidRPr="00956DED" w:rsidRDefault="000A000E" w:rsidP="000A000E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 xml:space="preserve">Michael </w:t>
      </w:r>
      <w:proofErr w:type="spellStart"/>
      <w:r>
        <w:t>Gahler</w:t>
      </w:r>
      <w:proofErr w:type="spellEnd"/>
      <w:r>
        <w:t>, Peter van </w:t>
      </w:r>
      <w:proofErr w:type="spellStart"/>
      <w:r>
        <w:t>Dalen</w:t>
      </w:r>
      <w:proofErr w:type="spellEnd"/>
      <w:r>
        <w:t xml:space="preserve">, Tomáš </w:t>
      </w:r>
      <w:proofErr w:type="spellStart"/>
      <w:r>
        <w:t>Zdechovský</w:t>
      </w:r>
      <w:proofErr w:type="spellEnd"/>
      <w:r>
        <w:t xml:space="preserve">, Ivan </w:t>
      </w:r>
      <w:proofErr w:type="spellStart"/>
      <w:r>
        <w:t>Štefanec</w:t>
      </w:r>
      <w:proofErr w:type="spellEnd"/>
      <w:r>
        <w:t>, Eva </w:t>
      </w:r>
      <w:proofErr w:type="spellStart"/>
      <w:r>
        <w:t>Maydell</w:t>
      </w:r>
      <w:proofErr w:type="spellEnd"/>
      <w:r>
        <w:t xml:space="preserve">, Vladimír </w:t>
      </w:r>
      <w:proofErr w:type="spellStart"/>
      <w:r>
        <w:t>Bilčík</w:t>
      </w:r>
      <w:proofErr w:type="spellEnd"/>
      <w:r>
        <w:t xml:space="preserve">, Magdalena </w:t>
      </w:r>
      <w:proofErr w:type="spellStart"/>
      <w:r>
        <w:t>Adamowicz</w:t>
      </w:r>
      <w:proofErr w:type="spellEnd"/>
      <w:r>
        <w:t xml:space="preserve">, Michaela Šojdrová, Milan </w:t>
      </w:r>
      <w:proofErr w:type="spellStart"/>
      <w:r>
        <w:t>Zver</w:t>
      </w:r>
      <w:proofErr w:type="spellEnd"/>
      <w:r>
        <w:t xml:space="preserve">, Isabel </w:t>
      </w:r>
      <w:proofErr w:type="spellStart"/>
      <w:r>
        <w:t>Wiseler</w:t>
      </w:r>
      <w:proofErr w:type="spellEnd"/>
      <w:r>
        <w:t xml:space="preserve">-Lima, </w:t>
      </w:r>
      <w:proofErr w:type="spellStart"/>
      <w:r>
        <w:t>Željana</w:t>
      </w:r>
      <w:proofErr w:type="spellEnd"/>
      <w:r>
        <w:t xml:space="preserve"> </w:t>
      </w:r>
      <w:proofErr w:type="spellStart"/>
      <w:r>
        <w:t>Zovko</w:t>
      </w:r>
      <w:proofErr w:type="spellEnd"/>
      <w:r>
        <w:t xml:space="preserve">, Roberta </w:t>
      </w:r>
      <w:proofErr w:type="spellStart"/>
      <w:r>
        <w:t>Metsola</w:t>
      </w:r>
      <w:proofErr w:type="spellEnd"/>
      <w:r>
        <w:t xml:space="preserve">, </w:t>
      </w:r>
      <w:proofErr w:type="spellStart"/>
      <w:r>
        <w:t>Lefteris</w:t>
      </w:r>
      <w:proofErr w:type="spellEnd"/>
      <w:r>
        <w:t xml:space="preserve"> </w:t>
      </w:r>
      <w:proofErr w:type="spellStart"/>
      <w:r>
        <w:t>Christoforou</w:t>
      </w:r>
      <w:proofErr w:type="spellEnd"/>
      <w:r>
        <w:t xml:space="preserve">, </w:t>
      </w:r>
      <w:proofErr w:type="spellStart"/>
      <w:r>
        <w:t>Loucas</w:t>
      </w:r>
      <w:proofErr w:type="spellEnd"/>
      <w:r>
        <w:t xml:space="preserve"> </w:t>
      </w:r>
      <w:proofErr w:type="spellStart"/>
      <w:r>
        <w:t>Fourlas</w:t>
      </w:r>
      <w:proofErr w:type="spellEnd"/>
      <w:r>
        <w:t xml:space="preserve">, Tomas </w:t>
      </w:r>
      <w:proofErr w:type="spellStart"/>
      <w:r>
        <w:t>Tobé</w:t>
      </w:r>
      <w:proofErr w:type="spellEnd"/>
      <w:r>
        <w:t xml:space="preserve">, </w:t>
      </w:r>
      <w:proofErr w:type="spellStart"/>
      <w:r>
        <w:t>Seán</w:t>
      </w:r>
      <w:proofErr w:type="spellEnd"/>
      <w:r>
        <w:t xml:space="preserve"> </w:t>
      </w:r>
      <w:proofErr w:type="spellStart"/>
      <w:r>
        <w:t>Kelly</w:t>
      </w:r>
      <w:proofErr w:type="spellEnd"/>
      <w:r>
        <w:t xml:space="preserve">, Romana </w:t>
      </w:r>
      <w:proofErr w:type="spellStart"/>
      <w:r>
        <w:t>Tomc</w:t>
      </w:r>
      <w:proofErr w:type="spellEnd"/>
      <w:r>
        <w:t xml:space="preserve">, David </w:t>
      </w:r>
      <w:proofErr w:type="spellStart"/>
      <w:r>
        <w:t>McAllister</w:t>
      </w:r>
      <w:proofErr w:type="spellEnd"/>
      <w:r>
        <w:t xml:space="preserve">, </w:t>
      </w:r>
      <w:proofErr w:type="spellStart"/>
      <w:r>
        <w:t>Stelios</w:t>
      </w:r>
      <w:proofErr w:type="spellEnd"/>
      <w:r>
        <w:t xml:space="preserve"> </w:t>
      </w:r>
      <w:proofErr w:type="spellStart"/>
      <w:r>
        <w:t>Kympouropoulos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Kokalari</w:t>
      </w:r>
      <w:proofErr w:type="spellEnd"/>
      <w:r>
        <w:t xml:space="preserve">, Tomasz </w:t>
      </w:r>
      <w:proofErr w:type="spellStart"/>
      <w:r>
        <w:t>Frankowski</w:t>
      </w:r>
      <w:proofErr w:type="spellEnd"/>
      <w:r>
        <w:t xml:space="preserve">, Sandra </w:t>
      </w:r>
      <w:proofErr w:type="spellStart"/>
      <w:r>
        <w:t>Kalniete</w:t>
      </w:r>
      <w:proofErr w:type="spellEnd"/>
      <w:r>
        <w:t xml:space="preserve">, </w:t>
      </w:r>
      <w:proofErr w:type="spellStart"/>
      <w:r>
        <w:t>Esther</w:t>
      </w:r>
      <w:proofErr w:type="spellEnd"/>
      <w:r>
        <w:t xml:space="preserve"> de </w:t>
      </w:r>
      <w:proofErr w:type="spellStart"/>
      <w:r>
        <w:t>Lange</w:t>
      </w:r>
      <w:proofErr w:type="spellEnd"/>
      <w:r>
        <w:t xml:space="preserve">, Stanislav </w:t>
      </w:r>
      <w:proofErr w:type="spellStart"/>
      <w:r>
        <w:t>Polčák</w:t>
      </w:r>
      <w:proofErr w:type="spellEnd"/>
      <w:r>
        <w:t xml:space="preserve">, </w:t>
      </w:r>
      <w:proofErr w:type="spellStart"/>
      <w:r>
        <w:t>Loránt</w:t>
      </w:r>
      <w:proofErr w:type="spellEnd"/>
      <w:r>
        <w:t xml:space="preserve"> </w:t>
      </w:r>
      <w:proofErr w:type="spellStart"/>
      <w:r>
        <w:t>Vincze</w:t>
      </w:r>
      <w:proofErr w:type="spellEnd"/>
      <w:r>
        <w:t xml:space="preserve">,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Vaidere</w:t>
      </w:r>
      <w:proofErr w:type="spellEnd"/>
      <w:r>
        <w:t xml:space="preserve">, </w:t>
      </w:r>
      <w:proofErr w:type="spellStart"/>
      <w:r>
        <w:t>Ioan-Rareş</w:t>
      </w:r>
      <w:proofErr w:type="spellEnd"/>
      <w:r>
        <w:t xml:space="preserve"> Bogdan, Jiří Pospíšil, Andrey </w:t>
      </w:r>
      <w:proofErr w:type="spellStart"/>
      <w:r>
        <w:t>Kovatchev</w:t>
      </w:r>
      <w:proofErr w:type="spellEnd"/>
      <w:r>
        <w:t xml:space="preserve">, Krzysztof </w:t>
      </w:r>
      <w:proofErr w:type="spellStart"/>
      <w:r>
        <w:t>Hetman</w:t>
      </w:r>
      <w:proofErr w:type="spellEnd"/>
      <w:r>
        <w:rPr>
          <w:rStyle w:val="HideTWBExt"/>
          <w:b w:val="0"/>
          <w:noProof w:val="0"/>
        </w:rPr>
        <w:t>&lt;/Depute&gt;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{PPE}</w:t>
      </w:r>
      <w:r>
        <w:t>za skupinu PPE</w:t>
      </w:r>
      <w:r>
        <w:rPr>
          <w:rStyle w:val="HideTWBExt"/>
          <w:noProof w:val="0"/>
        </w:rPr>
        <w:t>&lt;/Commission&gt;</w:t>
      </w:r>
    </w:p>
    <w:p w:rsidR="000A000E" w:rsidRPr="00956DED" w:rsidRDefault="000A000E" w:rsidP="000A000E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 xml:space="preserve">Kati </w:t>
      </w:r>
      <w:proofErr w:type="spellStart"/>
      <w:r>
        <w:t>Piri</w:t>
      </w:r>
      <w:proofErr w:type="spellEnd"/>
      <w:r>
        <w:t xml:space="preserve">, </w:t>
      </w:r>
      <w:proofErr w:type="spellStart"/>
      <w:r>
        <w:t>Raphaël</w:t>
      </w:r>
      <w:proofErr w:type="spellEnd"/>
      <w:r>
        <w:t xml:space="preserve"> </w:t>
      </w:r>
      <w:proofErr w:type="spellStart"/>
      <w:r>
        <w:t>Glucksmann</w:t>
      </w:r>
      <w:proofErr w:type="spellEnd"/>
      <w:r>
        <w:rPr>
          <w:rStyle w:val="HideTWBExt"/>
          <w:b w:val="0"/>
          <w:noProof w:val="0"/>
        </w:rPr>
        <w:t>&lt;/Depute&gt;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{S&amp;D}</w:t>
      </w:r>
      <w:r>
        <w:t>za skupinu S&amp;D</w:t>
      </w:r>
      <w:r>
        <w:rPr>
          <w:rStyle w:val="HideTWBExt"/>
          <w:noProof w:val="0"/>
        </w:rPr>
        <w:t>&lt;/Commission&gt;</w:t>
      </w:r>
    </w:p>
    <w:p w:rsidR="000A000E" w:rsidRPr="00956DED" w:rsidRDefault="000A000E" w:rsidP="000A000E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 xml:space="preserve">Bernard </w:t>
      </w:r>
      <w:proofErr w:type="spellStart"/>
      <w:r>
        <w:t>Guetta</w:t>
      </w:r>
      <w:proofErr w:type="spellEnd"/>
      <w:r>
        <w:t xml:space="preserve">, </w:t>
      </w:r>
      <w:proofErr w:type="spellStart"/>
      <w:r>
        <w:t>Atidzhe</w:t>
      </w:r>
      <w:proofErr w:type="spellEnd"/>
      <w:r>
        <w:t xml:space="preserve"> </w:t>
      </w:r>
      <w:proofErr w:type="spellStart"/>
      <w:r>
        <w:t>Alieva-Veli</w:t>
      </w:r>
      <w:proofErr w:type="spellEnd"/>
      <w:r>
        <w:t xml:space="preserve">, </w:t>
      </w:r>
      <w:proofErr w:type="spellStart"/>
      <w:r>
        <w:t>Abir</w:t>
      </w:r>
      <w:proofErr w:type="spellEnd"/>
      <w:r>
        <w:t xml:space="preserve"> Al-</w:t>
      </w:r>
      <w:proofErr w:type="spellStart"/>
      <w:r>
        <w:t>Sahlani</w:t>
      </w:r>
      <w:proofErr w:type="spellEnd"/>
      <w:r>
        <w:t xml:space="preserve">, </w:t>
      </w:r>
      <w:proofErr w:type="spellStart"/>
      <w:r>
        <w:t>Petras</w:t>
      </w:r>
      <w:proofErr w:type="spellEnd"/>
      <w:r>
        <w:t> </w:t>
      </w:r>
      <w:proofErr w:type="spellStart"/>
      <w:r>
        <w:t>Auštrevičius</w:t>
      </w:r>
      <w:proofErr w:type="spellEnd"/>
      <w:r>
        <w:t xml:space="preserve">, </w:t>
      </w:r>
      <w:proofErr w:type="spellStart"/>
      <w:r>
        <w:t>Malik</w:t>
      </w:r>
      <w:proofErr w:type="spellEnd"/>
      <w:r>
        <w:t xml:space="preserve"> </w:t>
      </w:r>
      <w:proofErr w:type="spellStart"/>
      <w:r>
        <w:t>Azmani</w:t>
      </w:r>
      <w:proofErr w:type="spellEnd"/>
      <w:r>
        <w:t xml:space="preserve">,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Bennion</w:t>
      </w:r>
      <w:proofErr w:type="spellEnd"/>
      <w:r>
        <w:t xml:space="preserve">, Stéphane </w:t>
      </w:r>
      <w:proofErr w:type="spellStart"/>
      <w:r>
        <w:t>Bijoux</w:t>
      </w:r>
      <w:proofErr w:type="spellEnd"/>
      <w:r>
        <w:t xml:space="preserve">, </w:t>
      </w:r>
      <w:proofErr w:type="spellStart"/>
      <w:r>
        <w:lastRenderedPageBreak/>
        <w:t>Gilles</w:t>
      </w:r>
      <w:proofErr w:type="spellEnd"/>
      <w:r>
        <w:t> </w:t>
      </w:r>
      <w:proofErr w:type="spellStart"/>
      <w:r>
        <w:t>Boyer</w:t>
      </w:r>
      <w:proofErr w:type="spellEnd"/>
      <w:r>
        <w:t xml:space="preserve">, Jane </w:t>
      </w:r>
      <w:proofErr w:type="spellStart"/>
      <w:r>
        <w:t>Brophy</w:t>
      </w:r>
      <w:proofErr w:type="spellEnd"/>
      <w:r>
        <w:t xml:space="preserve">, Sylvie Brunet, Catherine </w:t>
      </w:r>
      <w:proofErr w:type="spellStart"/>
      <w:r>
        <w:t>Chabaud</w:t>
      </w:r>
      <w:proofErr w:type="spellEnd"/>
      <w:r>
        <w:t>, Dita </w:t>
      </w:r>
      <w:proofErr w:type="spellStart"/>
      <w:r>
        <w:t>Charanzová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Anna Júlia </w:t>
      </w:r>
      <w:proofErr w:type="spellStart"/>
      <w:r>
        <w:t>Donáth</w:t>
      </w:r>
      <w:proofErr w:type="spellEnd"/>
      <w:r>
        <w:t xml:space="preserve">,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Eroglu</w:t>
      </w:r>
      <w:proofErr w:type="spellEnd"/>
      <w:r>
        <w:t xml:space="preserve">, </w:t>
      </w:r>
      <w:proofErr w:type="spellStart"/>
      <w:r>
        <w:t>Fredrick</w:t>
      </w:r>
      <w:proofErr w:type="spellEnd"/>
      <w:r>
        <w:t xml:space="preserve"> </w:t>
      </w:r>
      <w:proofErr w:type="spellStart"/>
      <w:r>
        <w:t>Federley</w:t>
      </w:r>
      <w:proofErr w:type="spellEnd"/>
      <w:r>
        <w:t xml:space="preserve">, Barbara Ann </w:t>
      </w:r>
      <w:proofErr w:type="spellStart"/>
      <w:r>
        <w:t>Gibson</w:t>
      </w:r>
      <w:proofErr w:type="spellEnd"/>
      <w:r>
        <w:t xml:space="preserve">, </w:t>
      </w:r>
      <w:proofErr w:type="spellStart"/>
      <w:r>
        <w:t>Klemen</w:t>
      </w:r>
      <w:proofErr w:type="spellEnd"/>
      <w:r>
        <w:t xml:space="preserve"> </w:t>
      </w:r>
      <w:proofErr w:type="spellStart"/>
      <w:r>
        <w:t>Grošelj</w:t>
      </w:r>
      <w:proofErr w:type="spellEnd"/>
      <w:r>
        <w:t>, Christophe </w:t>
      </w:r>
      <w:proofErr w:type="spellStart"/>
      <w:r>
        <w:t>Grudler</w:t>
      </w:r>
      <w:proofErr w:type="spellEnd"/>
      <w:r>
        <w:t xml:space="preserve">, Antony </w:t>
      </w:r>
      <w:proofErr w:type="spellStart"/>
      <w:r>
        <w:t>Hook</w:t>
      </w:r>
      <w:proofErr w:type="spellEnd"/>
      <w:r>
        <w:t xml:space="preserve">, </w:t>
      </w:r>
      <w:proofErr w:type="spellStart"/>
      <w:r>
        <w:t>Ivars</w:t>
      </w:r>
      <w:proofErr w:type="spellEnd"/>
      <w:r>
        <w:t xml:space="preserve"> </w:t>
      </w:r>
      <w:proofErr w:type="spellStart"/>
      <w:r>
        <w:t>Ijabs</w:t>
      </w:r>
      <w:proofErr w:type="spellEnd"/>
      <w:r>
        <w:t xml:space="preserve">, Irena </w:t>
      </w:r>
      <w:proofErr w:type="spellStart"/>
      <w:r>
        <w:t>Joveva</w:t>
      </w:r>
      <w:proofErr w:type="spellEnd"/>
      <w:r>
        <w:t xml:space="preserve">, </w:t>
      </w:r>
      <w:proofErr w:type="spellStart"/>
      <w:r>
        <w:t>Moritz</w:t>
      </w:r>
      <w:proofErr w:type="spellEnd"/>
      <w:r>
        <w:t> </w:t>
      </w:r>
      <w:proofErr w:type="spellStart"/>
      <w:r>
        <w:t>Körner</w:t>
      </w:r>
      <w:proofErr w:type="spellEnd"/>
      <w:r>
        <w:t xml:space="preserve">, Ondřej Kovařík, </w:t>
      </w:r>
      <w:proofErr w:type="spellStart"/>
      <w:r>
        <w:t>Ilhan</w:t>
      </w:r>
      <w:proofErr w:type="spellEnd"/>
      <w:r>
        <w:t xml:space="preserve"> </w:t>
      </w:r>
      <w:proofErr w:type="spellStart"/>
      <w:r>
        <w:t>Kyuchyuk</w:t>
      </w:r>
      <w:proofErr w:type="spellEnd"/>
      <w:r>
        <w:t xml:space="preserve">, Nathalie </w:t>
      </w:r>
      <w:proofErr w:type="spellStart"/>
      <w:r>
        <w:t>Loiseau</w:t>
      </w:r>
      <w:proofErr w:type="spellEnd"/>
      <w:r>
        <w:t>, Jan-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Oetjen</w:t>
      </w:r>
      <w:proofErr w:type="spellEnd"/>
      <w:r>
        <w:t xml:space="preserve">, </w:t>
      </w:r>
      <w:proofErr w:type="spellStart"/>
      <w:r>
        <w:t>Urmas</w:t>
      </w:r>
      <w:proofErr w:type="spellEnd"/>
      <w:r>
        <w:t xml:space="preserve"> </w:t>
      </w:r>
      <w:proofErr w:type="spellStart"/>
      <w:r>
        <w:t>Paet</w:t>
      </w:r>
      <w:proofErr w:type="spellEnd"/>
      <w:r>
        <w:t xml:space="preserve">,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Soraya</w:t>
      </w:r>
      <w:proofErr w:type="spellEnd"/>
      <w:r>
        <w:t xml:space="preserve"> </w:t>
      </w:r>
      <w:proofErr w:type="spellStart"/>
      <w:r>
        <w:t>Rodríguez</w:t>
      </w:r>
      <w:proofErr w:type="spellEnd"/>
      <w:r>
        <w:t xml:space="preserve"> </w:t>
      </w:r>
      <w:proofErr w:type="spellStart"/>
      <w:r>
        <w:t>Ramos</w:t>
      </w:r>
      <w:proofErr w:type="spellEnd"/>
      <w:r>
        <w:t xml:space="preserve">, Michal Šimečka, </w:t>
      </w:r>
      <w:proofErr w:type="spellStart"/>
      <w:r>
        <w:t>Susana</w:t>
      </w:r>
      <w:proofErr w:type="spellEnd"/>
      <w:r>
        <w:t xml:space="preserve"> </w:t>
      </w:r>
      <w:proofErr w:type="spellStart"/>
      <w:r>
        <w:t>Solís</w:t>
      </w:r>
      <w:proofErr w:type="spellEnd"/>
      <w:r>
        <w:t xml:space="preserve"> </w:t>
      </w:r>
      <w:proofErr w:type="spellStart"/>
      <w:r>
        <w:t>Pérez</w:t>
      </w:r>
      <w:proofErr w:type="spellEnd"/>
      <w:r>
        <w:t xml:space="preserve">, Ramona </w:t>
      </w:r>
      <w:proofErr w:type="spellStart"/>
      <w:r>
        <w:t>Strugariu</w:t>
      </w:r>
      <w:proofErr w:type="spellEnd"/>
      <w:r>
        <w:t xml:space="preserve">,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Toom</w:t>
      </w:r>
      <w:proofErr w:type="spellEnd"/>
      <w:r>
        <w:t xml:space="preserve">, Viktor Uspaskich, </w:t>
      </w:r>
      <w:proofErr w:type="spellStart"/>
      <w:r>
        <w:t>Hilde</w:t>
      </w:r>
      <w:proofErr w:type="spellEnd"/>
      <w:r>
        <w:t xml:space="preserve"> </w:t>
      </w:r>
      <w:proofErr w:type="spellStart"/>
      <w:r>
        <w:t>Vautmans</w:t>
      </w:r>
      <w:proofErr w:type="spellEnd"/>
      <w:r>
        <w:t>, Marie-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Vedrenne</w:t>
      </w:r>
      <w:proofErr w:type="spellEnd"/>
      <w:r>
        <w:rPr>
          <w:rStyle w:val="HideTWBExt"/>
          <w:b w:val="0"/>
          <w:noProof w:val="0"/>
        </w:rPr>
        <w:t>&lt;/Depute&gt;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{Renew}</w:t>
      </w:r>
      <w:r>
        <w:t xml:space="preserve">za skupinu </w:t>
      </w:r>
      <w:proofErr w:type="spellStart"/>
      <w:r>
        <w:t>Renew</w:t>
      </w:r>
      <w:proofErr w:type="spellEnd"/>
      <w:r>
        <w:rPr>
          <w:rStyle w:val="HideTWBExt"/>
          <w:noProof w:val="0"/>
        </w:rPr>
        <w:t>&lt;/Commission&gt;</w:t>
      </w:r>
    </w:p>
    <w:p w:rsidR="000A000E" w:rsidRPr="00956DED" w:rsidRDefault="000A000E" w:rsidP="000A000E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 xml:space="preserve">Jadwiga </w:t>
      </w:r>
      <w:proofErr w:type="spellStart"/>
      <w:r>
        <w:t>Wiśniewska</w:t>
      </w:r>
      <w:proofErr w:type="spellEnd"/>
      <w:r>
        <w:t xml:space="preserve">, Joanna </w:t>
      </w:r>
      <w:proofErr w:type="spellStart"/>
      <w:r>
        <w:t>Kopcińska</w:t>
      </w:r>
      <w:proofErr w:type="spellEnd"/>
      <w:r>
        <w:t xml:space="preserve">, Carlo </w:t>
      </w:r>
      <w:proofErr w:type="spellStart"/>
      <w:r>
        <w:t>Fidanza</w:t>
      </w:r>
      <w:proofErr w:type="spellEnd"/>
      <w:r>
        <w:t xml:space="preserve">, Anna </w:t>
      </w:r>
      <w:proofErr w:type="spellStart"/>
      <w:r>
        <w:t>Fotyga</w:t>
      </w:r>
      <w:proofErr w:type="spellEnd"/>
      <w:r>
        <w:t xml:space="preserve">, Witold Jan </w:t>
      </w:r>
      <w:proofErr w:type="spellStart"/>
      <w:r>
        <w:t>Waszczykowski</w:t>
      </w:r>
      <w:proofErr w:type="spellEnd"/>
      <w:r>
        <w:t xml:space="preserve">, Karol </w:t>
      </w:r>
      <w:proofErr w:type="spellStart"/>
      <w:r>
        <w:t>Karski</w:t>
      </w:r>
      <w:proofErr w:type="spellEnd"/>
      <w:r>
        <w:t xml:space="preserve">, </w:t>
      </w:r>
      <w:proofErr w:type="spellStart"/>
      <w:r>
        <w:t>Ruža</w:t>
      </w:r>
      <w:proofErr w:type="spellEnd"/>
      <w:r>
        <w:t xml:space="preserve"> </w:t>
      </w:r>
      <w:proofErr w:type="spellStart"/>
      <w:r>
        <w:t>Tomašić</w:t>
      </w:r>
      <w:proofErr w:type="spellEnd"/>
      <w:r>
        <w:t>, Valdemar </w:t>
      </w:r>
      <w:proofErr w:type="spellStart"/>
      <w:r>
        <w:t>Tomaševski</w:t>
      </w:r>
      <w:proofErr w:type="spellEnd"/>
      <w:r>
        <w:t xml:space="preserve">, Charlie </w:t>
      </w:r>
      <w:proofErr w:type="spellStart"/>
      <w:r>
        <w:t>Weimers</w:t>
      </w:r>
      <w:proofErr w:type="spellEnd"/>
      <w:r>
        <w:t xml:space="preserve">, Bert-Jan </w:t>
      </w:r>
      <w:proofErr w:type="spellStart"/>
      <w:r>
        <w:t>Ruissen</w:t>
      </w:r>
      <w:proofErr w:type="spellEnd"/>
      <w:r>
        <w:rPr>
          <w:rStyle w:val="HideTWBExt"/>
          <w:b w:val="0"/>
          <w:noProof w:val="0"/>
        </w:rPr>
        <w:t>&lt;/Depute&gt;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{ECR}</w:t>
      </w:r>
      <w:r>
        <w:t>za skupinu ECR</w:t>
      </w:r>
      <w:r>
        <w:rPr>
          <w:rStyle w:val="HideTWBExt"/>
          <w:noProof w:val="0"/>
        </w:rPr>
        <w:t>&lt;/Commission&gt;</w:t>
      </w:r>
    </w:p>
    <w:p w:rsidR="000A000E" w:rsidRPr="00956DED" w:rsidRDefault="000A000E" w:rsidP="000A000E">
      <w:pPr>
        <w:pStyle w:val="CoverNormal"/>
      </w:pPr>
      <w:r>
        <w:rPr>
          <w:rStyle w:val="HideTWBExt"/>
          <w:noProof w:val="0"/>
        </w:rPr>
        <w:t>&lt;/RepeatBlock-By&gt;</w:t>
      </w:r>
    </w:p>
    <w:p w:rsidR="000A000E" w:rsidRPr="00956DED" w:rsidRDefault="000A000E" w:rsidP="000A000E">
      <w:pPr>
        <w:pStyle w:val="CoverNormal24a"/>
      </w:pPr>
    </w:p>
    <w:p w:rsidR="000A000E" w:rsidRPr="00956DED" w:rsidRDefault="000A000E" w:rsidP="000A000E">
      <w:pPr>
        <w:pStyle w:val="NormalBold"/>
      </w:pPr>
      <w:r>
        <w:br w:type="page"/>
      </w:r>
      <w:r w:rsidR="00A601E9">
        <w:lastRenderedPageBreak/>
        <w:t>Usnesení Evropského parlamentu o situaci v oblasti svobod v Alžírsku</w:t>
      </w:r>
    </w:p>
    <w:p w:rsidR="000A000E" w:rsidRPr="00956DED" w:rsidRDefault="000A000E" w:rsidP="000A000E">
      <w:pPr>
        <w:pStyle w:val="NormalBold"/>
      </w:pPr>
      <w:r>
        <w:t>(2019/2927(RSP))</w:t>
      </w:r>
    </w:p>
    <w:p w:rsidR="000A000E" w:rsidRPr="00956DED" w:rsidRDefault="000A000E" w:rsidP="000A000E">
      <w:pPr>
        <w:pStyle w:val="EPComma"/>
      </w:pPr>
      <w:r>
        <w:rPr>
          <w:i/>
        </w:rPr>
        <w:t>Evropský parlament</w:t>
      </w:r>
      <w:r>
        <w:t>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 svá předchozí usnesení o Alžírsku, zejména na usnesení ze dne 30. dubna 2015 o uvěznění aktivistů bojujících za lidská a pracovní práva v Alžírsku</w:t>
      </w:r>
      <w:r w:rsidRPr="00956DED">
        <w:rPr>
          <w:rStyle w:val="FootnoteReference"/>
        </w:rPr>
        <w:footnoteReference w:id="1"/>
      </w:r>
      <w:r>
        <w:t>, na usnesení ze dne 27. března 2019 s názvem „Období po arabském jaru: další postup pro oblast Blízkého východu a severní Afriky“</w:t>
      </w:r>
      <w:r w:rsidRPr="00956DED">
        <w:rPr>
          <w:rStyle w:val="FootnoteReference"/>
        </w:rPr>
        <w:footnoteReference w:id="2"/>
      </w:r>
      <w:r>
        <w:t xml:space="preserve">, 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 aktuální informace o Alžírsku uvedené ve výroční zprávě EU o stavu lidských práv a demokracie ve světě v roce 2018, kterou Evropská rada přijala dne 18. března 2019,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 11. zasedání Rady přidružení EU-Alžírsko konané dne 14. května 2018,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 třetí všeobecný pravidelný přezkum týkající se Alžírska, který Rada OSN pro lidská práva schválila na svém 36. zasedání konaném ve dnech 21. a 22. září 2017,</w:t>
      </w:r>
    </w:p>
    <w:p w:rsidR="000A000E" w:rsidRPr="00956DED" w:rsidRDefault="000A000E" w:rsidP="001E6867">
      <w:pPr>
        <w:pStyle w:val="NormalHanging12a"/>
      </w:pPr>
      <w:r>
        <w:t>–</w:t>
      </w:r>
      <w:r>
        <w:tab/>
        <w:t>s ohledem na priority spol</w:t>
      </w:r>
      <w:r w:rsidR="001E6867">
        <w:t>ečného partnerství dohodnutého L</w:t>
      </w:r>
      <w:r>
        <w:t xml:space="preserve">idovou demokratickou republikou Alžírsko a Evropskou unií v rámci přepracované evropské politiky sousedství dne 13. března 2017, </w:t>
      </w:r>
      <w:bookmarkStart w:id="0" w:name="_Hlk516066171"/>
      <w:r>
        <w:t>které se zaměřují na zavedení přepracované ústavy a podporu rozvoje demokracie a lidských práv v Alžírsku ze strany EU</w:t>
      </w:r>
      <w:bookmarkEnd w:id="0"/>
      <w:r>
        <w:t>;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 dohodu o přidružení mezi Evropskou unií a Alžírskem</w:t>
      </w:r>
      <w:r w:rsidRPr="00956DED">
        <w:rPr>
          <w:rStyle w:val="FootnoteReference"/>
        </w:rPr>
        <w:footnoteReference w:id="3"/>
      </w:r>
      <w:r>
        <w:t>, zejména na její článek 2, v němž se uvádí, že základním prvkem této dohody musí být dodržování demokratických zásad a základních lidských práv, které se musí stát inspirací pro tuzemskou i mezinárodní politiku stran této dohody,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 xml:space="preserve">s ohledem na ústavu Alžírska, která byla přepracována </w:t>
      </w:r>
      <w:r w:rsidR="00E0455F">
        <w:t>dne 7. února 2016, a zejména na </w:t>
      </w:r>
      <w:r>
        <w:t>její články 2, 34 to 36, 39, 41, 42, 48 a 54,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 obecné zásady EU týkající se obránců lidských práv, trestu smrti, mučení a jiného krutého, nelidského či ponižujícího zacházení nebo trestání a svobody projevu na internetu i mimo něj a na nový strategický rámec EU a akční plán pro oblast lidských práv a demokracie, jehož cílem je, aby se ochrana lidských práv a sledování jejich dodržování staly jádrem veškeré politiky EU,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 ohledem na Mezinárodní pakt o občanských a politických právech, Mezinárodní pakt o hospodářských, sociálních a kulturních právech, Úmluvu proti mučení a jinému krutému, nelidskému či ponižu</w:t>
      </w:r>
      <w:r w:rsidR="00A601E9">
        <w:t xml:space="preserve">jícímu zacházení nebo trestání </w:t>
      </w:r>
      <w:r>
        <w:t>a Úmluvu o právech dítěte,</w:t>
      </w:r>
    </w:p>
    <w:p w:rsidR="000A000E" w:rsidRPr="00956DED" w:rsidRDefault="000A000E" w:rsidP="000A000E">
      <w:pPr>
        <w:pStyle w:val="NormalHanging12a"/>
        <w:rPr>
          <w:iCs/>
        </w:rPr>
      </w:pPr>
      <w:r>
        <w:t>–</w:t>
      </w:r>
      <w:r>
        <w:tab/>
        <w:t xml:space="preserve">s ohledem na Všeobecnou deklaraci lidských práv z roku 1948 a na Deklaraci OSN o odstranění všech forem nesnášenlivosti a diskriminace založených na náboženství či </w:t>
      </w:r>
      <w:r>
        <w:lastRenderedPageBreak/>
        <w:t>víře,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 ohledem na Africkou chartu lidských práv a práv národů,</w:t>
      </w:r>
    </w:p>
    <w:p w:rsidR="000A000E" w:rsidRPr="00956DED" w:rsidRDefault="000A000E" w:rsidP="000A000E">
      <w:pPr>
        <w:pStyle w:val="NormalHanging12a"/>
      </w:pPr>
      <w:r>
        <w:t>–</w:t>
      </w:r>
      <w:r>
        <w:tab/>
        <w:t>s ohledem na alžírský zákon 12-06 o sdruženích a na nařízení 06-03, který reguluje vyznávání jiné než muslimské víry,</w:t>
      </w:r>
    </w:p>
    <w:p w:rsidR="000A000E" w:rsidRPr="00956DED" w:rsidRDefault="000A000E" w:rsidP="000A000E">
      <w:pPr>
        <w:pStyle w:val="NormalHanging12a"/>
      </w:pPr>
      <w:r>
        <w:rPr>
          <w:rStyle w:val="e24kjd"/>
          <w:bCs/>
          <w:color w:val="000000"/>
        </w:rPr>
        <w:t>–</w:t>
      </w:r>
      <w:r>
        <w:tab/>
        <w:t>s ohledem na čl. 144 odst. 5 a čl. 132 odst. 4 jednacího řádu,</w:t>
      </w:r>
    </w:p>
    <w:p w:rsidR="000A000E" w:rsidRPr="00956DED" w:rsidRDefault="000A000E" w:rsidP="000A000E">
      <w:pPr>
        <w:pStyle w:val="NormalHanging12a"/>
      </w:pPr>
      <w:r>
        <w:t>A.</w:t>
      </w:r>
      <w:r>
        <w:tab/>
        <w:t>vzhledem k tomu, že Alžírsko je blízkým sousedem a jedním z klíčových partnerů Evropské unie a severoafrického regionu;</w:t>
      </w:r>
    </w:p>
    <w:p w:rsidR="000A000E" w:rsidRPr="00956DED" w:rsidRDefault="000A000E" w:rsidP="000A000E">
      <w:pPr>
        <w:pStyle w:val="NormalHanging12a"/>
      </w:pPr>
      <w:r>
        <w:t>B.</w:t>
      </w:r>
      <w:r>
        <w:tab/>
        <w:t>vzhledem k tomu, že dne 16. února 2019, tedy deset dní poté, co Abdul-</w:t>
      </w:r>
      <w:proofErr w:type="spellStart"/>
      <w:r>
        <w:t>Azíz</w:t>
      </w:r>
      <w:proofErr w:type="spellEnd"/>
      <w:r>
        <w:t xml:space="preserve"> </w:t>
      </w:r>
      <w:proofErr w:type="spellStart"/>
      <w:r>
        <w:t>Buteflika</w:t>
      </w:r>
      <w:proofErr w:type="spellEnd"/>
      <w:r>
        <w:t xml:space="preserve"> vyhlásil svou kandidaturu na páté prezidentské funkční období, byly v Alžírsku zahájeny pokojné protesty známé pod názvem </w:t>
      </w:r>
      <w:proofErr w:type="spellStart"/>
      <w:r>
        <w:t>Hirák</w:t>
      </w:r>
      <w:proofErr w:type="spellEnd"/>
      <w:r>
        <w:t xml:space="preserve"> (Hnutí); vzhledem k tomu, že dne 2. dubna 2019 </w:t>
      </w:r>
      <w:proofErr w:type="spellStart"/>
      <w:r>
        <w:t>Buteflika</w:t>
      </w:r>
      <w:proofErr w:type="spellEnd"/>
      <w:r>
        <w:t xml:space="preserve"> odstoupil; vzhledem k tomu, že se funkce úřadující hlavy země ujal předseda Národní rady Abdul-</w:t>
      </w:r>
      <w:proofErr w:type="spellStart"/>
      <w:r>
        <w:t>Qáder</w:t>
      </w:r>
      <w:proofErr w:type="spellEnd"/>
      <w:r>
        <w:t xml:space="preserve"> </w:t>
      </w:r>
      <w:proofErr w:type="spellStart"/>
      <w:r>
        <w:t>Bensaláh</w:t>
      </w:r>
      <w:proofErr w:type="spellEnd"/>
      <w:r>
        <w:t xml:space="preserve">; vzhledem k tomu, že po odstoupení </w:t>
      </w:r>
      <w:proofErr w:type="spellStart"/>
      <w:r>
        <w:t>Butefliky</w:t>
      </w:r>
      <w:proofErr w:type="spellEnd"/>
      <w:r>
        <w:t xml:space="preserve"> má neskrývaně moc v rukou armáda pod velením generálporučíka Ahmeda </w:t>
      </w:r>
      <w:proofErr w:type="spellStart"/>
      <w:r>
        <w:t>Qájida</w:t>
      </w:r>
      <w:proofErr w:type="spellEnd"/>
      <w:r>
        <w:t xml:space="preserve"> </w:t>
      </w:r>
      <w:proofErr w:type="spellStart"/>
      <w:r>
        <w:t>Saláha</w:t>
      </w:r>
      <w:proofErr w:type="spellEnd"/>
      <w:r>
        <w:t>;</w:t>
      </w:r>
    </w:p>
    <w:p w:rsidR="000A000E" w:rsidRPr="00956DED" w:rsidRDefault="000A000E" w:rsidP="000A000E">
      <w:pPr>
        <w:pStyle w:val="NormalHanging12a"/>
      </w:pPr>
      <w:r>
        <w:t>C.</w:t>
      </w:r>
      <w:r>
        <w:tab/>
        <w:t>vzhledem k tomu, že Abdul-</w:t>
      </w:r>
      <w:proofErr w:type="spellStart"/>
      <w:r>
        <w:t>Azíz</w:t>
      </w:r>
      <w:proofErr w:type="spellEnd"/>
      <w:r>
        <w:t xml:space="preserve"> </w:t>
      </w:r>
      <w:proofErr w:type="spellStart"/>
      <w:r>
        <w:t>Buteflika</w:t>
      </w:r>
      <w:proofErr w:type="spellEnd"/>
      <w:r>
        <w:t xml:space="preserve"> byl prezidentem od roku 1999; vzhledem k tomu, že v přepracované ústavě z roku 2016 je maximální počet funkčních období pro budoucí prezidenty omezen na dvě; vzhledem k tomu, že přepracovaná ústava nemůže mít zpětnou působnost, což znamená, že </w:t>
      </w:r>
      <w:proofErr w:type="spellStart"/>
      <w:r>
        <w:t>Buteflika</w:t>
      </w:r>
      <w:proofErr w:type="spellEnd"/>
      <w:r>
        <w:t xml:space="preserve"> mohl kandidovat i popáté; vzhledem k tomu, že prezidentské volby, které byly původně naplánovány na 18. dubna 2019, byly odloženy nejdříve na 4. července 2019 a poté na 12. prosince 2019;</w:t>
      </w:r>
    </w:p>
    <w:p w:rsidR="000A000E" w:rsidRPr="00956DED" w:rsidRDefault="000A000E" w:rsidP="000A000E">
      <w:pPr>
        <w:pStyle w:val="NormalHanging12a"/>
      </w:pPr>
      <w:r>
        <w:t>D.</w:t>
      </w:r>
      <w:r>
        <w:tab/>
        <w:t>vzhledem k tomu, že se v únoru, březnu a dubnu 2019 konaly v celé zemi pokojné demonstrace, které od té doby pokračují každé úterý a pátek už po dobu 40 týdnů; vzhledem k tomu, že se v posledních týdnech konají po celé zemi noční pochody protestujících;</w:t>
      </w:r>
    </w:p>
    <w:p w:rsidR="000A000E" w:rsidRPr="00956DED" w:rsidRDefault="000A000E" w:rsidP="000A000E">
      <w:pPr>
        <w:pStyle w:val="NormalHanging12a"/>
      </w:pPr>
      <w:r>
        <w:t>E.</w:t>
      </w:r>
      <w:r>
        <w:tab/>
        <w:t xml:space="preserve">vzhledem k tomu, že se hnutí </w:t>
      </w:r>
      <w:proofErr w:type="spellStart"/>
      <w:r>
        <w:t>Hirák</w:t>
      </w:r>
      <w:proofErr w:type="spellEnd"/>
      <w:r>
        <w:t xml:space="preserve"> dostává široké podpory a že představuje největší protestní hnutí v Alžírsku; vzhledem k tomu, že většinu demonstrujících tvoří mladí lidé; vzhledem k tomu, že demonstranti požadují ukončení korupce, nedostatku příležitostí politicky se angažovat, vysoké nezaměstnanosti a represí vůči demonstrantům a také více pluralitní rámec pro přípravu svobodných voleb, který by nikoho nevylučoval a který by byl součástí rozsáhlejší politické transformace;</w:t>
      </w:r>
    </w:p>
    <w:p w:rsidR="000A000E" w:rsidRPr="00956DED" w:rsidRDefault="000A000E" w:rsidP="000A000E">
      <w:pPr>
        <w:pStyle w:val="NormalHanging12a"/>
      </w:pPr>
      <w:r>
        <w:t>F.</w:t>
      </w:r>
      <w:r>
        <w:tab/>
        <w:t>vzhledem k tomu, že podle světového indexu svobody tisku se Alžírsko řadí na 141. místo ze 180 sledovaných zemí, že podle tohoto indexu je svoboda tisku v této zemi „ohrožena“ a dochází k častému pronásledování novinářů; vzhledem k tomu, že organizace nezávislých sdělovacích prostředků a občané, kteří své zprávy uvádějí v sociálních a dalších médiích, se potýkají ze strany alžírských orgánů s cenzurou veškerého zpravodajství, které je považováno za zpravodajství podporující nesouhlasné postoje;</w:t>
      </w:r>
    </w:p>
    <w:p w:rsidR="000A000E" w:rsidRPr="00956DED" w:rsidRDefault="000A000E" w:rsidP="000A000E">
      <w:pPr>
        <w:pStyle w:val="NormalHanging12a"/>
      </w:pPr>
      <w:r>
        <w:t>G.</w:t>
      </w:r>
      <w:r>
        <w:tab/>
        <w:t>vzhledem k tomu, že od ledna 2018 uzavřely alžírské orgány několik kostelů, z nichž většina patří k alžírské protestantské církvi (</w:t>
      </w:r>
      <w:proofErr w:type="spellStart"/>
      <w:r>
        <w:rPr>
          <w:i/>
        </w:rPr>
        <w:t>Église</w:t>
      </w:r>
      <w:proofErr w:type="spellEnd"/>
      <w:r>
        <w:rPr>
          <w:i/>
        </w:rPr>
        <w:t xml:space="preserve"> protestante </w:t>
      </w:r>
      <w:proofErr w:type="spellStart"/>
      <w:r>
        <w:rPr>
          <w:i/>
        </w:rPr>
        <w:t>d’Algérie</w:t>
      </w:r>
      <w:proofErr w:type="spellEnd"/>
      <w:r>
        <w:t xml:space="preserve">), což je </w:t>
      </w:r>
      <w:r>
        <w:lastRenderedPageBreak/>
        <w:t>zákonem uznaná zastřešující organizace sdružující protestantské církve v Alžírsku;</w:t>
      </w:r>
    </w:p>
    <w:p w:rsidR="000A000E" w:rsidRPr="00956DED" w:rsidRDefault="000A000E" w:rsidP="000A000E">
      <w:pPr>
        <w:pStyle w:val="NormalHanging12a"/>
      </w:pPr>
      <w:r>
        <w:t>H.</w:t>
      </w:r>
      <w:r>
        <w:tab/>
        <w:t>vzhledem k tomu, že dne 23. února re</w:t>
      </w:r>
      <w:r w:rsidR="001E6867">
        <w:t xml:space="preserve">zignovala </w:t>
      </w:r>
      <w:r>
        <w:t xml:space="preserve">šéfredaktorka veřejné rozhlasové stanice </w:t>
      </w:r>
      <w:r>
        <w:rPr>
          <w:i/>
          <w:iCs/>
        </w:rPr>
        <w:t>La</w:t>
      </w:r>
      <w:r>
        <w:t xml:space="preserve"> </w:t>
      </w:r>
      <w:proofErr w:type="spellStart"/>
      <w:r>
        <w:rPr>
          <w:i/>
          <w:iCs/>
        </w:rPr>
        <w:t>Chaîne</w:t>
      </w:r>
      <w:proofErr w:type="spellEnd"/>
      <w:r>
        <w:t xml:space="preserve"> 3 </w:t>
      </w:r>
      <w:proofErr w:type="spellStart"/>
      <w:r>
        <w:t>Mariam</w:t>
      </w:r>
      <w:proofErr w:type="spellEnd"/>
      <w:r>
        <w:t xml:space="preserve"> </w:t>
      </w:r>
      <w:proofErr w:type="spellStart"/>
      <w:r>
        <w:t>Abduová</w:t>
      </w:r>
      <w:proofErr w:type="spellEnd"/>
      <w:r>
        <w:t xml:space="preserve"> na protest proti neobjektivnímu zacházení s hnutím </w:t>
      </w:r>
      <w:proofErr w:type="spellStart"/>
      <w:r>
        <w:t>Hirák</w:t>
      </w:r>
      <w:proofErr w:type="spellEnd"/>
      <w:r>
        <w:t>; vzhledem k tomu, že bylo zadrženo několik dalších novinářů, nebo jim bylo vyhrožováno, jako je například bývalý arabský dopisovatel stanice France 24</w:t>
      </w:r>
      <w:r w:rsidR="001E6867">
        <w:t xml:space="preserve"> </w:t>
      </w:r>
      <w:proofErr w:type="spellStart"/>
      <w:r w:rsidR="001E6867">
        <w:t>Sufján</w:t>
      </w:r>
      <w:proofErr w:type="spellEnd"/>
      <w:r w:rsidR="001E6867">
        <w:t xml:space="preserve"> </w:t>
      </w:r>
      <w:proofErr w:type="spellStart"/>
      <w:r w:rsidR="001E6867">
        <w:t>Merrákeší</w:t>
      </w:r>
      <w:proofErr w:type="spellEnd"/>
      <w:r w:rsidR="001E6867">
        <w:t xml:space="preserve"> a novináři </w:t>
      </w:r>
      <w:proofErr w:type="spellStart"/>
      <w:r w:rsidR="001E6867">
        <w:t>Aza</w:t>
      </w:r>
      <w:r>
        <w:t>b</w:t>
      </w:r>
      <w:proofErr w:type="spellEnd"/>
      <w:r>
        <w:t xml:space="preserve"> </w:t>
      </w:r>
      <w:proofErr w:type="spellStart"/>
      <w:r>
        <w:t>aš</w:t>
      </w:r>
      <w:proofErr w:type="spellEnd"/>
      <w:r>
        <w:t>-Šejch a </w:t>
      </w:r>
      <w:proofErr w:type="spellStart"/>
      <w:r>
        <w:t>Abdel-Mudží</w:t>
      </w:r>
      <w:proofErr w:type="spellEnd"/>
      <w:r>
        <w:t xml:space="preserve"> </w:t>
      </w:r>
      <w:proofErr w:type="spellStart"/>
      <w:r>
        <w:t>Chelladí</w:t>
      </w:r>
      <w:proofErr w:type="spellEnd"/>
      <w:r>
        <w:t>, který je zadržován od 26. září 2019, resp. 14. října 2019;</w:t>
      </w:r>
    </w:p>
    <w:p w:rsidR="000A000E" w:rsidRPr="00956DED" w:rsidRDefault="000A000E" w:rsidP="000A000E">
      <w:pPr>
        <w:pStyle w:val="NormalHanging12a"/>
      </w:pPr>
      <w:r>
        <w:t>I.</w:t>
      </w:r>
      <w:r>
        <w:tab/>
        <w:t xml:space="preserve">vzhledem k tomu, že dne 4. března 2019 odstoupila v důsledku toho, že byla údajně předmětem cenzury, Nadia </w:t>
      </w:r>
      <w:proofErr w:type="spellStart"/>
      <w:r>
        <w:t>Madassíová</w:t>
      </w:r>
      <w:proofErr w:type="spellEnd"/>
      <w:r>
        <w:t xml:space="preserve">, která byla posledních 15 let </w:t>
      </w:r>
      <w:r>
        <w:rPr>
          <w:rStyle w:val="st1"/>
          <w:color w:val="000000"/>
        </w:rPr>
        <w:t xml:space="preserve">hlasatelkou stanice </w:t>
      </w:r>
      <w:proofErr w:type="spellStart"/>
      <w:r>
        <w:rPr>
          <w:rStyle w:val="st1"/>
          <w:i/>
          <w:color w:val="000000"/>
        </w:rPr>
        <w:t>Canal</w:t>
      </w:r>
      <w:proofErr w:type="spellEnd"/>
      <w:r>
        <w:rPr>
          <w:rStyle w:val="st1"/>
          <w:i/>
          <w:color w:val="000000"/>
        </w:rPr>
        <w:t xml:space="preserve"> </w:t>
      </w:r>
      <w:proofErr w:type="spellStart"/>
      <w:r>
        <w:rPr>
          <w:rStyle w:val="st1"/>
          <w:i/>
          <w:color w:val="000000"/>
        </w:rPr>
        <w:t>Algérie</w:t>
      </w:r>
      <w:proofErr w:type="spellEnd"/>
      <w:r>
        <w:t>; vzhledem k tomu, že dne 5. března 2019 udělilo Ministerstvo komunikací deníku </w:t>
      </w:r>
      <w:proofErr w:type="spellStart"/>
      <w:r>
        <w:t>aš-Šurúk</w:t>
      </w:r>
      <w:proofErr w:type="spellEnd"/>
      <w:r>
        <w:t xml:space="preserve"> a televizní stanici al-</w:t>
      </w:r>
      <w:proofErr w:type="spellStart"/>
      <w:r>
        <w:t>Bilád</w:t>
      </w:r>
      <w:proofErr w:type="spellEnd"/>
      <w:r>
        <w:t xml:space="preserve"> finanční pokutu za to, že informovaly o demonstracích; vzhledem k tomu, že byla uzavřena </w:t>
      </w:r>
      <w:proofErr w:type="spellStart"/>
      <w:r>
        <w:t>facebooková</w:t>
      </w:r>
      <w:proofErr w:type="spellEnd"/>
      <w:r>
        <w:t xml:space="preserve"> skupina „</w:t>
      </w:r>
      <w:proofErr w:type="spellStart"/>
      <w:r>
        <w:rPr>
          <w:i/>
          <w:iCs/>
        </w:rPr>
        <w:t>Algérie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Debout</w:t>
      </w:r>
      <w:proofErr w:type="spellEnd"/>
      <w:r>
        <w:t xml:space="preserve">!“, která má více než 500 000 členů a její zakladatel </w:t>
      </w:r>
      <w:proofErr w:type="spellStart"/>
      <w:r>
        <w:t>Sufján</w:t>
      </w:r>
      <w:proofErr w:type="spellEnd"/>
      <w:r>
        <w:t xml:space="preserve"> </w:t>
      </w:r>
      <w:proofErr w:type="spellStart"/>
      <w:r>
        <w:t>Benjúnis</w:t>
      </w:r>
      <w:proofErr w:type="spellEnd"/>
      <w:r>
        <w:t xml:space="preserve"> byl předtím, než byl obviněn, pronásledován a několikrát vyslýchán; vzhledem k tomu, že předmětem cenzury jsou i publikace </w:t>
      </w:r>
      <w:proofErr w:type="spellStart"/>
      <w:r>
        <w:rPr>
          <w:i/>
          <w:iCs/>
        </w:rPr>
        <w:t>Jeune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Afrique</w:t>
      </w:r>
      <w:proofErr w:type="spellEnd"/>
      <w:r>
        <w:t xml:space="preserve">, </w:t>
      </w:r>
      <w:proofErr w:type="spellStart"/>
      <w:r>
        <w:rPr>
          <w:i/>
          <w:iCs/>
        </w:rPr>
        <w:t>Tout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l’Algerie</w:t>
      </w:r>
      <w:proofErr w:type="spellEnd"/>
      <w:r>
        <w:t xml:space="preserve">, </w:t>
      </w:r>
      <w:proofErr w:type="spellStart"/>
      <w:r>
        <w:rPr>
          <w:i/>
          <w:iCs/>
        </w:rPr>
        <w:t>Algérie</w:t>
      </w:r>
      <w:proofErr w:type="spellEnd"/>
      <w:r>
        <w:rPr>
          <w:i/>
          <w:iCs/>
        </w:rPr>
        <w:t xml:space="preserve"> Part, </w:t>
      </w:r>
      <w:proofErr w:type="spellStart"/>
      <w:r>
        <w:rPr>
          <w:i/>
          <w:iCs/>
        </w:rPr>
        <w:t>Interlignes</w:t>
      </w:r>
      <w:proofErr w:type="spellEnd"/>
      <w:r>
        <w:rPr>
          <w:i/>
          <w:iCs/>
        </w:rPr>
        <w:t xml:space="preserve">, </w:t>
      </w:r>
      <w:r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Observ’Algérie</w:t>
      </w:r>
      <w:proofErr w:type="spellEnd"/>
      <w:r>
        <w:t>;</w:t>
      </w:r>
    </w:p>
    <w:p w:rsidR="000A000E" w:rsidRPr="00956DED" w:rsidRDefault="000A000E" w:rsidP="000A000E">
      <w:pPr>
        <w:pStyle w:val="NormalHanging12a"/>
      </w:pPr>
      <w:r>
        <w:t>J.</w:t>
      </w:r>
      <w:r>
        <w:tab/>
        <w:t xml:space="preserve">vzhledem k tomu, že s cílem zabránit jim v uplatňování svobody projevu, sdružování či pokojného shromažďování se předmětem pronásledování nebo zatýkání stále častěji stávají </w:t>
      </w:r>
      <w:r w:rsidR="00E967DB">
        <w:t xml:space="preserve">protestující z hnutí </w:t>
      </w:r>
      <w:proofErr w:type="spellStart"/>
      <w:r w:rsidR="00E967DB">
        <w:t>Hirák</w:t>
      </w:r>
      <w:proofErr w:type="spellEnd"/>
      <w:r w:rsidR="00E967DB">
        <w:t>, obrá</w:t>
      </w:r>
      <w:r>
        <w:t>nci lidských práv, novináři a </w:t>
      </w:r>
      <w:proofErr w:type="spellStart"/>
      <w:r>
        <w:t>blogeři</w:t>
      </w:r>
      <w:proofErr w:type="spellEnd"/>
      <w:r>
        <w:t>;</w:t>
      </w:r>
    </w:p>
    <w:p w:rsidR="000A000E" w:rsidRPr="00956DED" w:rsidRDefault="000A000E" w:rsidP="000A000E">
      <w:pPr>
        <w:pStyle w:val="NormalHanging12a"/>
      </w:pPr>
      <w:r>
        <w:t>K.</w:t>
      </w:r>
      <w:r>
        <w:tab/>
        <w:t>vzhledem k tomu, že alžírská advokátní komora (</w:t>
      </w:r>
      <w:r>
        <w:rPr>
          <w:i/>
          <w:iCs/>
        </w:rPr>
        <w:t xml:space="preserve">Union </w:t>
      </w:r>
      <w:proofErr w:type="spellStart"/>
      <w:r>
        <w:rPr>
          <w:i/>
          <w:iCs/>
        </w:rPr>
        <w:t>nationale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ordres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avocats</w:t>
      </w:r>
      <w:proofErr w:type="spellEnd"/>
      <w:r>
        <w:t xml:space="preserve">, UNOA) jednomyslně odsoudila zatýkání aktivistů hnutí </w:t>
      </w:r>
      <w:proofErr w:type="spellStart"/>
      <w:r>
        <w:t>Hirák</w:t>
      </w:r>
      <w:proofErr w:type="spellEnd"/>
      <w:r>
        <w:t xml:space="preserve"> a potlačování uvedených svobod; vzhledem k tomu, že dne 24. října 2019 demonstrovalo v Alžíru přibližně 500 advokátů, kteří požadovali, aby bylo dodržováno právo protestujících na řádné soudní řízení a byla respektována nezávislost soudnictví; vzhledem k tomu, že alžírská advokátní komora vytvořila výbor na podporu advokátů obhajujících zadržené protestující a disidenty;</w:t>
      </w:r>
    </w:p>
    <w:p w:rsidR="000A000E" w:rsidRPr="00956DED" w:rsidRDefault="000A000E" w:rsidP="000A000E">
      <w:pPr>
        <w:pStyle w:val="NormalHanging12a"/>
      </w:pPr>
      <w:r>
        <w:t>L.</w:t>
      </w:r>
      <w:r>
        <w:tab/>
        <w:t>vzhledem k tomu, že podle Alžírské ligy na obranu lidských práv (</w:t>
      </w:r>
      <w:proofErr w:type="spellStart"/>
      <w:r>
        <w:rPr>
          <w:i/>
          <w:iCs/>
        </w:rPr>
        <w:t>Ligue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algérienne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pour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défense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droits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l’homme</w:t>
      </w:r>
      <w:proofErr w:type="spellEnd"/>
      <w:r>
        <w:t xml:space="preserve"> – LADDH) bylo v souvislosti s pokojnými protesty od vzniku hnutí </w:t>
      </w:r>
      <w:proofErr w:type="spellStart"/>
      <w:r>
        <w:t>Hirák</w:t>
      </w:r>
      <w:proofErr w:type="spellEnd"/>
      <w:r>
        <w:t xml:space="preserve"> zadrženo a zatčeno více než sto osob; vzhledem k tomu, že obvinění, na jehož základě jsou tyto osoby zadržovány – podrývání národní jednoty a územní celis</w:t>
      </w:r>
      <w:r w:rsidR="001E6867">
        <w:t>tvosti, podněcování ke shromažďo</w:t>
      </w:r>
      <w:r>
        <w:t>vání a narušování morálky armády –, jsou nejasná a v rozporu s mezinárodními normami v oblasti lidských práv;</w:t>
      </w:r>
    </w:p>
    <w:p w:rsidR="000A000E" w:rsidRPr="00956DED" w:rsidRDefault="000A000E" w:rsidP="000A000E">
      <w:pPr>
        <w:pStyle w:val="NormalHanging12a"/>
      </w:pPr>
      <w:r>
        <w:t>M.</w:t>
      </w:r>
      <w:r>
        <w:tab/>
        <w:t xml:space="preserve">vzhledem k tomu, že dne 29. června 2019 byl za to, že kritizoval velitele obranných sil, zatčen 87letý </w:t>
      </w:r>
      <w:proofErr w:type="spellStart"/>
      <w:r>
        <w:t>Lachdar</w:t>
      </w:r>
      <w:proofErr w:type="spellEnd"/>
      <w:r>
        <w:t xml:space="preserve"> </w:t>
      </w:r>
      <w:proofErr w:type="spellStart"/>
      <w:r>
        <w:t>Buregáa</w:t>
      </w:r>
      <w:proofErr w:type="spellEnd"/>
      <w:r>
        <w:t xml:space="preserve"> – veterán z války o nezávislost; vzhledem k tomu, že dne 25. listopadu 2019 byl po odsouzení k šestiměsíčnímu trestu, který mu byl udělen za studentskou demonstraci konanou dne 17. září 2019, propuštěn 22letý </w:t>
      </w:r>
      <w:proofErr w:type="spellStart"/>
      <w:r>
        <w:t>Núr</w:t>
      </w:r>
      <w:proofErr w:type="spellEnd"/>
      <w:r>
        <w:t xml:space="preserve"> al-</w:t>
      </w:r>
      <w:proofErr w:type="spellStart"/>
      <w:r>
        <w:t>Húda</w:t>
      </w:r>
      <w:proofErr w:type="spellEnd"/>
      <w:r>
        <w:t xml:space="preserve"> </w:t>
      </w:r>
      <w:proofErr w:type="spellStart"/>
      <w:r>
        <w:t>Dahmání</w:t>
      </w:r>
      <w:proofErr w:type="spellEnd"/>
      <w:r>
        <w:t>, který se stal ikonou studentských pochodů konaných každý týden; vzhledem k tomu, že dne 12. října 2019 byl za protest proti návštěv</w:t>
      </w:r>
      <w:r w:rsidR="001E6867">
        <w:t xml:space="preserve">ě ministra mládeže zatčen </w:t>
      </w:r>
      <w:proofErr w:type="spellStart"/>
      <w:r w:rsidR="001E6867">
        <w:t>Ibráhí</w:t>
      </w:r>
      <w:r>
        <w:t>m</w:t>
      </w:r>
      <w:proofErr w:type="spellEnd"/>
      <w:r>
        <w:t xml:space="preserve"> </w:t>
      </w:r>
      <w:proofErr w:type="spellStart"/>
      <w:r>
        <w:t>Dawádží</w:t>
      </w:r>
      <w:proofErr w:type="spellEnd"/>
      <w:r>
        <w:t xml:space="preserve"> a čtyři další aktivisté;</w:t>
      </w:r>
    </w:p>
    <w:p w:rsidR="004C05BF" w:rsidRPr="004714DB" w:rsidRDefault="000A000E" w:rsidP="000A000E">
      <w:pPr>
        <w:pStyle w:val="NormalHanging12a"/>
      </w:pPr>
      <w:r>
        <w:t>N.</w:t>
      </w:r>
      <w:r>
        <w:tab/>
        <w:t xml:space="preserve">vzhledem k tomu, že dne 28. května 2019 zemřel po 53 dnech hladovky ve vězení </w:t>
      </w:r>
      <w:proofErr w:type="spellStart"/>
      <w:r>
        <w:t>Kamal</w:t>
      </w:r>
      <w:proofErr w:type="spellEnd"/>
      <w:r>
        <w:t xml:space="preserve"> ad-</w:t>
      </w:r>
      <w:proofErr w:type="spellStart"/>
      <w:r>
        <w:t>Dín</w:t>
      </w:r>
      <w:proofErr w:type="spellEnd"/>
      <w:r>
        <w:t xml:space="preserve"> </w:t>
      </w:r>
      <w:proofErr w:type="spellStart"/>
      <w:r>
        <w:t>Fechar</w:t>
      </w:r>
      <w:proofErr w:type="spellEnd"/>
      <w:r>
        <w:t xml:space="preserve"> – lékař, obránce lidských práv, obránce berberského společenství At-</w:t>
      </w:r>
      <w:proofErr w:type="spellStart"/>
      <w:r>
        <w:t>Mzab</w:t>
      </w:r>
      <w:proofErr w:type="spellEnd"/>
      <w:r>
        <w:t xml:space="preserve"> a bývalý člen Alžírské ligy na obranu lidských práv –, který byl zatčen </w:t>
      </w:r>
      <w:r>
        <w:lastRenderedPageBreak/>
        <w:t xml:space="preserve">v rámci rozsáhlých protestů; má se za to, že jeho smrt souvisela s onemocněními, která měl už při zatčení a která byla zdravotníky zanedbána; vzhledem k tomu, že v dubnu 2019 zemřel na zranění, která mu surovým bitím způsobila policie, 22letý </w:t>
      </w:r>
      <w:proofErr w:type="spellStart"/>
      <w:r>
        <w:t>Ramzí</w:t>
      </w:r>
      <w:proofErr w:type="spellEnd"/>
      <w:r>
        <w:t xml:space="preserve"> </w:t>
      </w:r>
      <w:proofErr w:type="spellStart"/>
      <w:r>
        <w:t>Jettú</w:t>
      </w:r>
      <w:proofErr w:type="spellEnd"/>
      <w:r>
        <w:t>;</w:t>
      </w:r>
    </w:p>
    <w:p w:rsidR="00A601E9" w:rsidRPr="00A65965" w:rsidRDefault="004C05BF" w:rsidP="00A601E9">
      <w:pPr>
        <w:pStyle w:val="NormalHanging12a"/>
      </w:pPr>
      <w:r>
        <w:t>O.</w:t>
      </w:r>
      <w:r>
        <w:tab/>
      </w:r>
      <w:r w:rsidR="00A601E9">
        <w:rPr>
          <w:shd w:val="clear" w:color="auto" w:fill="FFFFFF"/>
        </w:rPr>
        <w:t>vzhledem k tomu, že</w:t>
      </w:r>
      <w:r w:rsidR="00D74E06">
        <w:rPr>
          <w:shd w:val="clear" w:color="auto" w:fill="FFFFFF"/>
        </w:rPr>
        <w:t xml:space="preserve"> dne 12. září 2019 byl zatčen Ka</w:t>
      </w:r>
      <w:r w:rsidR="00A601E9">
        <w:rPr>
          <w:shd w:val="clear" w:color="auto" w:fill="FFFFFF"/>
        </w:rPr>
        <w:t xml:space="preserve">rím </w:t>
      </w:r>
      <w:proofErr w:type="spellStart"/>
      <w:r w:rsidR="00A601E9">
        <w:rPr>
          <w:shd w:val="clear" w:color="auto" w:fill="FFFFFF"/>
        </w:rPr>
        <w:t>Tábu</w:t>
      </w:r>
      <w:proofErr w:type="spellEnd"/>
      <w:r w:rsidR="00A601E9">
        <w:t>, vedoucí představitel opozice a bývalý generální tajemník tradiční opoziční strany Fronta socialistických sil (</w:t>
      </w:r>
      <w:r w:rsidR="00A601E9" w:rsidRPr="00E0455F">
        <w:rPr>
          <w:rStyle w:val="EmphasisA"/>
          <w:color w:val="000000"/>
          <w:lang w:val="cs-CZ"/>
        </w:rPr>
        <w:t xml:space="preserve">Front des </w:t>
      </w:r>
      <w:proofErr w:type="spellStart"/>
      <w:r w:rsidR="00A601E9" w:rsidRPr="00E0455F">
        <w:rPr>
          <w:rStyle w:val="EmphasisA"/>
          <w:color w:val="000000"/>
          <w:lang w:val="cs-CZ"/>
        </w:rPr>
        <w:t>forces</w:t>
      </w:r>
      <w:proofErr w:type="spellEnd"/>
      <w:r w:rsidR="00A601E9" w:rsidRPr="00E0455F">
        <w:rPr>
          <w:rStyle w:val="EmphasisA"/>
          <w:color w:val="000000"/>
          <w:lang w:val="cs-CZ"/>
        </w:rPr>
        <w:t xml:space="preserve"> </w:t>
      </w:r>
      <w:proofErr w:type="spellStart"/>
      <w:r w:rsidR="00A601E9" w:rsidRPr="00E0455F">
        <w:rPr>
          <w:rStyle w:val="EmphasisA"/>
          <w:color w:val="000000"/>
          <w:lang w:val="cs-CZ"/>
        </w:rPr>
        <w:t>socialistes</w:t>
      </w:r>
      <w:proofErr w:type="spellEnd"/>
      <w:r w:rsidR="00A601E9">
        <w:t xml:space="preserve">, FFS), který stojí nyní v čele </w:t>
      </w:r>
      <w:r w:rsidR="001E6867">
        <w:rPr>
          <w:shd w:val="clear" w:color="auto" w:fill="FFFFFF"/>
        </w:rPr>
        <w:t>neuznávané strany Sociální a </w:t>
      </w:r>
      <w:r w:rsidR="00A601E9">
        <w:rPr>
          <w:shd w:val="clear" w:color="auto" w:fill="FFFFFF"/>
        </w:rPr>
        <w:t>demokratická unie;</w:t>
      </w:r>
      <w:r w:rsidR="00A601E9">
        <w:t xml:space="preserve"> vzhledem k tomu, že dne 26. září 2019 jej soud v provincii </w:t>
      </w:r>
      <w:proofErr w:type="spellStart"/>
      <w:r w:rsidR="00A601E9">
        <w:t>Tipaza</w:t>
      </w:r>
      <w:proofErr w:type="spellEnd"/>
      <w:r w:rsidR="00A601E9">
        <w:t xml:space="preserve"> propustil, ale ani ne o 14 hodin později byl opět zatčen, a to v rámci jiné jurisdikce (okresu </w:t>
      </w:r>
      <w:proofErr w:type="spellStart"/>
      <w:r w:rsidR="00A601E9">
        <w:t>Sídí</w:t>
      </w:r>
      <w:proofErr w:type="spellEnd"/>
      <w:r w:rsidR="00A601E9">
        <w:t xml:space="preserve"> </w:t>
      </w:r>
      <w:proofErr w:type="spellStart"/>
      <w:r w:rsidR="00A601E9">
        <w:t>M’Hammed</w:t>
      </w:r>
      <w:proofErr w:type="spellEnd"/>
      <w:r w:rsidR="00A601E9">
        <w:t>), avšak za obdobných podmínek, a nyní je držen v podstatě v samovazbě;</w:t>
      </w:r>
    </w:p>
    <w:p w:rsidR="00A601E9" w:rsidRPr="00A65965" w:rsidRDefault="00A601E9" w:rsidP="00A601E9">
      <w:pPr>
        <w:pStyle w:val="NormalHanging12a"/>
      </w:pPr>
      <w:r>
        <w:t>P.</w:t>
      </w:r>
      <w:r>
        <w:tab/>
        <w:t xml:space="preserve">vzhledem k tomu, že při poklidných demonstracích uspořádaných na podporu vězňů svědomí v Alžírsku bylo zatčeno několik lidí, kteří patří ke sdružení </w:t>
      </w:r>
      <w:proofErr w:type="spellStart"/>
      <w:r w:rsidRPr="00A601E9">
        <w:rPr>
          <w:rStyle w:val="EmphasisA"/>
          <w:color w:val="000000"/>
          <w:lang w:val="cs-CZ"/>
        </w:rPr>
        <w:t>Rassemblement</w:t>
      </w:r>
      <w:proofErr w:type="spellEnd"/>
      <w:r w:rsidRPr="00A601E9">
        <w:rPr>
          <w:rStyle w:val="EmphasisA"/>
          <w:color w:val="000000"/>
          <w:lang w:val="cs-CZ"/>
        </w:rPr>
        <w:t xml:space="preserve"> </w:t>
      </w:r>
      <w:proofErr w:type="spellStart"/>
      <w:r w:rsidRPr="00A601E9">
        <w:rPr>
          <w:rStyle w:val="EmphasisA"/>
          <w:color w:val="000000"/>
          <w:lang w:val="cs-CZ"/>
        </w:rPr>
        <w:t>actions</w:t>
      </w:r>
      <w:proofErr w:type="spellEnd"/>
      <w:r w:rsidRPr="00A601E9">
        <w:rPr>
          <w:rStyle w:val="EmphasisA"/>
          <w:color w:val="000000"/>
          <w:lang w:val="cs-CZ"/>
        </w:rPr>
        <w:t xml:space="preserve"> </w:t>
      </w:r>
      <w:proofErr w:type="spellStart"/>
      <w:r w:rsidRPr="00A601E9">
        <w:rPr>
          <w:rStyle w:val="EmphasisA"/>
          <w:color w:val="000000"/>
          <w:lang w:val="cs-CZ"/>
        </w:rPr>
        <w:t>jeunesse</w:t>
      </w:r>
      <w:proofErr w:type="spellEnd"/>
      <w:r>
        <w:t xml:space="preserve"> (RAJ), včetně jeho zakladatele </w:t>
      </w:r>
      <w:proofErr w:type="spellStart"/>
      <w:r>
        <w:t>Hakíma</w:t>
      </w:r>
      <w:proofErr w:type="spellEnd"/>
      <w:r>
        <w:t xml:space="preserve"> </w:t>
      </w:r>
      <w:proofErr w:type="spellStart"/>
      <w:r>
        <w:t>Addáda</w:t>
      </w:r>
      <w:proofErr w:type="spellEnd"/>
      <w:r>
        <w:t xml:space="preserve">, jeho předsedy </w:t>
      </w:r>
      <w:proofErr w:type="spellStart"/>
      <w:r>
        <w:t>Abdalwahhába</w:t>
      </w:r>
      <w:proofErr w:type="spellEnd"/>
      <w:r>
        <w:t xml:space="preserve"> </w:t>
      </w:r>
      <w:proofErr w:type="spellStart"/>
      <w:r>
        <w:t>Firsáwího</w:t>
      </w:r>
      <w:proofErr w:type="spellEnd"/>
      <w:r>
        <w:t xml:space="preserve">, a jeho členů </w:t>
      </w:r>
      <w:proofErr w:type="spellStart"/>
      <w:r>
        <w:t>Másínísá</w:t>
      </w:r>
      <w:proofErr w:type="spellEnd"/>
      <w:r>
        <w:t xml:space="preserve"> </w:t>
      </w:r>
      <w:proofErr w:type="spellStart"/>
      <w:r>
        <w:t>Ajsúsa</w:t>
      </w:r>
      <w:proofErr w:type="spellEnd"/>
      <w:r>
        <w:t xml:space="preserve">, </w:t>
      </w:r>
      <w:proofErr w:type="spellStart"/>
      <w:r>
        <w:t>Džalála</w:t>
      </w:r>
      <w:proofErr w:type="spellEnd"/>
      <w:r>
        <w:t xml:space="preserve"> </w:t>
      </w:r>
      <w:proofErr w:type="spellStart"/>
      <w:r>
        <w:t>Mukráního</w:t>
      </w:r>
      <w:proofErr w:type="spellEnd"/>
      <w:r>
        <w:t xml:space="preserve">, Ahmada </w:t>
      </w:r>
      <w:proofErr w:type="spellStart"/>
      <w:r>
        <w:t>Bujdara</w:t>
      </w:r>
      <w:proofErr w:type="spellEnd"/>
      <w:r>
        <w:t xml:space="preserve">, </w:t>
      </w:r>
      <w:proofErr w:type="spellStart"/>
      <w:r>
        <w:t>Kámila</w:t>
      </w:r>
      <w:proofErr w:type="spellEnd"/>
      <w:r>
        <w:t xml:space="preserve"> </w:t>
      </w:r>
      <w:proofErr w:type="spellStart"/>
      <w:r>
        <w:t>Wulduwalího</w:t>
      </w:r>
      <w:proofErr w:type="spellEnd"/>
      <w:r>
        <w:t xml:space="preserve">, Karíma </w:t>
      </w:r>
      <w:proofErr w:type="spellStart"/>
      <w:r>
        <w:t>Butátuy</w:t>
      </w:r>
      <w:proofErr w:type="spellEnd"/>
      <w:r>
        <w:t xml:space="preserve">, </w:t>
      </w:r>
      <w:proofErr w:type="spellStart"/>
      <w:r>
        <w:t>A</w:t>
      </w:r>
      <w:r w:rsidR="001E6867">
        <w:t>hcena</w:t>
      </w:r>
      <w:proofErr w:type="spellEnd"/>
      <w:r w:rsidR="001E6867">
        <w:t xml:space="preserve"> Kádího, </w:t>
      </w:r>
      <w:proofErr w:type="spellStart"/>
      <w:r w:rsidR="001E6867">
        <w:t>Wáfího</w:t>
      </w:r>
      <w:proofErr w:type="spellEnd"/>
      <w:r w:rsidR="001E6867">
        <w:t xml:space="preserve"> </w:t>
      </w:r>
      <w:proofErr w:type="spellStart"/>
      <w:r w:rsidR="001E6867">
        <w:t>Tigrín</w:t>
      </w:r>
      <w:r w:rsidR="00CB143A">
        <w:t>a</w:t>
      </w:r>
      <w:proofErr w:type="spellEnd"/>
      <w:r w:rsidR="00CB143A">
        <w:t xml:space="preserve"> a </w:t>
      </w:r>
      <w:proofErr w:type="spellStart"/>
      <w:r>
        <w:t>Chíraddína</w:t>
      </w:r>
      <w:proofErr w:type="spellEnd"/>
      <w:r>
        <w:t xml:space="preserve"> </w:t>
      </w:r>
      <w:proofErr w:type="spellStart"/>
      <w:r>
        <w:t>Madžáního</w:t>
      </w:r>
      <w:proofErr w:type="spellEnd"/>
      <w:r>
        <w:t>;</w:t>
      </w:r>
    </w:p>
    <w:p w:rsidR="00A601E9" w:rsidRPr="00A65965" w:rsidRDefault="00A601E9" w:rsidP="00A601E9">
      <w:pPr>
        <w:pStyle w:val="NormalHanging12a"/>
      </w:pPr>
      <w:r>
        <w:t>Q.</w:t>
      </w:r>
      <w:r>
        <w:tab/>
        <w:t xml:space="preserve">vzhledem k tomu, že za „oslabení morálky v armádě“ je stíháno několik demonstrantů, například </w:t>
      </w:r>
      <w:proofErr w:type="spellStart"/>
      <w:r>
        <w:t>Sámir</w:t>
      </w:r>
      <w:proofErr w:type="spellEnd"/>
      <w:r>
        <w:t xml:space="preserve"> </w:t>
      </w:r>
      <w:proofErr w:type="spellStart"/>
      <w:r>
        <w:t>Belarbí</w:t>
      </w:r>
      <w:proofErr w:type="spellEnd"/>
      <w:r>
        <w:t xml:space="preserve">, </w:t>
      </w:r>
      <w:proofErr w:type="spellStart"/>
      <w:r>
        <w:t>Fadíl</w:t>
      </w:r>
      <w:proofErr w:type="spellEnd"/>
      <w:r>
        <w:t xml:space="preserve"> </w:t>
      </w:r>
      <w:proofErr w:type="spellStart"/>
      <w:r>
        <w:t>Búmála</w:t>
      </w:r>
      <w:proofErr w:type="spellEnd"/>
      <w:r>
        <w:t xml:space="preserve">, </w:t>
      </w:r>
      <w:proofErr w:type="spellStart"/>
      <w:r>
        <w:t>Fu´ád</w:t>
      </w:r>
      <w:proofErr w:type="spellEnd"/>
      <w:r>
        <w:t xml:space="preserve"> </w:t>
      </w:r>
      <w:proofErr w:type="spellStart"/>
      <w:r>
        <w:t>Awíšír</w:t>
      </w:r>
      <w:proofErr w:type="spellEnd"/>
      <w:r>
        <w:t xml:space="preserve">, </w:t>
      </w:r>
      <w:proofErr w:type="spellStart"/>
      <w:r>
        <w:t>Saída</w:t>
      </w:r>
      <w:proofErr w:type="spellEnd"/>
      <w:r>
        <w:t xml:space="preserve"> </w:t>
      </w:r>
      <w:proofErr w:type="spellStart"/>
      <w:r>
        <w:t>Diffeurová</w:t>
      </w:r>
      <w:proofErr w:type="spellEnd"/>
      <w:r>
        <w:t xml:space="preserve"> a </w:t>
      </w:r>
      <w:proofErr w:type="spellStart"/>
      <w:r>
        <w:t>Ru´úf</w:t>
      </w:r>
      <w:proofErr w:type="spellEnd"/>
      <w:r>
        <w:t xml:space="preserve"> </w:t>
      </w:r>
      <w:proofErr w:type="spellStart"/>
      <w:r>
        <w:t>Ra´ís</w:t>
      </w:r>
      <w:proofErr w:type="spellEnd"/>
      <w:r>
        <w:t xml:space="preserve">, kteří jsou stále zadržováni, a obránců lidských práv, mezi nimiž i </w:t>
      </w:r>
      <w:proofErr w:type="spellStart"/>
      <w:r>
        <w:t>Sa´íd</w:t>
      </w:r>
      <w:proofErr w:type="spellEnd"/>
      <w:r>
        <w:t xml:space="preserve"> </w:t>
      </w:r>
      <w:proofErr w:type="spellStart"/>
      <w:r>
        <w:t>Búdúr</w:t>
      </w:r>
      <w:proofErr w:type="spellEnd"/>
      <w:r>
        <w:t xml:space="preserve">, </w:t>
      </w:r>
      <w:proofErr w:type="spellStart"/>
      <w:r>
        <w:t>Hamíd</w:t>
      </w:r>
      <w:proofErr w:type="spellEnd"/>
      <w:r>
        <w:t xml:space="preserve"> </w:t>
      </w:r>
      <w:proofErr w:type="spellStart"/>
      <w:r>
        <w:t>Ghúra</w:t>
      </w:r>
      <w:proofErr w:type="spellEnd"/>
      <w:r>
        <w:t xml:space="preserve"> a </w:t>
      </w:r>
      <w:proofErr w:type="spellStart"/>
      <w:r>
        <w:t>Sulajmán</w:t>
      </w:r>
      <w:proofErr w:type="spellEnd"/>
      <w:r>
        <w:t xml:space="preserve"> </w:t>
      </w:r>
      <w:proofErr w:type="spellStart"/>
      <w:r>
        <w:t>Hámítúš</w:t>
      </w:r>
      <w:proofErr w:type="spellEnd"/>
      <w:r>
        <w:t>;</w:t>
      </w:r>
    </w:p>
    <w:p w:rsidR="00A601E9" w:rsidRPr="00A65965" w:rsidRDefault="00A601E9" w:rsidP="00A601E9">
      <w:pPr>
        <w:pStyle w:val="NormalHanging12a"/>
      </w:pPr>
      <w:r>
        <w:t>R.</w:t>
      </w:r>
      <w:r>
        <w:tab/>
        <w:t xml:space="preserve">vzhledem k tomu, že dne 11. </w:t>
      </w:r>
      <w:r w:rsidR="00CB143A">
        <w:t xml:space="preserve">listopadu 2019 zahájil soud v </w:t>
      </w:r>
      <w:proofErr w:type="spellStart"/>
      <w:r w:rsidR="00CB143A">
        <w:t>Sídí</w:t>
      </w:r>
      <w:proofErr w:type="spellEnd"/>
      <w:r>
        <w:t xml:space="preserve"> </w:t>
      </w:r>
      <w:proofErr w:type="spellStart"/>
      <w:r>
        <w:t>M’Hamed</w:t>
      </w:r>
      <w:proofErr w:type="spellEnd"/>
      <w:r>
        <w:t xml:space="preserve"> v Alžíru soudní řízení s 42 aktivisty, včetně členky Lidov</w:t>
      </w:r>
      <w:r w:rsidR="00CB143A">
        <w:t>ého provinčního shromáždění Samí</w:t>
      </w:r>
      <w:r>
        <w:t xml:space="preserve">ry </w:t>
      </w:r>
      <w:proofErr w:type="spellStart"/>
      <w:r>
        <w:t>Messouciové</w:t>
      </w:r>
      <w:proofErr w:type="spellEnd"/>
      <w:r>
        <w:t>, a to na základě obvinění z „narušení celistvosti státního území“, jelikož mávali vlajkou s emblémem Berberů; vzhledem k tomu, že tato vlajka byla stejně jako státní vlajka používána v průběhu týdenních demonstrací v celé zemi; vzhledem k tomu, že několik soudů v zemi demonstranty zatčené na základě stejného obvinění propustilo;</w:t>
      </w:r>
    </w:p>
    <w:p w:rsidR="00A601E9" w:rsidRPr="00A65965" w:rsidRDefault="00A601E9" w:rsidP="00A601E9">
      <w:pPr>
        <w:pStyle w:val="NormalHanging12a"/>
      </w:pPr>
      <w:r>
        <w:t>S.</w:t>
      </w:r>
      <w:r>
        <w:tab/>
        <w:t>vzhledem k tomu, že v alžírské ústavě jsou zakotveny základní svobody</w:t>
      </w:r>
      <w:r w:rsidR="00CB143A">
        <w:t>, mezi nimi i </w:t>
      </w:r>
      <w:r>
        <w:t>svoboda sdružování, kterou dále upravuje zákon č. 12-06; vzhledem k tomu, že tento zákon stanovuje, že každé sdružení, včetně těch, která se již úspěšně zaregistrovala, se musí před zahájením legitimního fungování registrovat a získat potvrze</w:t>
      </w:r>
      <w:r w:rsidR="00CB143A">
        <w:t>ní o registraci od </w:t>
      </w:r>
      <w:r>
        <w:t>ministerstva vnitra;</w:t>
      </w:r>
      <w:r>
        <w:rPr>
          <w:rStyle w:val="Emphasis"/>
          <w:color w:val="000000"/>
        </w:rPr>
        <w:t xml:space="preserve"> </w:t>
      </w:r>
      <w:r>
        <w:rPr>
          <w:rStyle w:val="st1"/>
          <w:color w:val="000000"/>
        </w:rPr>
        <w:t xml:space="preserve">vzhledem k tomu, že žádosti o předběžnou registraci některých organizací občanské společnosti a nevládních, náboženských a charitativních organizací, jako je LADDH,  </w:t>
      </w:r>
      <w:proofErr w:type="spellStart"/>
      <w:r>
        <w:rPr>
          <w:rStyle w:val="st1"/>
          <w:color w:val="000000"/>
        </w:rPr>
        <w:t>EuromedRights</w:t>
      </w:r>
      <w:proofErr w:type="spellEnd"/>
      <w:r>
        <w:rPr>
          <w:rStyle w:val="st1"/>
          <w:color w:val="000000"/>
        </w:rPr>
        <w:t xml:space="preserve">, RAJ, </w:t>
      </w:r>
      <w:proofErr w:type="spellStart"/>
      <w:r>
        <w:rPr>
          <w:rStyle w:val="st1"/>
          <w:color w:val="000000"/>
        </w:rPr>
        <w:t>Amnesty</w:t>
      </w:r>
      <w:proofErr w:type="spellEnd"/>
      <w:r>
        <w:rPr>
          <w:rStyle w:val="st1"/>
          <w:color w:val="000000"/>
        </w:rPr>
        <w:t xml:space="preserve"> International, Alžírské sdružení protestanských církví, Národní komise pro n</w:t>
      </w:r>
      <w:r w:rsidR="00CB143A">
        <w:rPr>
          <w:rStyle w:val="st1"/>
          <w:color w:val="000000"/>
        </w:rPr>
        <w:t>emuslimské náboženské skupiny a </w:t>
      </w:r>
      <w:r>
        <w:rPr>
          <w:rStyle w:val="st1"/>
          <w:color w:val="000000"/>
        </w:rPr>
        <w:t xml:space="preserve">Feministické sdružení pro osobní rozvoj a uplatňování občanství (AFEPEC), se stále projednávají navzdory tomu, že splňují veškeré zákonné požadavky; </w:t>
      </w:r>
      <w:r>
        <w:rPr>
          <w:rStyle w:val="st1"/>
        </w:rPr>
        <w:t>vzhledem k tomu, že z tohoto důvodu tyto organizace nemají oficiální právní status</w:t>
      </w:r>
      <w:r>
        <w:t>;</w:t>
      </w:r>
    </w:p>
    <w:p w:rsidR="00A601E9" w:rsidRPr="00A65965" w:rsidRDefault="00A601E9" w:rsidP="00A601E9">
      <w:pPr>
        <w:pStyle w:val="NormalHanging12a"/>
      </w:pPr>
      <w:r>
        <w:t>T.</w:t>
      </w:r>
      <w:r>
        <w:tab/>
        <w:t>vzhledem k tomu, že podle Mezinárodního paktu o občanských a politických právech, který Alžírsko ratifikovalo, mus</w:t>
      </w:r>
      <w:r w:rsidR="00B2765C">
        <w:t>ej</w:t>
      </w:r>
      <w:r>
        <w:t>í vlády zajistit právo na</w:t>
      </w:r>
      <w:r w:rsidR="00CB143A">
        <w:t xml:space="preserve"> svobodu náboženství, myšlení a </w:t>
      </w:r>
      <w:r>
        <w:t xml:space="preserve">svědomí každému, kdo spadá pod jejich úřední pravomoc, a obzvláště </w:t>
      </w:r>
      <w:bookmarkStart w:id="1" w:name="_GoBack"/>
      <w:r>
        <w:t>mus</w:t>
      </w:r>
      <w:r w:rsidR="00B2765C">
        <w:t>ej</w:t>
      </w:r>
      <w:r>
        <w:t>í</w:t>
      </w:r>
      <w:bookmarkEnd w:id="1"/>
      <w:r>
        <w:t xml:space="preserve"> toto právo zajistit náboženským menšinám; vzhledem k</w:t>
      </w:r>
      <w:r w:rsidR="00B2765C">
        <w:t xml:space="preserve"> tomu, že toto právo zahrnuje i </w:t>
      </w:r>
      <w:r>
        <w:t xml:space="preserve">svobodu praktikovat náboženství či vyznání dle vlastní volby, ať už veřejně či </w:t>
      </w:r>
      <w:r>
        <w:lastRenderedPageBreak/>
        <w:t>v</w:t>
      </w:r>
      <w:r w:rsidR="00B2765C">
        <w:t> </w:t>
      </w:r>
      <w:r>
        <w:t>soukromí a</w:t>
      </w:r>
      <w:r w:rsidR="00CB143A">
        <w:t> </w:t>
      </w:r>
      <w:r>
        <w:t>o</w:t>
      </w:r>
      <w:r w:rsidR="00CB143A">
        <w:t> </w:t>
      </w:r>
      <w:r>
        <w:t>samotě či ve společnosti jiných osob;</w:t>
      </w:r>
    </w:p>
    <w:p w:rsidR="00A601E9" w:rsidRPr="00A65965" w:rsidRDefault="00A601E9" w:rsidP="00A601E9">
      <w:pPr>
        <w:pStyle w:val="NormalHanging12a"/>
      </w:pPr>
      <w:r>
        <w:t>1.</w:t>
      </w:r>
      <w:r>
        <w:tab/>
        <w:t>důrazně odsuzuje svévolné a nezákonné zatýkání, zadr</w:t>
      </w:r>
      <w:r w:rsidR="001E6867">
        <w:t>žování, zastrašování a útoky na </w:t>
      </w:r>
      <w:r>
        <w:t xml:space="preserve">novináře, odboráře, právníky, studenty, obránce lidských práv a členy organizací občanské společnosti, jakož i na všechny mírumilovné protestující, kteří se zúčastnili nenásilných demonstrací hnutí </w:t>
      </w:r>
      <w:proofErr w:type="spellStart"/>
      <w:r>
        <w:t>Hirák</w:t>
      </w:r>
      <w:proofErr w:type="spellEnd"/>
      <w:r>
        <w:t>;</w:t>
      </w:r>
    </w:p>
    <w:p w:rsidR="00A601E9" w:rsidRPr="00A65965" w:rsidRDefault="00A601E9" w:rsidP="00A601E9">
      <w:pPr>
        <w:pStyle w:val="NormalHanging12a"/>
      </w:pPr>
      <w:r>
        <w:t>2.</w:t>
      </w:r>
      <w:r>
        <w:tab/>
        <w:t xml:space="preserve">vyzývá alžírské orgány, aby okamžitě a bezpodmínečně propustily všechny osoby, které byly obviněny, protože uplatňovaly své právo na svobodu projevu, zejména </w:t>
      </w:r>
      <w:proofErr w:type="spellStart"/>
      <w:r>
        <w:t>Hakíma</w:t>
      </w:r>
      <w:proofErr w:type="spellEnd"/>
      <w:r>
        <w:t xml:space="preserve"> </w:t>
      </w:r>
      <w:proofErr w:type="spellStart"/>
      <w:r>
        <w:t>Addáda</w:t>
      </w:r>
      <w:proofErr w:type="spellEnd"/>
      <w:r>
        <w:t xml:space="preserve">, </w:t>
      </w:r>
      <w:proofErr w:type="spellStart"/>
      <w:r>
        <w:t>Abdalwahhába</w:t>
      </w:r>
      <w:proofErr w:type="spellEnd"/>
      <w:r>
        <w:t xml:space="preserve"> </w:t>
      </w:r>
      <w:proofErr w:type="spellStart"/>
      <w:r>
        <w:t>Firsáwího</w:t>
      </w:r>
      <w:proofErr w:type="spellEnd"/>
      <w:r>
        <w:t xml:space="preserve">, </w:t>
      </w:r>
      <w:proofErr w:type="spellStart"/>
      <w:r>
        <w:t>Másínísá</w:t>
      </w:r>
      <w:proofErr w:type="spellEnd"/>
      <w:r>
        <w:t xml:space="preserve"> </w:t>
      </w:r>
      <w:proofErr w:type="spellStart"/>
      <w:r>
        <w:t>Ajsúsa</w:t>
      </w:r>
      <w:proofErr w:type="spellEnd"/>
      <w:r>
        <w:t xml:space="preserve">, </w:t>
      </w:r>
      <w:proofErr w:type="spellStart"/>
      <w:r>
        <w:t>Džalála</w:t>
      </w:r>
      <w:proofErr w:type="spellEnd"/>
      <w:r>
        <w:t xml:space="preserve"> </w:t>
      </w:r>
      <w:proofErr w:type="spellStart"/>
      <w:r>
        <w:t>Mukráního</w:t>
      </w:r>
      <w:proofErr w:type="spellEnd"/>
      <w:r>
        <w:t xml:space="preserve">, Ahmada </w:t>
      </w:r>
      <w:proofErr w:type="spellStart"/>
      <w:r>
        <w:t>Bujdara</w:t>
      </w:r>
      <w:proofErr w:type="spellEnd"/>
      <w:r>
        <w:t xml:space="preserve">, </w:t>
      </w:r>
      <w:proofErr w:type="spellStart"/>
      <w:r>
        <w:t>Kámila</w:t>
      </w:r>
      <w:proofErr w:type="spellEnd"/>
      <w:r>
        <w:t xml:space="preserve"> </w:t>
      </w:r>
      <w:proofErr w:type="spellStart"/>
      <w:r>
        <w:t>Wulduwalího</w:t>
      </w:r>
      <w:proofErr w:type="spellEnd"/>
      <w:r>
        <w:t xml:space="preserve">, Karíma </w:t>
      </w:r>
      <w:proofErr w:type="spellStart"/>
      <w:r>
        <w:t>Butátu</w:t>
      </w:r>
      <w:r w:rsidR="001E6867">
        <w:t>y</w:t>
      </w:r>
      <w:proofErr w:type="spellEnd"/>
      <w:r w:rsidR="001E6867">
        <w:t xml:space="preserve">, </w:t>
      </w:r>
      <w:proofErr w:type="spellStart"/>
      <w:r w:rsidR="001E6867">
        <w:t>Ahcena</w:t>
      </w:r>
      <w:proofErr w:type="spellEnd"/>
      <w:r w:rsidR="001E6867">
        <w:t xml:space="preserve"> Kádího, </w:t>
      </w:r>
      <w:proofErr w:type="spellStart"/>
      <w:r w:rsidR="001E6867">
        <w:t>Wáfího</w:t>
      </w:r>
      <w:proofErr w:type="spellEnd"/>
      <w:r w:rsidR="001E6867">
        <w:t xml:space="preserve"> </w:t>
      </w:r>
      <w:proofErr w:type="spellStart"/>
      <w:r w:rsidR="001E6867">
        <w:t>Tigrín</w:t>
      </w:r>
      <w:r>
        <w:t>a</w:t>
      </w:r>
      <w:proofErr w:type="spellEnd"/>
      <w:r>
        <w:t xml:space="preserve">, </w:t>
      </w:r>
      <w:proofErr w:type="spellStart"/>
      <w:r>
        <w:t>Chíraddína</w:t>
      </w:r>
      <w:proofErr w:type="spellEnd"/>
      <w:r>
        <w:t xml:space="preserve"> </w:t>
      </w:r>
      <w:proofErr w:type="spellStart"/>
      <w:r>
        <w:t>Madžáního</w:t>
      </w:r>
      <w:proofErr w:type="spellEnd"/>
      <w:r>
        <w:t xml:space="preserve">, </w:t>
      </w:r>
      <w:proofErr w:type="spellStart"/>
      <w:r>
        <w:t>Sámira</w:t>
      </w:r>
      <w:proofErr w:type="spellEnd"/>
      <w:r>
        <w:t xml:space="preserve"> </w:t>
      </w:r>
      <w:proofErr w:type="spellStart"/>
      <w:r>
        <w:t>Belarbího</w:t>
      </w:r>
      <w:proofErr w:type="spellEnd"/>
      <w:r>
        <w:t xml:space="preserve">, Karíma </w:t>
      </w:r>
      <w:proofErr w:type="spellStart"/>
      <w:r>
        <w:t>Tábúa</w:t>
      </w:r>
      <w:proofErr w:type="spellEnd"/>
      <w:r>
        <w:t xml:space="preserve">, </w:t>
      </w:r>
      <w:proofErr w:type="spellStart"/>
      <w:r>
        <w:t>Fadíla</w:t>
      </w:r>
      <w:proofErr w:type="spellEnd"/>
      <w:r>
        <w:t xml:space="preserve"> </w:t>
      </w:r>
      <w:proofErr w:type="spellStart"/>
      <w:r>
        <w:t>Búmálu</w:t>
      </w:r>
      <w:proofErr w:type="spellEnd"/>
      <w:r>
        <w:t xml:space="preserve">, </w:t>
      </w:r>
      <w:proofErr w:type="spellStart"/>
      <w:r>
        <w:t>Lachdara</w:t>
      </w:r>
      <w:proofErr w:type="spellEnd"/>
      <w:r>
        <w:t xml:space="preserve"> </w:t>
      </w:r>
      <w:proofErr w:type="spellStart"/>
      <w:r>
        <w:t>Burdžá´u</w:t>
      </w:r>
      <w:proofErr w:type="spellEnd"/>
      <w:r>
        <w:t xml:space="preserve">, Samíru </w:t>
      </w:r>
      <w:proofErr w:type="spellStart"/>
      <w:r>
        <w:t>Masúsíovou</w:t>
      </w:r>
      <w:proofErr w:type="spellEnd"/>
      <w:r>
        <w:t xml:space="preserve">, Ibráhíma </w:t>
      </w:r>
      <w:proofErr w:type="spellStart"/>
      <w:r>
        <w:t>Dawáddžího</w:t>
      </w:r>
      <w:proofErr w:type="spellEnd"/>
      <w:r>
        <w:t xml:space="preserve">, </w:t>
      </w:r>
      <w:proofErr w:type="spellStart"/>
      <w:r>
        <w:t>Sálaha</w:t>
      </w:r>
      <w:proofErr w:type="spellEnd"/>
      <w:r>
        <w:t xml:space="preserve"> </w:t>
      </w:r>
      <w:proofErr w:type="spellStart"/>
      <w:r>
        <w:t>Ma´atíh</w:t>
      </w:r>
      <w:r w:rsidR="00CB143A">
        <w:t>a</w:t>
      </w:r>
      <w:proofErr w:type="spellEnd"/>
      <w:r>
        <w:t>,</w:t>
      </w:r>
      <w:r w:rsidR="00CB143A">
        <w:t xml:space="preserve"> </w:t>
      </w:r>
      <w:proofErr w:type="spellStart"/>
      <w:r w:rsidR="00CB143A">
        <w:t>Sufjána</w:t>
      </w:r>
      <w:proofErr w:type="spellEnd"/>
      <w:r w:rsidR="00CB143A">
        <w:t xml:space="preserve"> </w:t>
      </w:r>
      <w:proofErr w:type="spellStart"/>
      <w:r w:rsidR="00CB143A">
        <w:t>Marákšího</w:t>
      </w:r>
      <w:proofErr w:type="spellEnd"/>
      <w:r w:rsidR="00CB143A">
        <w:t xml:space="preserve">, </w:t>
      </w:r>
      <w:proofErr w:type="spellStart"/>
      <w:r w:rsidR="00CB143A">
        <w:t>Azaba</w:t>
      </w:r>
      <w:proofErr w:type="spellEnd"/>
      <w:r w:rsidR="00CB143A">
        <w:t xml:space="preserve"> </w:t>
      </w:r>
      <w:proofErr w:type="spellStart"/>
      <w:r w:rsidR="00CB143A">
        <w:t>aš</w:t>
      </w:r>
      <w:proofErr w:type="spellEnd"/>
      <w:r w:rsidR="00CB143A">
        <w:t>-</w:t>
      </w:r>
      <w:r w:rsidR="00D74E06">
        <w:t>Še</w:t>
      </w:r>
      <w:r>
        <w:t xml:space="preserve">jcha, </w:t>
      </w:r>
      <w:proofErr w:type="spellStart"/>
      <w:r>
        <w:t>Fu´áda</w:t>
      </w:r>
      <w:proofErr w:type="spellEnd"/>
      <w:r>
        <w:t xml:space="preserve"> </w:t>
      </w:r>
      <w:proofErr w:type="spellStart"/>
      <w:r>
        <w:t>Awíšíra</w:t>
      </w:r>
      <w:proofErr w:type="spellEnd"/>
      <w:r>
        <w:t xml:space="preserve">, </w:t>
      </w:r>
      <w:proofErr w:type="spellStart"/>
      <w:r>
        <w:t>Saídu</w:t>
      </w:r>
      <w:proofErr w:type="spellEnd"/>
      <w:r>
        <w:t xml:space="preserve"> </w:t>
      </w:r>
      <w:proofErr w:type="spellStart"/>
      <w:r>
        <w:t>Diffeurovou</w:t>
      </w:r>
      <w:proofErr w:type="spellEnd"/>
      <w:r>
        <w:t xml:space="preserve"> a další účastníky pokojných protestů, obránce lidských práv a novináře, kteří byli svévolně uvězněni, a to navzdory skutečnosti, že jejich činnost je alžírskými zákony povolena a je v souladu s mezinárodními nástroji v oblasti lidských práv, které Alžírsko ratifikovalo; vyzývá alžírské orgány, aby zrušily zákaz cestování a probační dohled, který byl uložen </w:t>
      </w:r>
      <w:proofErr w:type="spellStart"/>
      <w:r>
        <w:t>Sulajmánovi</w:t>
      </w:r>
      <w:proofErr w:type="spellEnd"/>
      <w:r>
        <w:t xml:space="preserve"> </w:t>
      </w:r>
      <w:proofErr w:type="spellStart"/>
      <w:r>
        <w:t>Hámítúšovi</w:t>
      </w:r>
      <w:proofErr w:type="spellEnd"/>
      <w:r>
        <w:t xml:space="preserve">, </w:t>
      </w:r>
      <w:proofErr w:type="spellStart"/>
      <w:r w:rsidR="00D74E06">
        <w:t>Abdel-Mudží</w:t>
      </w:r>
      <w:r w:rsidR="00D74E06">
        <w:t>mu</w:t>
      </w:r>
      <w:proofErr w:type="spellEnd"/>
      <w:r w:rsidR="00D74E06">
        <w:t xml:space="preserve"> </w:t>
      </w:r>
      <w:proofErr w:type="spellStart"/>
      <w:r w:rsidR="00D74E06">
        <w:t>Chelladí</w:t>
      </w:r>
      <w:r w:rsidR="00D74E06">
        <w:t>mu</w:t>
      </w:r>
      <w:proofErr w:type="spellEnd"/>
      <w:r>
        <w:t xml:space="preserve"> a Mustafovi </w:t>
      </w:r>
      <w:proofErr w:type="spellStart"/>
      <w:r>
        <w:t>Benddžamáovi</w:t>
      </w:r>
      <w:proofErr w:type="spellEnd"/>
      <w:r>
        <w:t>;</w:t>
      </w:r>
    </w:p>
    <w:p w:rsidR="00A601E9" w:rsidRPr="00A65965" w:rsidRDefault="00A601E9" w:rsidP="00A601E9">
      <w:pPr>
        <w:pStyle w:val="NormalHanging12a"/>
      </w:pPr>
      <w:r>
        <w:t>3.</w:t>
      </w:r>
      <w:r>
        <w:tab/>
        <w:t xml:space="preserve">vyzývá alžírské orgány, aby ukončily veškeré formy zastrašování, včetně pronásledování ze strany soudních a legislativních orgánů, kriminalizaci a svévolné zatýkání a zadržování účastníků pokojných protestů, obránců lidských práv a kritických novinářů a </w:t>
      </w:r>
      <w:proofErr w:type="spellStart"/>
      <w:r>
        <w:t>blogerů</w:t>
      </w:r>
      <w:proofErr w:type="spellEnd"/>
      <w:r>
        <w:t xml:space="preserve"> a aby učinily náležité kroky k zajišt</w:t>
      </w:r>
      <w:r w:rsidR="00CB143A">
        <w:t>ění jejich ochrany po fyzické i </w:t>
      </w:r>
      <w:r>
        <w:t>psychické stránce, bezpečnosti a svobody při v</w:t>
      </w:r>
      <w:r w:rsidR="001E6867">
        <w:t>ýkonu jejich zákonem povolené a </w:t>
      </w:r>
      <w:r>
        <w:t>nenásilné činnosti; vyzývá alžírské orgány, aby zajistily a zaručily právo na svobodu projevu, sdružování, pokojné shromažďování a svobodu sdělovacích prostředků, které je zakotveno v alžírské ústavě a v Mezinárodním paktu o občanských a politických právech, jejž Alžírsko podepsalo a ratifikovalo;</w:t>
      </w:r>
    </w:p>
    <w:p w:rsidR="00A601E9" w:rsidRPr="00A65965" w:rsidRDefault="00A601E9" w:rsidP="00A601E9">
      <w:pPr>
        <w:pStyle w:val="NormalHanging12a"/>
      </w:pPr>
      <w:r>
        <w:t>4.</w:t>
      </w:r>
      <w:r>
        <w:tab/>
        <w:t xml:space="preserve">vyzývá k ukončení porušování svobody vyznání, která je upírána křesťanům, </w:t>
      </w:r>
      <w:proofErr w:type="spellStart"/>
      <w:r>
        <w:t>ahmadíjům</w:t>
      </w:r>
      <w:proofErr w:type="spellEnd"/>
      <w:r>
        <w:t xml:space="preserve"> a dalším náboženským menšinám; připomíná alžírské vládě, že výnos 06-03 zaručuje svobodné praktikování náboženského vyznání; vyzývá alžírské orgány, aby dotyčné kostely opět otevřely;</w:t>
      </w:r>
    </w:p>
    <w:p w:rsidR="00A601E9" w:rsidRPr="00A65965" w:rsidRDefault="00A601E9" w:rsidP="00A601E9">
      <w:pPr>
        <w:pStyle w:val="NormalHanging12a"/>
      </w:pPr>
      <w:r>
        <w:t>5.</w:t>
      </w:r>
      <w:r>
        <w:tab/>
        <w:t xml:space="preserve">vyzývá alžírské orgány, aby novelizovaly zákon </w:t>
      </w:r>
      <w:r w:rsidR="00CB143A">
        <w:t>91-19 ze dne 2. prosince 1991 a </w:t>
      </w:r>
      <w:r>
        <w:t xml:space="preserve">odstranily z něj veškerá omezení týkající se pokojných demonstrací, která nejsou nezbytně nutná nebo přiměřená z hlediska ustanovení </w:t>
      </w:r>
      <w:r w:rsidR="00CB143A">
        <w:t>článku 21 Mezinárodního paktu o </w:t>
      </w:r>
      <w:r>
        <w:t>občanských a politických právech; vyjadřuje znepokojení nad tím, že navzdory ustanovením přepracované ústavy z roku 2016 nebyl dekret ze dne 18. června 2001, který zakazuje demonstrace v hlavním městě, zrušen a je obecně uplatňován v celé zemi;</w:t>
      </w:r>
    </w:p>
    <w:p w:rsidR="00A601E9" w:rsidRPr="00A65965" w:rsidRDefault="00A601E9" w:rsidP="00A601E9">
      <w:pPr>
        <w:pStyle w:val="NormalHanging12a"/>
      </w:pPr>
      <w:r>
        <w:t>6.</w:t>
      </w:r>
      <w:r>
        <w:tab/>
        <w:t>vyzývá alžírské orgány, aby účinně eliminovaly veškeré formy nepřiměřeného použití síly donucovacími orgány při rozhánění veřejných shromáždění a aby těmto formám násilí předcházely; důrazně odsuzuje ne</w:t>
      </w:r>
      <w:r w:rsidR="00CB143A">
        <w:t>přiměřené použití násilí, které</w:t>
      </w:r>
      <w:r>
        <w:t xml:space="preserve"> způsobilo smrt </w:t>
      </w:r>
      <w:proofErr w:type="spellStart"/>
      <w:r>
        <w:t>Ramzího</w:t>
      </w:r>
      <w:proofErr w:type="spellEnd"/>
      <w:r>
        <w:t xml:space="preserve"> </w:t>
      </w:r>
      <w:proofErr w:type="spellStart"/>
      <w:r>
        <w:t>Jettúa</w:t>
      </w:r>
      <w:proofErr w:type="spellEnd"/>
      <w:r>
        <w:t xml:space="preserve">; vyzývá alžírské orgány, aby nezávislým způsobem vyšetřily všechny případy nepřiměřeného použití násilí členy bezpečnostních sil a aby pachatele pohnaly </w:t>
      </w:r>
      <w:r>
        <w:lastRenderedPageBreak/>
        <w:t>k odpovědnosti;</w:t>
      </w:r>
    </w:p>
    <w:p w:rsidR="00A601E9" w:rsidRPr="00A65965" w:rsidRDefault="00A601E9" w:rsidP="00A601E9">
      <w:pPr>
        <w:pStyle w:val="NormalHanging12a"/>
      </w:pPr>
      <w:r>
        <w:t>7.</w:t>
      </w:r>
      <w:r>
        <w:tab/>
        <w:t>zdůrazňuje, že nezávislé soudnictví je jedním ze základních prvků fungování demokracie, a vyzývá alžírské orgány, aby nezávislost soudnictví podpořily a zajistily;</w:t>
      </w:r>
    </w:p>
    <w:p w:rsidR="00A601E9" w:rsidRPr="00A65965" w:rsidRDefault="00A601E9" w:rsidP="00A601E9">
      <w:pPr>
        <w:pStyle w:val="NormalHanging12a"/>
      </w:pPr>
      <w:r>
        <w:t>8.</w:t>
      </w:r>
      <w:r>
        <w:tab/>
        <w:t>vyzývá Evropskou službou pro vnější činnost, Komisi a členské státy, aby podporovaly skupiny občanské společnosti, obránce lidských práv, novináře a protestující mimo jiné organizováním návštěv ve vězení, sledováním soudních řízení a vydáváním veřejných prohlášení, aby podporovaly výbor alžírské advokátní komory a další organizace, které se zasazují o ochranu lidských práv, a aby bedlivě</w:t>
      </w:r>
      <w:r w:rsidR="00CB143A">
        <w:t xml:space="preserve"> sledovaly stav lidských práv v </w:t>
      </w:r>
      <w:r>
        <w:t>Alžírsku, a to za použití všech dostupných nástrojů, včetně evro</w:t>
      </w:r>
      <w:r w:rsidR="00CB143A">
        <w:t>pského nástroje pro </w:t>
      </w:r>
      <w:r>
        <w:t>demokracii a lidská práva;</w:t>
      </w:r>
    </w:p>
    <w:p w:rsidR="00A601E9" w:rsidRPr="00A65965" w:rsidRDefault="00A601E9" w:rsidP="00A601E9">
      <w:pPr>
        <w:pStyle w:val="NormalHanging12a"/>
      </w:pPr>
      <w:r>
        <w:t>9.</w:t>
      </w:r>
      <w:r>
        <w:tab/>
        <w:t>vyzývá alžírské orgány, aby přezkoumaly zákon 12-06 z roku 2012 o sdružování a aby navázaly skutečný a inkluzivní dialog s organizacemi občanské společnosti s cílem vypracovat nový zákon, který by byl v souladu s mezinárodními normami pro lidská práva a s alžírskou ústavou;</w:t>
      </w:r>
    </w:p>
    <w:p w:rsidR="00A601E9" w:rsidRPr="00A65965" w:rsidRDefault="00A601E9" w:rsidP="001E6867">
      <w:pPr>
        <w:pStyle w:val="NormalHanging12a"/>
      </w:pPr>
      <w:r>
        <w:t>10.</w:t>
      </w:r>
      <w:r>
        <w:tab/>
        <w:t>vyzývá alžírské orgány, aby všem občanům zaručily možnost plně požívat svobody myšlení, svědomí a náboženství či vyznání, kt</w:t>
      </w:r>
      <w:r w:rsidR="001E6867">
        <w:t>erou zaru</w:t>
      </w:r>
      <w:r w:rsidR="00CB143A">
        <w:t>čuje alžírská ústava a </w:t>
      </w:r>
      <w:r>
        <w:t>Mezinárodní pakt o občanských a politických právech;</w:t>
      </w:r>
    </w:p>
    <w:p w:rsidR="00A601E9" w:rsidRPr="00A65965" w:rsidRDefault="00A601E9" w:rsidP="00A601E9">
      <w:pPr>
        <w:pStyle w:val="NormalHanging12a"/>
      </w:pPr>
      <w:r>
        <w:t>11.</w:t>
      </w:r>
      <w:r>
        <w:tab/>
        <w:t>vyjadřuje znepokojení nad administrativními překážkami, s nimiž se v Alžírsku potýkají náboženské menšiny, což se týká zejména výnosu 06-03; vybízí alžírskou vládu, aby přepracovala výnos 06-03 a lépe jej sladila s ústavou a se svými mezinárodními závazky v otázkách lidských práv, zejména s článkem 18 Mez</w:t>
      </w:r>
      <w:r w:rsidR="00CB143A">
        <w:t>inárodního paktu o občanských a </w:t>
      </w:r>
      <w:r>
        <w:t>politických právech;</w:t>
      </w:r>
    </w:p>
    <w:p w:rsidR="00A601E9" w:rsidRPr="00A65965" w:rsidRDefault="00A601E9" w:rsidP="00A601E9">
      <w:pPr>
        <w:pStyle w:val="NormalHanging12a"/>
      </w:pPr>
      <w:r>
        <w:t>12.</w:t>
      </w:r>
      <w:r>
        <w:tab/>
        <w:t xml:space="preserve">oceňuje, že jazyk </w:t>
      </w:r>
      <w:proofErr w:type="spellStart"/>
      <w:r>
        <w:t>tamazight</w:t>
      </w:r>
      <w:proofErr w:type="spellEnd"/>
      <w:r>
        <w:t xml:space="preserve"> byl v roce 2016 uznán </w:t>
      </w:r>
      <w:r w:rsidR="00CB143A">
        <w:t>ústavou jakožto úřední jazyk, a </w:t>
      </w:r>
      <w:r>
        <w:t>vybízí k jeho používání v praxi; vyzývá k okamžitému a bezpodmínečnému propuštění 42 účastníků protestů, kteří byli zadrženi za mávání berberskou vlajkou;</w:t>
      </w:r>
    </w:p>
    <w:p w:rsidR="00A601E9" w:rsidRPr="00A65965" w:rsidRDefault="00A601E9" w:rsidP="00A601E9">
      <w:pPr>
        <w:pStyle w:val="NormalHanging12a"/>
      </w:pPr>
      <w:r>
        <w:t>13.</w:t>
      </w:r>
      <w:r>
        <w:tab/>
        <w:t xml:space="preserve">vyzývá k vyřešení této krize prostřednictvím mírového a inkluzivního politického procesu; je přesvědčen, že demokratické reformy a konstruktivní a inkluzivní dialog zajišťující v Alžírsku politickou, hospodářskou a sociální stabilitu, by mohl být cestou k obnově bohaté Arabské </w:t>
      </w:r>
      <w:proofErr w:type="spellStart"/>
      <w:r>
        <w:t>maghrebské</w:t>
      </w:r>
      <w:proofErr w:type="spellEnd"/>
      <w:r>
        <w:t xml:space="preserve"> unie, která je důležitá pro úspěšnou spolupráci obou stran Středomoří;</w:t>
      </w:r>
    </w:p>
    <w:p w:rsidR="00A601E9" w:rsidRPr="00A65965" w:rsidRDefault="00A601E9" w:rsidP="00A601E9">
      <w:pPr>
        <w:pStyle w:val="NormalHanging12a"/>
      </w:pPr>
      <w:r>
        <w:t>14.</w:t>
      </w:r>
      <w:r>
        <w:tab/>
        <w:t>pověřuje svého předsedu, aby předal toto usnesení místopředsedkyni Komise, vysoké představitelce Unie pro zahraniční věci a bezpečnostní politiku, Radě, Komisi, vládám a parlamentům členských států, delegaci EU v Alžírsku, vládě Alžírska, generálnímu tajemníkovi OSN, Radě OSN pro lidská práva a Radě Evropy.</w:t>
      </w:r>
    </w:p>
    <w:p w:rsidR="00A601E9" w:rsidRPr="00A65965" w:rsidRDefault="00A601E9" w:rsidP="00A601E9">
      <w:pPr>
        <w:pStyle w:val="NormalHanging12a"/>
      </w:pPr>
    </w:p>
    <w:p w:rsidR="00A601E9" w:rsidRPr="00A65965" w:rsidRDefault="00A601E9" w:rsidP="00A601E9">
      <w:pPr>
        <w:pStyle w:val="NormalHanging12a"/>
      </w:pPr>
    </w:p>
    <w:p w:rsidR="00A601E9" w:rsidRPr="00A65965" w:rsidRDefault="00A601E9" w:rsidP="00A601E9">
      <w:pPr>
        <w:widowControl/>
      </w:pPr>
    </w:p>
    <w:p w:rsidR="001B3354" w:rsidRPr="00A0655F" w:rsidRDefault="001B3354" w:rsidP="00A601E9">
      <w:pPr>
        <w:pStyle w:val="NormalHanging12a"/>
      </w:pPr>
    </w:p>
    <w:sectPr w:rsidR="001B3354" w:rsidRPr="00A0655F" w:rsidSect="0096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5F" w:rsidRPr="00A0655F" w:rsidRDefault="00A0655F">
      <w:r w:rsidRPr="00A0655F">
        <w:separator/>
      </w:r>
    </w:p>
  </w:endnote>
  <w:endnote w:type="continuationSeparator" w:id="0">
    <w:p w:rsidR="00A0655F" w:rsidRPr="00A0655F" w:rsidRDefault="00A0655F">
      <w:r w:rsidRPr="00A065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87" w:rsidRPr="00A0655F" w:rsidRDefault="004F3387" w:rsidP="004F3387">
    <w:pPr>
      <w:pStyle w:val="EPFooterRC"/>
    </w:pP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PathFdR</w:t>
    </w:r>
    <w:r w:rsidRPr="00A0655F">
      <w:rPr>
        <w:rStyle w:val="HideTWBExt"/>
        <w:noProof w:val="0"/>
        <w:sz w:val="22"/>
      </w:rPr>
      <w:t>&gt;</w:t>
    </w:r>
    <w:r w:rsidR="004C05BF" w:rsidRPr="004C05BF">
      <w:t>RC\1193865CS.docx</w:t>
    </w:r>
    <w:r w:rsidRPr="00A0655F">
      <w:rPr>
        <w:rStyle w:val="HideTWBExt"/>
        <w:noProof w:val="0"/>
        <w:sz w:val="22"/>
      </w:rPr>
      <w:t>&lt;/</w:t>
    </w:r>
    <w:r w:rsidRPr="00A0655F">
      <w:rPr>
        <w:rStyle w:val="HideTWBExt"/>
        <w:noProof w:val="0"/>
      </w:rPr>
      <w:t>PathFdR</w:t>
    </w:r>
    <w:r w:rsidRPr="00A0655F">
      <w:rPr>
        <w:rStyle w:val="HideTWBExt"/>
        <w:noProof w:val="0"/>
        <w:sz w:val="22"/>
      </w:rPr>
      <w:t>&gt;</w:t>
    </w:r>
    <w:r w:rsidRPr="00A0655F">
      <w:t xml:space="preserve"> </w:t>
    </w:r>
    <w:r w:rsidRPr="00A0655F">
      <w:tab/>
    </w:r>
    <w:r w:rsidR="004C05BF">
      <w:fldChar w:fldCharType="begin"/>
    </w:r>
    <w:r w:rsidR="004C05BF">
      <w:instrText xml:space="preserve"> PAGE  \* MERGEFORMAT </w:instrText>
    </w:r>
    <w:r w:rsidR="004C05BF">
      <w:fldChar w:fldCharType="separate"/>
    </w:r>
    <w:r w:rsidR="00B2765C">
      <w:rPr>
        <w:noProof/>
      </w:rPr>
      <w:t>6</w:t>
    </w:r>
    <w:r w:rsidR="004C05BF">
      <w:fldChar w:fldCharType="end"/>
    </w:r>
    <w:r w:rsidR="004C05BF">
      <w:t>/</w:t>
    </w:r>
    <w:r w:rsidR="000A000E">
      <w:rPr>
        <w:noProof/>
      </w:rPr>
      <w:fldChar w:fldCharType="begin"/>
    </w:r>
    <w:r w:rsidR="000A000E">
      <w:rPr>
        <w:noProof/>
      </w:rPr>
      <w:instrText xml:space="preserve"> NUMPAGES  \* MERGEFORMAT </w:instrText>
    </w:r>
    <w:r w:rsidR="000A000E">
      <w:rPr>
        <w:noProof/>
      </w:rPr>
      <w:fldChar w:fldCharType="separate"/>
    </w:r>
    <w:r w:rsidR="00B2765C">
      <w:rPr>
        <w:noProof/>
      </w:rPr>
      <w:t>8</w:t>
    </w:r>
    <w:r w:rsidR="000A000E">
      <w:rPr>
        <w:noProof/>
      </w:rPr>
      <w:fldChar w:fldCharType="end"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="004C05BF" w:rsidRPr="004C05BF">
      <w:t>643.362</w:t>
    </w:r>
    <w:r w:rsidRPr="00A0655F">
      <w:rPr>
        <w:rStyle w:val="HideTWBExt"/>
        <w:noProof w:val="0"/>
      </w:rPr>
      <w:t>&lt;/NoPE&gt;&lt;Version&gt;</w:t>
    </w:r>
    <w:r w:rsidR="00A0655F" w:rsidRPr="00A0655F">
      <w:t>v</w:t>
    </w:r>
    <w:r w:rsidR="004C05BF"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C05BF" w:rsidRPr="00A0655F" w:rsidRDefault="004C05BF" w:rsidP="004C05BF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Pr="004C05BF">
      <w:t>643.363</w:t>
    </w:r>
    <w:r w:rsidRPr="00A0655F">
      <w:rPr>
        <w:rStyle w:val="HideTWBExt"/>
        <w:noProof w:val="0"/>
      </w:rPr>
      <w:t>&lt;/NoPE&gt;&lt;Version&gt;</w:t>
    </w:r>
    <w:r w:rsidRPr="00A0655F">
      <w:t>v</w:t>
    </w:r>
    <w:r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C05BF" w:rsidRPr="00A0655F" w:rsidRDefault="004C05BF" w:rsidP="004C05BF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Pr="004C05BF">
      <w:t>643.365</w:t>
    </w:r>
    <w:r w:rsidRPr="00A0655F">
      <w:rPr>
        <w:rStyle w:val="HideTWBExt"/>
        <w:noProof w:val="0"/>
      </w:rPr>
      <w:t>&lt;/NoPE&gt;&lt;Version&gt;</w:t>
    </w:r>
    <w:r w:rsidRPr="00A0655F">
      <w:t>v</w:t>
    </w:r>
    <w:r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F3387" w:rsidRPr="00A0655F" w:rsidRDefault="004F3387" w:rsidP="004F3387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="004C05BF" w:rsidRPr="004C05BF">
      <w:t>643.368</w:t>
    </w:r>
    <w:r w:rsidRPr="00A0655F">
      <w:rPr>
        <w:rStyle w:val="HideTWBExt"/>
        <w:noProof w:val="0"/>
      </w:rPr>
      <w:t>&lt;/NoPE&gt;&lt;Version&gt;</w:t>
    </w:r>
    <w:r w:rsidR="00A0655F" w:rsidRPr="00A0655F">
      <w:t>v</w:t>
    </w:r>
    <w:r w:rsidR="004C05BF"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 RC1</w:t>
    </w:r>
  </w:p>
  <w:p w:rsidR="00626D73" w:rsidRPr="00A0655F" w:rsidRDefault="00626D73" w:rsidP="00D62D4B">
    <w:pPr>
      <w:pStyle w:val="EPFooter2"/>
    </w:pPr>
    <w:r w:rsidRPr="00A0655F">
      <w:fldChar w:fldCharType="begin"/>
    </w:r>
    <w:r w:rsidRPr="00A0655F">
      <w:instrText xml:space="preserve"> DOCPROPERTY "&lt;Extension&gt;"</w:instrText>
    </w:r>
    <w:r w:rsidRPr="00A0655F">
      <w:fldChar w:fldCharType="separate"/>
    </w:r>
    <w:r w:rsidR="00A601E9">
      <w:t>CS</w:t>
    </w:r>
    <w:r w:rsidRPr="00A065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87" w:rsidRPr="00A0655F" w:rsidRDefault="004F3387" w:rsidP="004F3387">
    <w:pPr>
      <w:pStyle w:val="EPFooterRC"/>
    </w:pP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PathFdR</w:t>
    </w:r>
    <w:r w:rsidRPr="00A0655F">
      <w:rPr>
        <w:rStyle w:val="HideTWBExt"/>
        <w:noProof w:val="0"/>
        <w:sz w:val="22"/>
      </w:rPr>
      <w:t>&gt;</w:t>
    </w:r>
    <w:r w:rsidR="004C05BF" w:rsidRPr="004C05BF">
      <w:t>RC\1193865CS.docx</w:t>
    </w:r>
    <w:r w:rsidRPr="00A0655F">
      <w:rPr>
        <w:rStyle w:val="HideTWBExt"/>
        <w:noProof w:val="0"/>
        <w:sz w:val="22"/>
      </w:rPr>
      <w:t>&lt;/</w:t>
    </w:r>
    <w:r w:rsidRPr="00A0655F">
      <w:rPr>
        <w:rStyle w:val="HideTWBExt"/>
        <w:noProof w:val="0"/>
      </w:rPr>
      <w:t>PathFdR</w:t>
    </w:r>
    <w:r w:rsidRPr="00A0655F">
      <w:rPr>
        <w:rStyle w:val="HideTWBExt"/>
        <w:noProof w:val="0"/>
        <w:sz w:val="22"/>
      </w:rPr>
      <w:t>&gt;</w:t>
    </w:r>
    <w:r w:rsidRPr="00A0655F">
      <w:t xml:space="preserve"> </w:t>
    </w:r>
    <w:r w:rsidRPr="00A0655F">
      <w:tab/>
    </w:r>
    <w:r w:rsidR="004C05BF">
      <w:fldChar w:fldCharType="begin"/>
    </w:r>
    <w:r w:rsidR="004C05BF">
      <w:instrText xml:space="preserve"> PAGE  \* MERGEFORMAT </w:instrText>
    </w:r>
    <w:r w:rsidR="004C05BF">
      <w:fldChar w:fldCharType="separate"/>
    </w:r>
    <w:r w:rsidR="00B2765C">
      <w:rPr>
        <w:noProof/>
      </w:rPr>
      <w:t>7</w:t>
    </w:r>
    <w:r w:rsidR="004C05BF">
      <w:fldChar w:fldCharType="end"/>
    </w:r>
    <w:r w:rsidR="004C05BF">
      <w:t>/</w:t>
    </w:r>
    <w:r w:rsidR="000A000E">
      <w:rPr>
        <w:noProof/>
      </w:rPr>
      <w:fldChar w:fldCharType="begin"/>
    </w:r>
    <w:r w:rsidR="000A000E">
      <w:rPr>
        <w:noProof/>
      </w:rPr>
      <w:instrText xml:space="preserve"> NUMPAGES  \* MERGEFORMAT </w:instrText>
    </w:r>
    <w:r w:rsidR="000A000E">
      <w:rPr>
        <w:noProof/>
      </w:rPr>
      <w:fldChar w:fldCharType="separate"/>
    </w:r>
    <w:r w:rsidR="00B2765C">
      <w:rPr>
        <w:noProof/>
      </w:rPr>
      <w:t>8</w:t>
    </w:r>
    <w:r w:rsidR="000A000E">
      <w:rPr>
        <w:noProof/>
      </w:rPr>
      <w:fldChar w:fldCharType="end"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="004C05BF" w:rsidRPr="004C05BF">
      <w:t>643.362</w:t>
    </w:r>
    <w:r w:rsidRPr="00A0655F">
      <w:rPr>
        <w:rStyle w:val="HideTWBExt"/>
        <w:noProof w:val="0"/>
      </w:rPr>
      <w:t>&lt;/NoPE&gt;&lt;Version&gt;</w:t>
    </w:r>
    <w:r w:rsidR="00A0655F" w:rsidRPr="00A0655F">
      <w:t>v</w:t>
    </w:r>
    <w:r w:rsidR="004C05BF"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C05BF" w:rsidRPr="00A0655F" w:rsidRDefault="004C05BF" w:rsidP="004C05BF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Pr="004C05BF">
      <w:t>643.363</w:t>
    </w:r>
    <w:r w:rsidRPr="00A0655F">
      <w:rPr>
        <w:rStyle w:val="HideTWBExt"/>
        <w:noProof w:val="0"/>
      </w:rPr>
      <w:t>&lt;/NoPE&gt;&lt;Version&gt;</w:t>
    </w:r>
    <w:r w:rsidRPr="00A0655F">
      <w:t>v</w:t>
    </w:r>
    <w:r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C05BF" w:rsidRPr="00A0655F" w:rsidRDefault="004C05BF" w:rsidP="004C05BF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Pr="004C05BF">
      <w:t>643.365</w:t>
    </w:r>
    <w:r w:rsidRPr="00A0655F">
      <w:rPr>
        <w:rStyle w:val="HideTWBExt"/>
        <w:noProof w:val="0"/>
      </w:rPr>
      <w:t>&lt;/NoPE&gt;&lt;Version&gt;</w:t>
    </w:r>
    <w:r w:rsidRPr="00A0655F">
      <w:t>v</w:t>
    </w:r>
    <w:r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F3387" w:rsidRPr="00A0655F" w:rsidRDefault="004F3387" w:rsidP="004F3387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="004C05BF" w:rsidRPr="004C05BF">
      <w:t>643.368</w:t>
    </w:r>
    <w:r w:rsidRPr="00A0655F">
      <w:rPr>
        <w:rStyle w:val="HideTWBExt"/>
        <w:noProof w:val="0"/>
      </w:rPr>
      <w:t>&lt;/NoPE&gt;&lt;Version&gt;</w:t>
    </w:r>
    <w:r w:rsidR="00A0655F" w:rsidRPr="00A0655F">
      <w:t>v</w:t>
    </w:r>
    <w:r w:rsidR="004C05BF"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 RC1</w:t>
    </w:r>
  </w:p>
  <w:p w:rsidR="00626D73" w:rsidRPr="00A0655F" w:rsidRDefault="007F34BD" w:rsidP="00E2703B">
    <w:pPr>
      <w:pStyle w:val="EPFooter2"/>
      <w:ind w:left="-851" w:right="-851"/>
    </w:pPr>
    <w:r w:rsidRPr="00A0655F">
      <w:tab/>
    </w:r>
    <w:r w:rsidR="00626D73" w:rsidRPr="00A0655F">
      <w:tab/>
    </w:r>
    <w:r w:rsidR="0001776E" w:rsidRPr="00A0655F">
      <w:fldChar w:fldCharType="begin"/>
    </w:r>
    <w:r w:rsidR="0001776E" w:rsidRPr="00A0655F">
      <w:instrText xml:space="preserve"> DOCPROPERTY "&lt;Extension&gt;" </w:instrText>
    </w:r>
    <w:r w:rsidR="0001776E" w:rsidRPr="00A0655F">
      <w:fldChar w:fldCharType="separate"/>
    </w:r>
    <w:r w:rsidR="00A601E9">
      <w:t>CS</w:t>
    </w:r>
    <w:r w:rsidR="0001776E" w:rsidRPr="00A0655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73" w:rsidRPr="00A0655F" w:rsidRDefault="00626D73" w:rsidP="008A7EA4">
    <w:pPr>
      <w:pStyle w:val="EPFooterRC"/>
    </w:pP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PathFdR</w:t>
    </w:r>
    <w:r w:rsidRPr="00A0655F">
      <w:rPr>
        <w:rStyle w:val="HideTWBExt"/>
        <w:noProof w:val="0"/>
        <w:sz w:val="22"/>
      </w:rPr>
      <w:t>&gt;</w:t>
    </w:r>
    <w:r w:rsidR="004C05BF" w:rsidRPr="004C05BF">
      <w:t>RC\1193865CS.docx</w:t>
    </w:r>
    <w:r w:rsidRPr="00A0655F">
      <w:rPr>
        <w:rStyle w:val="HideTWBExt"/>
        <w:noProof w:val="0"/>
        <w:sz w:val="22"/>
      </w:rPr>
      <w:t>&lt;/</w:t>
    </w:r>
    <w:r w:rsidRPr="00A0655F">
      <w:rPr>
        <w:rStyle w:val="HideTWBExt"/>
        <w:noProof w:val="0"/>
      </w:rPr>
      <w:t>PathFdR</w:t>
    </w:r>
    <w:r w:rsidRPr="00A0655F">
      <w:rPr>
        <w:rStyle w:val="HideTWBExt"/>
        <w:noProof w:val="0"/>
        <w:sz w:val="22"/>
      </w:rPr>
      <w:t>&gt;</w:t>
    </w:r>
    <w:r w:rsidRPr="00A0655F">
      <w:t xml:space="preserve"> </w:t>
    </w:r>
    <w:r w:rsidR="00E2703B"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="004C05BF" w:rsidRPr="004C05BF">
      <w:t>643.362</w:t>
    </w:r>
    <w:r w:rsidRPr="00A0655F">
      <w:rPr>
        <w:rStyle w:val="HideTWBExt"/>
        <w:noProof w:val="0"/>
      </w:rPr>
      <w:t>&lt;/NoPE&gt;&lt;Version&gt;</w:t>
    </w:r>
    <w:r w:rsidR="00A0655F" w:rsidRPr="00A0655F">
      <w:t>v</w:t>
    </w:r>
    <w:r w:rsidR="004C05BF"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C05BF" w:rsidRPr="00A0655F" w:rsidRDefault="004C05BF" w:rsidP="004C05BF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Pr="004C05BF">
      <w:t>643.363</w:t>
    </w:r>
    <w:r w:rsidRPr="00A0655F">
      <w:rPr>
        <w:rStyle w:val="HideTWBExt"/>
        <w:noProof w:val="0"/>
      </w:rPr>
      <w:t>&lt;/NoPE&gt;&lt;Version&gt;</w:t>
    </w:r>
    <w:r w:rsidRPr="00A0655F">
      <w:t>v</w:t>
    </w:r>
    <w:r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4C05BF" w:rsidRPr="00A0655F" w:rsidRDefault="004C05BF" w:rsidP="004C05BF">
    <w:pPr>
      <w:pStyle w:val="EPFooterRC"/>
    </w:pPr>
    <w:r w:rsidRPr="00A0655F">
      <w:tab/>
    </w:r>
    <w:r w:rsidRPr="00A0655F">
      <w:tab/>
      <w:t>PE</w:t>
    </w:r>
    <w:r w:rsidRPr="00A0655F">
      <w:rPr>
        <w:rStyle w:val="HideTWBExt"/>
        <w:noProof w:val="0"/>
        <w:sz w:val="22"/>
      </w:rPr>
      <w:t>&lt;</w:t>
    </w:r>
    <w:r w:rsidRPr="00A0655F">
      <w:rPr>
        <w:rStyle w:val="HideTWBExt"/>
        <w:noProof w:val="0"/>
      </w:rPr>
      <w:t>NoPE&gt;</w:t>
    </w:r>
    <w:r w:rsidRPr="004C05BF">
      <w:t>643.365</w:t>
    </w:r>
    <w:r w:rsidRPr="00A0655F">
      <w:rPr>
        <w:rStyle w:val="HideTWBExt"/>
        <w:noProof w:val="0"/>
      </w:rPr>
      <w:t>&lt;/NoPE&gt;&lt;Version&gt;</w:t>
    </w:r>
    <w:r w:rsidRPr="00A0655F">
      <w:t>v</w:t>
    </w:r>
    <w:r w:rsidRPr="004C05BF">
      <w:t>01-00</w:t>
    </w:r>
    <w:r w:rsidRPr="00A0655F">
      <w:rPr>
        <w:rStyle w:val="HideTWBExt"/>
        <w:noProof w:val="0"/>
      </w:rPr>
      <w:t>&lt;/Version</w:t>
    </w:r>
    <w:r w:rsidRPr="00A0655F">
      <w:rPr>
        <w:rStyle w:val="HideTWBExt"/>
        <w:noProof w:val="0"/>
        <w:sz w:val="22"/>
      </w:rPr>
      <w:t>&gt;</w:t>
    </w:r>
    <w:r w:rsidRPr="00A0655F">
      <w:t xml:space="preserve"> }</w:t>
    </w:r>
  </w:p>
  <w:p w:rsidR="00626D73" w:rsidRPr="00A0655F" w:rsidRDefault="00E2703B" w:rsidP="00E2703B">
    <w:pPr>
      <w:pStyle w:val="EPFooterRC"/>
    </w:pPr>
    <w:r w:rsidRPr="00A0655F">
      <w:tab/>
    </w:r>
    <w:r w:rsidR="00626D73" w:rsidRPr="00A0655F">
      <w:tab/>
      <w:t>PE</w:t>
    </w:r>
    <w:r w:rsidR="00626D73" w:rsidRPr="00A0655F">
      <w:rPr>
        <w:rStyle w:val="HideTWBExt"/>
        <w:noProof w:val="0"/>
        <w:sz w:val="22"/>
      </w:rPr>
      <w:t>&lt;</w:t>
    </w:r>
    <w:r w:rsidR="00626D73" w:rsidRPr="00A0655F">
      <w:rPr>
        <w:rStyle w:val="HideTWBExt"/>
        <w:noProof w:val="0"/>
      </w:rPr>
      <w:t>NoPE&gt;</w:t>
    </w:r>
    <w:r w:rsidR="004C05BF" w:rsidRPr="004C05BF">
      <w:t>643.368</w:t>
    </w:r>
    <w:r w:rsidR="00626D73" w:rsidRPr="00A0655F">
      <w:rPr>
        <w:rStyle w:val="HideTWBExt"/>
        <w:noProof w:val="0"/>
      </w:rPr>
      <w:t>&lt;/NoPE&gt;&lt;Version&gt;</w:t>
    </w:r>
    <w:r w:rsidR="00A0655F" w:rsidRPr="00A0655F">
      <w:t>v</w:t>
    </w:r>
    <w:r w:rsidR="004C05BF" w:rsidRPr="004C05BF">
      <w:t>01-00</w:t>
    </w:r>
    <w:r w:rsidR="00626D73" w:rsidRPr="00A0655F">
      <w:rPr>
        <w:rStyle w:val="HideTWBExt"/>
        <w:noProof w:val="0"/>
      </w:rPr>
      <w:t>&lt;/Version</w:t>
    </w:r>
    <w:r w:rsidR="00626D73" w:rsidRPr="00A0655F">
      <w:rPr>
        <w:rStyle w:val="HideTWBExt"/>
        <w:noProof w:val="0"/>
        <w:sz w:val="22"/>
      </w:rPr>
      <w:t>&gt;</w:t>
    </w:r>
    <w:r w:rsidR="00626D73" w:rsidRPr="00A0655F">
      <w:t xml:space="preserve"> } RC1</w:t>
    </w:r>
  </w:p>
  <w:p w:rsidR="00626D73" w:rsidRPr="00A0655F" w:rsidRDefault="0001776E" w:rsidP="007F34BD">
    <w:pPr>
      <w:pStyle w:val="EPFooter2"/>
      <w:tabs>
        <w:tab w:val="clear" w:pos="4535"/>
        <w:tab w:val="left" w:pos="3405"/>
        <w:tab w:val="center" w:pos="4536"/>
      </w:tabs>
    </w:pPr>
    <w:r w:rsidRPr="00A0655F">
      <w:fldChar w:fldCharType="begin"/>
    </w:r>
    <w:r w:rsidRPr="00A0655F">
      <w:instrText xml:space="preserve"> DOCPROPERTY "&lt;Extension&gt;" </w:instrText>
    </w:r>
    <w:r w:rsidRPr="00A0655F">
      <w:fldChar w:fldCharType="separate"/>
    </w:r>
    <w:r w:rsidR="00A601E9">
      <w:t>CS</w:t>
    </w:r>
    <w:r w:rsidRPr="00A0655F">
      <w:fldChar w:fldCharType="end"/>
    </w:r>
    <w:r w:rsidR="00626D73" w:rsidRPr="00A0655F">
      <w:tab/>
    </w:r>
    <w:r w:rsidR="004C05BF">
      <w:rPr>
        <w:b w:val="0"/>
        <w:i/>
        <w:color w:val="C0C0C0"/>
        <w:sz w:val="22"/>
        <w:szCs w:val="22"/>
      </w:rPr>
      <w:t>Jednotná v rozmanitosti</w:t>
    </w:r>
    <w:r w:rsidR="00626D73" w:rsidRPr="00A0655F">
      <w:tab/>
    </w:r>
    <w:r w:rsidRPr="00A0655F">
      <w:fldChar w:fldCharType="begin"/>
    </w:r>
    <w:r w:rsidRPr="00A0655F">
      <w:instrText xml:space="preserve"> DOCPROPERTY "&lt;Extension&gt;" </w:instrText>
    </w:r>
    <w:r w:rsidRPr="00A0655F">
      <w:fldChar w:fldCharType="separate"/>
    </w:r>
    <w:r w:rsidR="00A601E9">
      <w:t>CS</w:t>
    </w:r>
    <w:r w:rsidRPr="00A065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5F" w:rsidRPr="00A0655F" w:rsidRDefault="00A0655F">
      <w:r w:rsidRPr="00A0655F">
        <w:separator/>
      </w:r>
    </w:p>
  </w:footnote>
  <w:footnote w:type="continuationSeparator" w:id="0">
    <w:p w:rsidR="00A0655F" w:rsidRPr="00A0655F" w:rsidRDefault="00A0655F">
      <w:r w:rsidRPr="00A0655F">
        <w:continuationSeparator/>
      </w:r>
    </w:p>
  </w:footnote>
  <w:footnote w:id="1">
    <w:p w:rsidR="000A000E" w:rsidRPr="00956DED" w:rsidRDefault="000A000E" w:rsidP="000A000E">
      <w:pPr>
        <w:pStyle w:val="FootnoteText"/>
      </w:pPr>
      <w:r>
        <w:rPr>
          <w:rStyle w:val="FootnoteReference"/>
        </w:rPr>
        <w:footnoteRef/>
      </w:r>
      <w:r>
        <w:t xml:space="preserve"> Úř. věst. C 346, 21.9.2016, s. 106.</w:t>
      </w:r>
    </w:p>
  </w:footnote>
  <w:footnote w:id="2">
    <w:p w:rsidR="000A000E" w:rsidRPr="00956DED" w:rsidRDefault="000A000E" w:rsidP="000A00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Přijaté</w:t>
      </w:r>
      <w:proofErr w:type="spellEnd"/>
      <w:r>
        <w:t xml:space="preserve"> </w:t>
      </w:r>
      <w:proofErr w:type="spellStart"/>
      <w:r>
        <w:t>texty</w:t>
      </w:r>
      <w:proofErr w:type="spellEnd"/>
      <w:r>
        <w:t>, P8_TA(2019)0318.</w:t>
      </w:r>
    </w:p>
  </w:footnote>
  <w:footnote w:id="3">
    <w:p w:rsidR="000A000E" w:rsidRPr="00956DED" w:rsidRDefault="000A000E" w:rsidP="000A000E">
      <w:pPr>
        <w:pStyle w:val="FootnoteText"/>
      </w:pPr>
      <w:r>
        <w:rPr>
          <w:rStyle w:val="FootnoteReference"/>
        </w:rPr>
        <w:footnoteRef/>
      </w:r>
      <w:r>
        <w:t xml:space="preserve"> Úř. věst. L 265, 10.10. 2005, s.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E9" w:rsidRDefault="00A60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E9" w:rsidRDefault="00A60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E9" w:rsidRDefault="00A60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MYVAR1" w:val="3"/>
    <w:docVar w:name="NVAR1" w:val="3"/>
    <w:docVar w:name="NVAR2" w:val="3"/>
    <w:docVar w:name="RULEMNU" w:val=" 5"/>
    <w:docVar w:name="strDocTypeID" w:val="RC"/>
    <w:docVar w:name="strSubDir" w:val="1193"/>
    <w:docVar w:name="TABLERMNU" w:val=" 1"/>
    <w:docVar w:name="TXTLANGUE" w:val="CS"/>
    <w:docVar w:name="TXTLANGUEMIN" w:val="cs"/>
    <w:docVar w:name="TXTNRB1" w:val="0193/2019"/>
    <w:docVar w:name="TXTNRB2" w:val="0194/2019"/>
    <w:docVar w:name="TXTNRB3" w:val="0196/2019"/>
    <w:docVar w:name="TXTNRB4" w:val="0199/2019"/>
    <w:docVar w:name="TXTNRPE1" w:val="643.362"/>
    <w:docVar w:name="TXTNRPE2" w:val="643.363"/>
    <w:docVar w:name="TXTNRPE3" w:val="643.365"/>
    <w:docVar w:name="TXTNRPE4" w:val="643.368"/>
    <w:docVar w:name="TXTNRRSP" w:val="2019/2927"/>
    <w:docVar w:name="TXTROUTE" w:val="RC\1193865CS.docx"/>
    <w:docVar w:name="TXTTITLE" w:val="on the situation of freedoms in Algeria "/>
    <w:docVar w:name="TXTVERSION1" w:val="01-00"/>
    <w:docVar w:name="TXTVERSION2" w:val="01-00"/>
    <w:docVar w:name="TXTVERSION3" w:val="01-00"/>
    <w:docVar w:name="TXTVERSION4" w:val="01-00"/>
  </w:docVars>
  <w:rsids>
    <w:rsidRoot w:val="00A0655F"/>
    <w:rsid w:val="00005903"/>
    <w:rsid w:val="0001465F"/>
    <w:rsid w:val="0001776E"/>
    <w:rsid w:val="0008467F"/>
    <w:rsid w:val="000A000E"/>
    <w:rsid w:val="000B3501"/>
    <w:rsid w:val="000B4B40"/>
    <w:rsid w:val="00177088"/>
    <w:rsid w:val="001816C4"/>
    <w:rsid w:val="00184B3E"/>
    <w:rsid w:val="001A5F93"/>
    <w:rsid w:val="001B3354"/>
    <w:rsid w:val="001D4223"/>
    <w:rsid w:val="001E6867"/>
    <w:rsid w:val="001E6953"/>
    <w:rsid w:val="002439D4"/>
    <w:rsid w:val="00250797"/>
    <w:rsid w:val="00251355"/>
    <w:rsid w:val="00263A64"/>
    <w:rsid w:val="002A2B62"/>
    <w:rsid w:val="002C4BC5"/>
    <w:rsid w:val="002E2D08"/>
    <w:rsid w:val="00335275"/>
    <w:rsid w:val="00342C03"/>
    <w:rsid w:val="003441B1"/>
    <w:rsid w:val="003957F5"/>
    <w:rsid w:val="003B03C1"/>
    <w:rsid w:val="003D73AC"/>
    <w:rsid w:val="00407A72"/>
    <w:rsid w:val="00440589"/>
    <w:rsid w:val="00445AC8"/>
    <w:rsid w:val="00486CC2"/>
    <w:rsid w:val="00493197"/>
    <w:rsid w:val="004C05BF"/>
    <w:rsid w:val="004D5831"/>
    <w:rsid w:val="004E13DA"/>
    <w:rsid w:val="004E563D"/>
    <w:rsid w:val="004F3387"/>
    <w:rsid w:val="004F500E"/>
    <w:rsid w:val="00503B5F"/>
    <w:rsid w:val="00505571"/>
    <w:rsid w:val="00512790"/>
    <w:rsid w:val="00514C31"/>
    <w:rsid w:val="00530503"/>
    <w:rsid w:val="00550D1B"/>
    <w:rsid w:val="00554F5C"/>
    <w:rsid w:val="005832F3"/>
    <w:rsid w:val="00584E73"/>
    <w:rsid w:val="0059417F"/>
    <w:rsid w:val="005B55C9"/>
    <w:rsid w:val="005C13B8"/>
    <w:rsid w:val="005D1F88"/>
    <w:rsid w:val="005E607B"/>
    <w:rsid w:val="005F6A25"/>
    <w:rsid w:val="00600326"/>
    <w:rsid w:val="00623B7A"/>
    <w:rsid w:val="00626D73"/>
    <w:rsid w:val="006612B5"/>
    <w:rsid w:val="00676484"/>
    <w:rsid w:val="006F5830"/>
    <w:rsid w:val="00747149"/>
    <w:rsid w:val="00752855"/>
    <w:rsid w:val="00762DD4"/>
    <w:rsid w:val="00763757"/>
    <w:rsid w:val="00774F74"/>
    <w:rsid w:val="007C394B"/>
    <w:rsid w:val="007C665E"/>
    <w:rsid w:val="007D35C5"/>
    <w:rsid w:val="007E7F10"/>
    <w:rsid w:val="007F34BD"/>
    <w:rsid w:val="007F7251"/>
    <w:rsid w:val="0082552A"/>
    <w:rsid w:val="008803A8"/>
    <w:rsid w:val="008A7EA4"/>
    <w:rsid w:val="008B04F8"/>
    <w:rsid w:val="008B59C9"/>
    <w:rsid w:val="008F76C4"/>
    <w:rsid w:val="00905E62"/>
    <w:rsid w:val="009219DC"/>
    <w:rsid w:val="00926E4D"/>
    <w:rsid w:val="00931119"/>
    <w:rsid w:val="009418D7"/>
    <w:rsid w:val="00966C5C"/>
    <w:rsid w:val="00967F3D"/>
    <w:rsid w:val="00973878"/>
    <w:rsid w:val="0099390C"/>
    <w:rsid w:val="009A7211"/>
    <w:rsid w:val="009D33CF"/>
    <w:rsid w:val="009F04D0"/>
    <w:rsid w:val="00A01E41"/>
    <w:rsid w:val="00A0655F"/>
    <w:rsid w:val="00A30C33"/>
    <w:rsid w:val="00A530DF"/>
    <w:rsid w:val="00A601E9"/>
    <w:rsid w:val="00A72F04"/>
    <w:rsid w:val="00A83D42"/>
    <w:rsid w:val="00AA1D6D"/>
    <w:rsid w:val="00AB70B2"/>
    <w:rsid w:val="00B011CF"/>
    <w:rsid w:val="00B15782"/>
    <w:rsid w:val="00B2765C"/>
    <w:rsid w:val="00B47668"/>
    <w:rsid w:val="00B602BC"/>
    <w:rsid w:val="00BB330A"/>
    <w:rsid w:val="00BD1A6A"/>
    <w:rsid w:val="00BE0288"/>
    <w:rsid w:val="00C21478"/>
    <w:rsid w:val="00C55061"/>
    <w:rsid w:val="00C600AE"/>
    <w:rsid w:val="00CA2FB9"/>
    <w:rsid w:val="00CB143A"/>
    <w:rsid w:val="00CB6B3F"/>
    <w:rsid w:val="00CC3262"/>
    <w:rsid w:val="00CF6A5D"/>
    <w:rsid w:val="00D32298"/>
    <w:rsid w:val="00D57C45"/>
    <w:rsid w:val="00D62D4B"/>
    <w:rsid w:val="00D74E06"/>
    <w:rsid w:val="00D92BB5"/>
    <w:rsid w:val="00DE63BF"/>
    <w:rsid w:val="00E0455F"/>
    <w:rsid w:val="00E2703B"/>
    <w:rsid w:val="00E3396B"/>
    <w:rsid w:val="00E42051"/>
    <w:rsid w:val="00E504B7"/>
    <w:rsid w:val="00E967DB"/>
    <w:rsid w:val="00EC024A"/>
    <w:rsid w:val="00F25968"/>
    <w:rsid w:val="00F849BF"/>
    <w:rsid w:val="00F9224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C4D0D9-ED06-4791-BBB3-7200B62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51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8B59C9"/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CoverNormal12a">
    <w:name w:val="CoverNormal12a"/>
    <w:basedOn w:val="Normal"/>
    <w:rsid w:val="00A530DF"/>
    <w:pPr>
      <w:spacing w:after="240"/>
      <w:ind w:left="1418"/>
    </w:pPr>
  </w:style>
  <w:style w:type="paragraph" w:customStyle="1" w:styleId="CoverNormal24a">
    <w:name w:val="CoverNormal24a"/>
    <w:basedOn w:val="Normal"/>
    <w:rsid w:val="005D1F88"/>
    <w:pPr>
      <w:spacing w:after="480"/>
      <w:ind w:left="1417"/>
    </w:pPr>
  </w:style>
  <w:style w:type="paragraph" w:customStyle="1" w:styleId="NormalHanging12a">
    <w:name w:val="NormalHanging12a"/>
    <w:basedOn w:val="Normal"/>
    <w:link w:val="NormalHanging12aChar"/>
    <w:rsid w:val="000B3501"/>
    <w:pPr>
      <w:spacing w:after="240"/>
      <w:ind w:left="567" w:hanging="567"/>
    </w:pPr>
  </w:style>
  <w:style w:type="paragraph" w:customStyle="1" w:styleId="CoverDocType24a">
    <w:name w:val="CoverDocType24a"/>
    <w:basedOn w:val="Normal"/>
    <w:rsid w:val="007D35C5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440589"/>
    <w:pPr>
      <w:tabs>
        <w:tab w:val="center" w:pos="4513"/>
        <w:tab w:val="right" w:pos="9026"/>
      </w:tabs>
    </w:pPr>
  </w:style>
  <w:style w:type="paragraph" w:customStyle="1" w:styleId="CoverReferenceRC">
    <w:name w:val="CoverReferenceRC"/>
    <w:basedOn w:val="Normal"/>
    <w:rsid w:val="007D35C5"/>
    <w:pPr>
      <w:tabs>
        <w:tab w:val="left" w:pos="6804"/>
      </w:tabs>
    </w:pPr>
    <w:rPr>
      <w:rFonts w:ascii="Arial" w:hAnsi="Arial"/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75285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D35C5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CoverBold">
    <w:name w:val="CoverBold"/>
    <w:basedOn w:val="Normal"/>
    <w:rsid w:val="007E7F10"/>
    <w:pPr>
      <w:ind w:left="1417"/>
    </w:pPr>
    <w:rPr>
      <w:b/>
    </w:rPr>
  </w:style>
  <w:style w:type="paragraph" w:customStyle="1" w:styleId="EPName">
    <w:name w:val="EPName"/>
    <w:basedOn w:val="Normal"/>
    <w:rsid w:val="00CA2FB9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CoverDate">
    <w:name w:val="CoverDate"/>
    <w:basedOn w:val="Normal"/>
    <w:rsid w:val="00600326"/>
    <w:pPr>
      <w:spacing w:before="240" w:after="1200"/>
    </w:pPr>
  </w:style>
  <w:style w:type="paragraph" w:customStyle="1" w:styleId="CoverNormal">
    <w:name w:val="CoverNormal"/>
    <w:basedOn w:val="Normal"/>
    <w:rsid w:val="007E7F10"/>
    <w:pPr>
      <w:ind w:left="1418"/>
    </w:pPr>
  </w:style>
  <w:style w:type="paragraph" w:customStyle="1" w:styleId="EPFooterRC">
    <w:name w:val="EPFooterRC"/>
    <w:basedOn w:val="Normal"/>
    <w:rsid w:val="00E2703B"/>
    <w:pPr>
      <w:tabs>
        <w:tab w:val="center" w:pos="4535"/>
        <w:tab w:val="left" w:pos="6662"/>
      </w:tabs>
    </w:pPr>
    <w:rPr>
      <w:sz w:val="22"/>
    </w:rPr>
  </w:style>
  <w:style w:type="paragraph" w:customStyle="1" w:styleId="EPComma">
    <w:name w:val="EPComma"/>
    <w:basedOn w:val="Normal"/>
    <w:rsid w:val="00600326"/>
    <w:pPr>
      <w:spacing w:before="480" w:after="240"/>
    </w:pPr>
  </w:style>
  <w:style w:type="character" w:customStyle="1" w:styleId="HeaderChar">
    <w:name w:val="Header Char"/>
    <w:basedOn w:val="DefaultParagraphFont"/>
    <w:link w:val="Header"/>
    <w:semiHidden/>
    <w:rsid w:val="00440589"/>
    <w:rPr>
      <w:sz w:val="24"/>
    </w:rPr>
  </w:style>
  <w:style w:type="character" w:customStyle="1" w:styleId="e24kjd">
    <w:name w:val="e24kjd"/>
    <w:basedOn w:val="DefaultParagraphFont"/>
    <w:rsid w:val="004C05BF"/>
  </w:style>
  <w:style w:type="character" w:styleId="Strong">
    <w:name w:val="Strong"/>
    <w:basedOn w:val="DefaultParagraphFont"/>
    <w:qFormat/>
    <w:rsid w:val="004C05BF"/>
    <w:rPr>
      <w:b/>
      <w:bCs/>
    </w:rPr>
  </w:style>
  <w:style w:type="character" w:styleId="Emphasis">
    <w:name w:val="Emphasis"/>
    <w:basedOn w:val="DefaultParagraphFont"/>
    <w:uiPriority w:val="20"/>
    <w:qFormat/>
    <w:rsid w:val="004C05BF"/>
    <w:rPr>
      <w:rFonts w:asciiTheme="minorHAnsi" w:hAnsiTheme="minorHAnsi"/>
      <w:b/>
      <w:i/>
      <w:iCs/>
    </w:rPr>
  </w:style>
  <w:style w:type="character" w:customStyle="1" w:styleId="EmphasisA">
    <w:name w:val="Emphasis A"/>
    <w:rsid w:val="004C05BF"/>
    <w:rPr>
      <w:rFonts w:ascii="Times New Roman" w:hAnsi="Times New Roman" w:cs="Times New Roman" w:hint="default"/>
      <w:i/>
      <w:iCs/>
      <w:lang w:val="en-GB"/>
    </w:rPr>
  </w:style>
  <w:style w:type="character" w:customStyle="1" w:styleId="st1">
    <w:name w:val="st1"/>
    <w:basedOn w:val="DefaultParagraphFont"/>
    <w:rsid w:val="004C05BF"/>
  </w:style>
  <w:style w:type="paragraph" w:styleId="FootnoteText">
    <w:name w:val="footnote text"/>
    <w:basedOn w:val="Normal"/>
    <w:link w:val="FootnoteTextChar"/>
    <w:rsid w:val="004C05BF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C05BF"/>
  </w:style>
  <w:style w:type="character" w:styleId="FootnoteReference">
    <w:name w:val="footnote reference"/>
    <w:basedOn w:val="DefaultParagraphFont"/>
    <w:rsid w:val="004C05BF"/>
    <w:rPr>
      <w:vertAlign w:val="superscript"/>
    </w:rPr>
  </w:style>
  <w:style w:type="paragraph" w:styleId="Footer">
    <w:name w:val="footer"/>
    <w:basedOn w:val="Normal"/>
    <w:link w:val="FooterChar"/>
    <w:semiHidden/>
    <w:unhideWhenUsed/>
    <w:rsid w:val="004C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C05BF"/>
    <w:rPr>
      <w:sz w:val="24"/>
      <w:lang w:val="cs-CZ"/>
    </w:rPr>
  </w:style>
  <w:style w:type="character" w:customStyle="1" w:styleId="NormalHanging12aChar">
    <w:name w:val="NormalHanging12a Char"/>
    <w:basedOn w:val="DefaultParagraphFont"/>
    <w:link w:val="NormalHanging12a"/>
    <w:rsid w:val="000A000E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A46EA587.dotm</Template>
  <TotalTime>0</TotalTime>
  <Pages>8</Pages>
  <Words>2813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VYROUBALOVA Jana</dc:creator>
  <cp:keywords/>
  <dc:description/>
  <cp:lastModifiedBy>HENCLOVA Noriko</cp:lastModifiedBy>
  <cp:revision>2</cp:revision>
  <cp:lastPrinted>2004-12-08T14:10:00Z</cp:lastPrinted>
  <dcterms:created xsi:type="dcterms:W3CDTF">2019-11-27T23:12:00Z</dcterms:created>
  <dcterms:modified xsi:type="dcterms:W3CDTF">2019-11-27T23:12:00Z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1193865</vt:lpwstr>
  </property>
  <property fmtid="{D5CDD505-2E9C-101B-9397-08002B2CF9AE}" pid="6" name="&lt;Type&gt;">
    <vt:lpwstr>RC</vt:lpwstr>
  </property>
  <property fmtid="{D5CDD505-2E9C-101B-9397-08002B2CF9AE}" pid="7" name="&lt;ModelCod&gt;">
    <vt:lpwstr>\\eiciLUXpr1\pdocep$\DocEP\DOCS\General\RC\RC.dotx(15/10/2019 06:18:53)</vt:lpwstr>
  </property>
  <property fmtid="{D5CDD505-2E9C-101B-9397-08002B2CF9AE}" pid="8" name="&lt;ModelTra&gt;">
    <vt:lpwstr>\\eiciLUXpr1\pdocep$\DocEP\TRANSFIL\CS\RC.CS(26/06/2019 10:41:01)</vt:lpwstr>
  </property>
  <property fmtid="{D5CDD505-2E9C-101B-9397-08002B2CF9AE}" pid="9" name="&lt;Model&gt;">
    <vt:lpwstr>RC</vt:lpwstr>
  </property>
  <property fmtid="{D5CDD505-2E9C-101B-9397-08002B2CF9AE}" pid="10" name="FooterPath">
    <vt:lpwstr>RC\1193865CS.docx</vt:lpwstr>
  </property>
  <property fmtid="{D5CDD505-2E9C-101B-9397-08002B2CF9AE}" pid="11" name="Bookout">
    <vt:lpwstr>OK - 2019/11/27 21:54</vt:lpwstr>
  </property>
  <property fmtid="{D5CDD505-2E9C-101B-9397-08002B2CF9AE}" pid="12" name="SubscribeElise">
    <vt:lpwstr/>
  </property>
</Properties>
</file>