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A2FB9" w:rsidRPr="000A35E0" w14:paraId="2B5C4B0F" w14:textId="77777777" w:rsidTr="004F500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3AB5A096" w14:textId="77777777" w:rsidR="00CA2FB9" w:rsidRPr="000A35E0" w:rsidRDefault="00F474D4" w:rsidP="004D5831">
            <w:pPr>
              <w:pStyle w:val="EPName"/>
            </w:pPr>
            <w:r w:rsidRPr="000A35E0">
              <w:t>Parlament Europejski</w:t>
            </w:r>
          </w:p>
          <w:p w14:paraId="64DE6651" w14:textId="77777777" w:rsidR="00CA2FB9" w:rsidRPr="000A35E0" w:rsidRDefault="00F774BE" w:rsidP="00F774BE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0A35E0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43082ABC" w14:textId="77777777" w:rsidR="00CA2FB9" w:rsidRPr="000A35E0" w:rsidRDefault="00774F74" w:rsidP="004D5831">
            <w:pPr>
              <w:pStyle w:val="EPLogo"/>
            </w:pPr>
            <w:r w:rsidRPr="000A35E0">
              <w:drawing>
                <wp:inline distT="0" distB="0" distL="0" distR="0" wp14:anchorId="02B5C6AD" wp14:editId="1293847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85359" w14:textId="77777777" w:rsidR="00FF0919" w:rsidRPr="000A35E0" w:rsidRDefault="00FF0919" w:rsidP="00FF0919">
      <w:pPr>
        <w:pStyle w:val="LineTop"/>
      </w:pPr>
    </w:p>
    <w:p w14:paraId="50622917" w14:textId="77777777" w:rsidR="00FF0919" w:rsidRPr="000A35E0" w:rsidRDefault="00F474D4" w:rsidP="00FF0919">
      <w:pPr>
        <w:pStyle w:val="EPBody"/>
      </w:pPr>
      <w:r w:rsidRPr="000A35E0">
        <w:t>Dokument z posiedzenia</w:t>
      </w:r>
    </w:p>
    <w:p w14:paraId="60CF3431" w14:textId="77777777" w:rsidR="00752855" w:rsidRPr="000A35E0" w:rsidRDefault="00752855" w:rsidP="00752855">
      <w:pPr>
        <w:pStyle w:val="LineBottom"/>
      </w:pPr>
    </w:p>
    <w:p w14:paraId="081217AB" w14:textId="77777777" w:rsidR="007D35C5" w:rsidRPr="000A35E0" w:rsidRDefault="007D35C5" w:rsidP="007D35C5"/>
    <w:p w14:paraId="3922A2C2" w14:textId="77777777" w:rsidR="009D33CF" w:rsidRPr="000A35E0" w:rsidRDefault="00335275" w:rsidP="00C21478">
      <w:pPr>
        <w:pStyle w:val="CoverReferenceRC"/>
      </w:pPr>
      <w:r w:rsidRPr="000A35E0">
        <w:rPr>
          <w:rStyle w:val="HideTWBExt"/>
          <w:b w:val="0"/>
          <w:noProof w:val="0"/>
        </w:rPr>
        <w:t>&lt;RepeatBlock-NoDocSe&gt;</w:t>
      </w:r>
      <w:r w:rsidRPr="000A35E0">
        <w:tab/>
      </w:r>
      <w:r w:rsidRPr="000A35E0">
        <w:rPr>
          <w:rStyle w:val="HideTWBExt"/>
          <w:b w:val="0"/>
          <w:noProof w:val="0"/>
        </w:rPr>
        <w:t>&lt;NoDocSe&gt;</w:t>
      </w:r>
      <w:r w:rsidRPr="000A35E0">
        <w:t>B9</w:t>
      </w:r>
      <w:r w:rsidRPr="000A35E0">
        <w:noBreakHyphen/>
        <w:t>0197/2019</w:t>
      </w:r>
      <w:r w:rsidRPr="000A35E0">
        <w:rPr>
          <w:rStyle w:val="HideTWBExt"/>
          <w:b w:val="0"/>
          <w:noProof w:val="0"/>
        </w:rPr>
        <w:t>&lt;/NoDocSe&gt;</w:t>
      </w:r>
      <w:r w:rsidRPr="000A35E0">
        <w:t xml:space="preserve"> } </w:t>
      </w:r>
    </w:p>
    <w:p w14:paraId="00CAC9B1" w14:textId="77777777" w:rsidR="00F774BE" w:rsidRPr="000A35E0" w:rsidRDefault="00F774BE" w:rsidP="00F774BE">
      <w:pPr>
        <w:pStyle w:val="CoverReferenceRC"/>
      </w:pPr>
      <w:r w:rsidRPr="000A35E0">
        <w:tab/>
      </w:r>
      <w:r w:rsidRPr="000A35E0">
        <w:rPr>
          <w:rStyle w:val="HideTWBExt"/>
          <w:b w:val="0"/>
          <w:noProof w:val="0"/>
        </w:rPr>
        <w:t>&lt;NoDocSe&gt;</w:t>
      </w:r>
      <w:r w:rsidRPr="000A35E0">
        <w:t>B9</w:t>
      </w:r>
      <w:r w:rsidRPr="000A35E0">
        <w:noBreakHyphen/>
        <w:t>0198/2019</w:t>
      </w:r>
      <w:r w:rsidRPr="000A35E0">
        <w:rPr>
          <w:rStyle w:val="HideTWBExt"/>
          <w:b w:val="0"/>
          <w:noProof w:val="0"/>
        </w:rPr>
        <w:t>&lt;/NoDocSe&gt;</w:t>
      </w:r>
      <w:r w:rsidRPr="000A35E0">
        <w:t xml:space="preserve"> } </w:t>
      </w:r>
    </w:p>
    <w:p w14:paraId="7EA83D46" w14:textId="77777777" w:rsidR="00F774BE" w:rsidRPr="000A35E0" w:rsidRDefault="00F774BE" w:rsidP="00F774BE">
      <w:pPr>
        <w:pStyle w:val="CoverReferenceRC"/>
      </w:pPr>
      <w:r w:rsidRPr="000A35E0">
        <w:tab/>
      </w:r>
      <w:r w:rsidRPr="000A35E0">
        <w:rPr>
          <w:rStyle w:val="HideTWBExt"/>
          <w:b w:val="0"/>
          <w:noProof w:val="0"/>
        </w:rPr>
        <w:t>&lt;NoDocSe&gt;</w:t>
      </w:r>
      <w:r w:rsidRPr="000A35E0">
        <w:t>B9</w:t>
      </w:r>
      <w:r w:rsidRPr="000A35E0">
        <w:noBreakHyphen/>
        <w:t>0201/2019</w:t>
      </w:r>
      <w:r w:rsidRPr="000A35E0">
        <w:rPr>
          <w:rStyle w:val="HideTWBExt"/>
          <w:b w:val="0"/>
          <w:noProof w:val="0"/>
        </w:rPr>
        <w:t>&lt;/NoDocSe&gt;</w:t>
      </w:r>
      <w:r w:rsidRPr="000A35E0">
        <w:t xml:space="preserve"> } </w:t>
      </w:r>
    </w:p>
    <w:p w14:paraId="1743AC8E" w14:textId="77777777" w:rsidR="009D33CF" w:rsidRPr="000A35E0" w:rsidRDefault="009D33CF" w:rsidP="00C21478">
      <w:pPr>
        <w:pStyle w:val="CoverReferenceRC"/>
      </w:pPr>
      <w:r w:rsidRPr="000A35E0">
        <w:tab/>
      </w:r>
      <w:r w:rsidRPr="000A35E0">
        <w:rPr>
          <w:rStyle w:val="HideTWBExt"/>
          <w:b w:val="0"/>
          <w:noProof w:val="0"/>
        </w:rPr>
        <w:t>&lt;NoDocSe&gt;</w:t>
      </w:r>
      <w:r w:rsidRPr="000A35E0">
        <w:t>B9</w:t>
      </w:r>
      <w:r w:rsidRPr="000A35E0">
        <w:noBreakHyphen/>
        <w:t>0203/2019</w:t>
      </w:r>
      <w:r w:rsidRPr="000A35E0">
        <w:rPr>
          <w:rStyle w:val="HideTWBExt"/>
          <w:b w:val="0"/>
          <w:noProof w:val="0"/>
        </w:rPr>
        <w:t>&lt;/NoDocSe&gt;&lt;/RepeatBlock-NoDocSe&gt;</w:t>
      </w:r>
      <w:r w:rsidRPr="000A35E0">
        <w:t xml:space="preserve"> } RC1</w:t>
      </w:r>
    </w:p>
    <w:p w14:paraId="1A3F87D9" w14:textId="77777777" w:rsidR="004F500E" w:rsidRPr="000A35E0" w:rsidRDefault="004F500E" w:rsidP="00F849BF">
      <w:pPr>
        <w:pStyle w:val="CoverDate"/>
      </w:pPr>
      <w:r w:rsidRPr="000A35E0">
        <w:rPr>
          <w:rStyle w:val="HideTWBExt"/>
          <w:noProof w:val="0"/>
        </w:rPr>
        <w:t>&lt;Date&gt;</w:t>
      </w:r>
      <w:r w:rsidRPr="000A35E0">
        <w:rPr>
          <w:rStyle w:val="HideTWBInt"/>
        </w:rPr>
        <w:t>{26/11/2019}</w:t>
      </w:r>
      <w:r w:rsidRPr="000A35E0">
        <w:t>26.11.2019</w:t>
      </w:r>
      <w:r w:rsidRPr="000A35E0">
        <w:rPr>
          <w:rStyle w:val="HideTWBExt"/>
          <w:noProof w:val="0"/>
        </w:rPr>
        <w:t>&lt;/Date&gt;</w:t>
      </w:r>
    </w:p>
    <w:p w14:paraId="124B5585" w14:textId="77777777" w:rsidR="009D33CF" w:rsidRPr="000A35E0" w:rsidRDefault="009D33CF">
      <w:pPr>
        <w:pStyle w:val="CoverDocType24a"/>
      </w:pPr>
      <w:r w:rsidRPr="000A35E0">
        <w:rPr>
          <w:rStyle w:val="HideTWBExt"/>
          <w:b w:val="0"/>
          <w:noProof w:val="0"/>
        </w:rPr>
        <w:t>&lt;TitreType&gt;</w:t>
      </w:r>
      <w:r w:rsidRPr="000A35E0">
        <w:t>WSPÓLNY PROJEKT REZOLUCJI</w:t>
      </w:r>
      <w:r w:rsidRPr="000A35E0">
        <w:rPr>
          <w:rStyle w:val="HideTWBExt"/>
          <w:b w:val="0"/>
          <w:noProof w:val="0"/>
        </w:rPr>
        <w:t>&lt;/TitreType&gt;</w:t>
      </w:r>
    </w:p>
    <w:p w14:paraId="6F1C7FF1" w14:textId="77777777" w:rsidR="009D33CF" w:rsidRPr="000A35E0" w:rsidRDefault="009D33CF">
      <w:pPr>
        <w:pStyle w:val="CoverNormal12a"/>
      </w:pPr>
      <w:r w:rsidRPr="000A35E0">
        <w:rPr>
          <w:rStyle w:val="HideTWBExt"/>
          <w:noProof w:val="0"/>
        </w:rPr>
        <w:t>&lt;TitreRecueil&gt;</w:t>
      </w:r>
      <w:r w:rsidRPr="000A35E0">
        <w:t>złożony zgodnie z art. 132 ust. 2 i 4 Regulaminu</w:t>
      </w:r>
      <w:r w:rsidRPr="000A35E0">
        <w:rPr>
          <w:rStyle w:val="HideTWBExt"/>
          <w:noProof w:val="0"/>
        </w:rPr>
        <w:t>&lt;/TitreRecueil&gt;</w:t>
      </w:r>
    </w:p>
    <w:p w14:paraId="33653C55" w14:textId="77777777" w:rsidR="00747149" w:rsidRPr="000A35E0" w:rsidRDefault="00B15782" w:rsidP="007E7F10">
      <w:pPr>
        <w:pStyle w:val="CoverNormal"/>
      </w:pPr>
      <w:r w:rsidRPr="000A35E0">
        <w:rPr>
          <w:rStyle w:val="HideTWBExt"/>
          <w:noProof w:val="0"/>
        </w:rPr>
        <w:t>&lt;Replacing&gt;</w:t>
      </w:r>
      <w:r w:rsidRPr="000A35E0">
        <w:t>zastępujący tym samym następujące projekty rezolucji:</w:t>
      </w:r>
      <w:r w:rsidRPr="000A35E0">
        <w:rPr>
          <w:rStyle w:val="HideTWBExt"/>
          <w:noProof w:val="0"/>
        </w:rPr>
        <w:t>&lt;/Replacing&gt;</w:t>
      </w:r>
    </w:p>
    <w:p w14:paraId="4DC8656A" w14:textId="77777777" w:rsidR="00747149" w:rsidRPr="000A35E0" w:rsidRDefault="00B15782" w:rsidP="007E7F10">
      <w:pPr>
        <w:pStyle w:val="CoverNormal"/>
      </w:pPr>
      <w:r w:rsidRPr="000A35E0">
        <w:rPr>
          <w:rStyle w:val="HideTWBExt"/>
          <w:noProof w:val="0"/>
        </w:rPr>
        <w:t>&lt;TablingGroups&gt;</w:t>
      </w:r>
      <w:r w:rsidRPr="000A35E0">
        <w:t>B9</w:t>
      </w:r>
      <w:r w:rsidRPr="000A35E0">
        <w:noBreakHyphen/>
        <w:t>0197/2019 (ECR)</w:t>
      </w:r>
      <w:bookmarkStart w:id="0" w:name="_GoBack"/>
      <w:bookmarkEnd w:id="0"/>
    </w:p>
    <w:p w14:paraId="1BE779DD" w14:textId="77777777" w:rsidR="00F774BE" w:rsidRPr="000A35E0" w:rsidRDefault="00F774BE" w:rsidP="00F774BE">
      <w:pPr>
        <w:pStyle w:val="CoverNormal"/>
      </w:pPr>
      <w:r w:rsidRPr="000A35E0">
        <w:t>B9</w:t>
      </w:r>
      <w:r w:rsidRPr="000A35E0">
        <w:noBreakHyphen/>
        <w:t>0198/2019 (S&amp;D)</w:t>
      </w:r>
    </w:p>
    <w:p w14:paraId="1A3ACB69" w14:textId="77777777" w:rsidR="00F774BE" w:rsidRPr="000A35E0" w:rsidRDefault="00F774BE" w:rsidP="00F774BE">
      <w:pPr>
        <w:pStyle w:val="CoverNormal"/>
      </w:pPr>
      <w:r w:rsidRPr="000A35E0">
        <w:t>B9</w:t>
      </w:r>
      <w:r w:rsidRPr="000A35E0">
        <w:noBreakHyphen/>
        <w:t>0201/2019 (PPE)</w:t>
      </w:r>
    </w:p>
    <w:p w14:paraId="5C9A307E" w14:textId="77777777" w:rsidR="00747149" w:rsidRPr="000A35E0" w:rsidRDefault="00F774BE" w:rsidP="00747149">
      <w:pPr>
        <w:pStyle w:val="CoverNormal12a"/>
      </w:pPr>
      <w:r w:rsidRPr="000A35E0">
        <w:t>B9</w:t>
      </w:r>
      <w:r w:rsidRPr="000A35E0">
        <w:noBreakHyphen/>
        <w:t>0203/2019 (Renew)</w:t>
      </w:r>
      <w:r w:rsidRPr="000A35E0">
        <w:rPr>
          <w:rStyle w:val="HideTWBExt"/>
          <w:noProof w:val="0"/>
        </w:rPr>
        <w:t>&lt;/TablingGroups&gt;</w:t>
      </w:r>
    </w:p>
    <w:p w14:paraId="22433834" w14:textId="12FA2B7C" w:rsidR="00747149" w:rsidRPr="000A35E0" w:rsidRDefault="00747149" w:rsidP="007E7F10">
      <w:pPr>
        <w:pStyle w:val="CoverNormal"/>
      </w:pPr>
      <w:r w:rsidRPr="000A35E0">
        <w:rPr>
          <w:rStyle w:val="HideTWBExt"/>
          <w:noProof w:val="0"/>
        </w:rPr>
        <w:t>&lt;Titre&gt;</w:t>
      </w:r>
      <w:r w:rsidRPr="000A35E0">
        <w:t>w sprawie środków zaradczych dotyczących wpływu decyzji WTO w sprawie sporu z Airbusem na europejskie rolnictwo</w:t>
      </w:r>
      <w:r w:rsidRPr="000A35E0">
        <w:rPr>
          <w:rStyle w:val="HideTWBExt"/>
          <w:noProof w:val="0"/>
        </w:rPr>
        <w:t>&lt;/Titre&gt;</w:t>
      </w:r>
    </w:p>
    <w:p w14:paraId="07CFE1FC" w14:textId="77777777" w:rsidR="00747149" w:rsidRPr="000A35E0" w:rsidRDefault="00747149" w:rsidP="00D317D3">
      <w:pPr>
        <w:pStyle w:val="CoverNormal24a"/>
        <w:spacing w:after="600"/>
        <w:ind w:left="1418"/>
      </w:pPr>
      <w:r w:rsidRPr="000A35E0">
        <w:rPr>
          <w:rStyle w:val="HideTWBExt"/>
          <w:noProof w:val="0"/>
        </w:rPr>
        <w:t>&lt;DocRef&gt;</w:t>
      </w:r>
      <w:r w:rsidRPr="000A35E0">
        <w:t>(2019/2895(RSP))</w:t>
      </w:r>
      <w:r w:rsidRPr="000A35E0">
        <w:rPr>
          <w:rStyle w:val="HideTWBExt"/>
          <w:noProof w:val="0"/>
        </w:rPr>
        <w:t>&lt;/DocRef&gt;</w:t>
      </w:r>
    </w:p>
    <w:p w14:paraId="4D1D31C6" w14:textId="0624F11C" w:rsidR="00747149" w:rsidRPr="000A35E0" w:rsidRDefault="00747149" w:rsidP="00D317D3">
      <w:pPr>
        <w:pStyle w:val="CoverBold"/>
        <w:spacing w:before="240"/>
        <w:ind w:left="1418"/>
      </w:pPr>
      <w:r w:rsidRPr="000A35E0">
        <w:rPr>
          <w:rStyle w:val="HideTWBExt"/>
          <w:b w:val="0"/>
          <w:noProof w:val="0"/>
        </w:rPr>
        <w:t>&lt;RepeatBlock-By&gt;&lt;Depute&gt;</w:t>
      </w:r>
      <w:r w:rsidRPr="000A35E0">
        <w:t>Juan Ignacio Zoido Álvarez, Herbert Dorfmann, Sven Simon, Christophe Hansen, Anne Sander, Norbert Lins</w:t>
      </w:r>
      <w:r w:rsidRPr="000A35E0">
        <w:rPr>
          <w:rStyle w:val="HideTWBExt"/>
          <w:b w:val="0"/>
          <w:noProof w:val="0"/>
        </w:rPr>
        <w:t>&lt;/Depute&gt;</w:t>
      </w:r>
    </w:p>
    <w:p w14:paraId="740B5FBA" w14:textId="77777777" w:rsidR="00747149" w:rsidRPr="000A35E0" w:rsidRDefault="00747149" w:rsidP="007E7F10">
      <w:pPr>
        <w:pStyle w:val="CoverNormal"/>
      </w:pPr>
      <w:r w:rsidRPr="000A35E0">
        <w:rPr>
          <w:rStyle w:val="HideTWBExt"/>
          <w:noProof w:val="0"/>
        </w:rPr>
        <w:t>&lt;Commission&gt;</w:t>
      </w:r>
      <w:r w:rsidRPr="000A35E0">
        <w:rPr>
          <w:rStyle w:val="HideTWBInt"/>
        </w:rPr>
        <w:t>{PPE}</w:t>
      </w:r>
      <w:r w:rsidRPr="000A35E0">
        <w:t>w imieniu grupy PPE</w:t>
      </w:r>
      <w:r w:rsidRPr="000A35E0">
        <w:rPr>
          <w:rStyle w:val="HideTWBExt"/>
          <w:noProof w:val="0"/>
        </w:rPr>
        <w:t>&lt;/Commission&gt;</w:t>
      </w:r>
    </w:p>
    <w:p w14:paraId="73646ADD" w14:textId="77777777" w:rsidR="00F774BE" w:rsidRPr="000A35E0" w:rsidRDefault="00F774BE" w:rsidP="00F774BE">
      <w:pPr>
        <w:pStyle w:val="CoverBold"/>
      </w:pPr>
      <w:r w:rsidRPr="000A35E0">
        <w:rPr>
          <w:rStyle w:val="HideTWBExt"/>
          <w:b w:val="0"/>
          <w:noProof w:val="0"/>
        </w:rPr>
        <w:t>&lt;Depute&gt;</w:t>
      </w:r>
      <w:r w:rsidRPr="000A35E0">
        <w:t>Paolo De Castro, Clara Aguilera</w:t>
      </w:r>
      <w:r w:rsidRPr="000A35E0">
        <w:rPr>
          <w:rStyle w:val="HideTWBExt"/>
          <w:b w:val="0"/>
          <w:noProof w:val="0"/>
          <w:color w:val="auto"/>
        </w:rPr>
        <w:t>&lt;/Depute&gt;</w:t>
      </w:r>
    </w:p>
    <w:p w14:paraId="6E6489B5" w14:textId="77777777" w:rsidR="00F774BE" w:rsidRPr="000A35E0" w:rsidRDefault="00F774BE" w:rsidP="00F774BE">
      <w:pPr>
        <w:pStyle w:val="CoverNormal"/>
      </w:pPr>
      <w:r w:rsidRPr="000A35E0">
        <w:rPr>
          <w:rStyle w:val="HideTWBExt"/>
          <w:noProof w:val="0"/>
        </w:rPr>
        <w:t>&lt;Commission&gt;</w:t>
      </w:r>
      <w:r w:rsidRPr="000A35E0">
        <w:rPr>
          <w:rStyle w:val="HideTWBInt"/>
        </w:rPr>
        <w:t>{S&amp;D}</w:t>
      </w:r>
      <w:r w:rsidRPr="000A35E0">
        <w:t>w imieniu grupy S&amp;D</w:t>
      </w:r>
      <w:r w:rsidRPr="000A35E0">
        <w:rPr>
          <w:rStyle w:val="HideTWBExt"/>
          <w:noProof w:val="0"/>
        </w:rPr>
        <w:t>&lt;/Commission&gt;</w:t>
      </w:r>
    </w:p>
    <w:p w14:paraId="2203D479" w14:textId="77777777" w:rsidR="00F774BE" w:rsidRPr="000A35E0" w:rsidRDefault="00F774BE" w:rsidP="00F774BE">
      <w:pPr>
        <w:pStyle w:val="CoverBold"/>
      </w:pPr>
      <w:r w:rsidRPr="000A35E0">
        <w:rPr>
          <w:rStyle w:val="HideTWBExt"/>
          <w:b w:val="0"/>
          <w:noProof w:val="0"/>
        </w:rPr>
        <w:t>&lt;Depute&gt;</w:t>
      </w:r>
      <w:r w:rsidRPr="000A35E0">
        <w:t>Irène Tolleret, Ulrike Müller, Sheila Ritchie, Jérémy Decerle, Atidzhe Alieva</w:t>
      </w:r>
      <w:r w:rsidRPr="000A35E0">
        <w:noBreakHyphen/>
        <w:t>Veli, Billy Kelleher, Marie</w:t>
      </w:r>
      <w:r w:rsidRPr="000A35E0">
        <w:noBreakHyphen/>
        <w:t>Pierre Vedrenne, Jordi Cañas</w:t>
      </w:r>
      <w:r w:rsidRPr="000A35E0">
        <w:rPr>
          <w:rStyle w:val="HideTWBExt"/>
          <w:b w:val="0"/>
          <w:noProof w:val="0"/>
        </w:rPr>
        <w:t>&lt;/Depute&gt;</w:t>
      </w:r>
    </w:p>
    <w:p w14:paraId="07FAF935" w14:textId="77777777" w:rsidR="00F774BE" w:rsidRPr="000A35E0" w:rsidRDefault="00F774BE" w:rsidP="00F774BE">
      <w:pPr>
        <w:pStyle w:val="CoverNormal"/>
      </w:pPr>
      <w:r w:rsidRPr="000A35E0">
        <w:rPr>
          <w:rStyle w:val="HideTWBExt"/>
          <w:noProof w:val="0"/>
        </w:rPr>
        <w:t>&lt;Commission&gt;</w:t>
      </w:r>
      <w:r w:rsidRPr="000A35E0">
        <w:rPr>
          <w:rStyle w:val="HideTWBInt"/>
        </w:rPr>
        <w:t>{Renew}</w:t>
      </w:r>
      <w:r w:rsidRPr="000A35E0">
        <w:t>w imieniu grupy Renew</w:t>
      </w:r>
      <w:r w:rsidRPr="000A35E0">
        <w:rPr>
          <w:rStyle w:val="HideTWBExt"/>
          <w:noProof w:val="0"/>
        </w:rPr>
        <w:t>&lt;/Commission&gt;</w:t>
      </w:r>
    </w:p>
    <w:p w14:paraId="42371229" w14:textId="77777777" w:rsidR="00F774BE" w:rsidRPr="000A35E0" w:rsidRDefault="00F774BE" w:rsidP="00F774BE">
      <w:pPr>
        <w:pStyle w:val="CoverBold"/>
      </w:pPr>
      <w:r w:rsidRPr="000A35E0">
        <w:rPr>
          <w:rStyle w:val="HideTWBExt"/>
          <w:b w:val="0"/>
          <w:noProof w:val="0"/>
        </w:rPr>
        <w:t>&lt;Depute&gt;</w:t>
      </w:r>
      <w:r w:rsidRPr="000A35E0">
        <w:t>Mazaly Aguilar, Nicola Procaccini, Carlo Fidanza</w:t>
      </w:r>
      <w:r w:rsidRPr="000A35E0">
        <w:rPr>
          <w:rStyle w:val="HideTWBExt"/>
          <w:b w:val="0"/>
          <w:noProof w:val="0"/>
        </w:rPr>
        <w:t>&lt;/Depute&gt;</w:t>
      </w:r>
    </w:p>
    <w:p w14:paraId="55C099AB" w14:textId="77777777" w:rsidR="00F774BE" w:rsidRPr="000A35E0" w:rsidRDefault="00F774BE" w:rsidP="00F774BE">
      <w:pPr>
        <w:pStyle w:val="CoverNormal"/>
      </w:pPr>
      <w:r w:rsidRPr="000A35E0">
        <w:rPr>
          <w:rStyle w:val="HideTWBExt"/>
          <w:noProof w:val="0"/>
        </w:rPr>
        <w:lastRenderedPageBreak/>
        <w:t>&lt;Commission&gt;</w:t>
      </w:r>
      <w:r w:rsidRPr="000A35E0">
        <w:rPr>
          <w:rStyle w:val="HideTWBInt"/>
        </w:rPr>
        <w:t>{ECR}</w:t>
      </w:r>
      <w:r w:rsidRPr="000A35E0">
        <w:t>w imieniu grupy ECR</w:t>
      </w:r>
      <w:r w:rsidRPr="000A35E0">
        <w:rPr>
          <w:rStyle w:val="HideTWBExt"/>
          <w:noProof w:val="0"/>
        </w:rPr>
        <w:t>&lt;/Commission&gt;</w:t>
      </w:r>
    </w:p>
    <w:p w14:paraId="58D408BD" w14:textId="77777777" w:rsidR="00747149" w:rsidRPr="000A35E0" w:rsidRDefault="00747149" w:rsidP="00747149">
      <w:pPr>
        <w:pStyle w:val="CoverBold"/>
      </w:pPr>
      <w:r w:rsidRPr="000A35E0">
        <w:rPr>
          <w:rStyle w:val="HideTWBExt"/>
          <w:b w:val="0"/>
          <w:noProof w:val="0"/>
        </w:rPr>
        <w:t>&lt;Depute&gt;</w:t>
      </w:r>
      <w:r w:rsidRPr="000A35E0">
        <w:t>Tiziana Beghin, Daniela Rondinelli, Dino Giarrusso</w:t>
      </w:r>
      <w:r w:rsidRPr="000A35E0">
        <w:rPr>
          <w:rStyle w:val="HideTWBExt"/>
          <w:b w:val="0"/>
          <w:noProof w:val="0"/>
          <w:color w:val="auto"/>
        </w:rPr>
        <w:t>&lt;/Depute&gt;</w:t>
      </w:r>
    </w:p>
    <w:p w14:paraId="59602FC6" w14:textId="77777777" w:rsidR="00747149" w:rsidRPr="000A35E0" w:rsidRDefault="00747149" w:rsidP="007E7F10">
      <w:pPr>
        <w:pStyle w:val="CoverNormal"/>
      </w:pPr>
      <w:r w:rsidRPr="000A35E0">
        <w:rPr>
          <w:rStyle w:val="HideTWBExt"/>
          <w:noProof w:val="0"/>
        </w:rPr>
        <w:t>&lt;/RepeatBlock-By&gt;</w:t>
      </w:r>
    </w:p>
    <w:p w14:paraId="0905B594" w14:textId="2262F443" w:rsidR="00AB70B2" w:rsidRPr="000A35E0" w:rsidRDefault="009D33CF" w:rsidP="00AB70B2">
      <w:pPr>
        <w:pStyle w:val="NormalBold"/>
      </w:pPr>
      <w:r w:rsidRPr="000A35E0">
        <w:br w:type="page"/>
      </w:r>
      <w:r w:rsidRPr="000A35E0">
        <w:lastRenderedPageBreak/>
        <w:t>Rezolucja Parlamentu Europejskiego w sprawie środków zaradczych dotyczących wpływu decyzji WTO w sprawie sporu z Airbusem na europejskie rolnictwo</w:t>
      </w:r>
    </w:p>
    <w:p w14:paraId="3B13ABE8" w14:textId="77777777" w:rsidR="00AB70B2" w:rsidRPr="000A35E0" w:rsidRDefault="00F474D4" w:rsidP="00600326">
      <w:pPr>
        <w:pStyle w:val="NormalBold"/>
      </w:pPr>
      <w:r w:rsidRPr="000A35E0">
        <w:t>(2019/2895(RSP))</w:t>
      </w:r>
    </w:p>
    <w:p w14:paraId="7CB6C582" w14:textId="77777777" w:rsidR="009D33CF" w:rsidRPr="000A35E0" w:rsidRDefault="00F474D4" w:rsidP="00600326">
      <w:pPr>
        <w:pStyle w:val="EPComma"/>
      </w:pPr>
      <w:r w:rsidRPr="000A35E0">
        <w:rPr>
          <w:i/>
        </w:rPr>
        <w:t>Parlament Europejski,</w:t>
      </w:r>
    </w:p>
    <w:p w14:paraId="0AC41174" w14:textId="4BF4E1E5" w:rsidR="004A5F1D" w:rsidRPr="000A35E0" w:rsidRDefault="004A5F1D" w:rsidP="004A5F1D">
      <w:pPr>
        <w:pStyle w:val="NormalHanging12a"/>
      </w:pPr>
      <w:r w:rsidRPr="000A35E0">
        <w:t>–</w:t>
      </w:r>
      <w:r w:rsidRPr="000A35E0">
        <w:tab/>
        <w:t>uwzględniając decyzję podjętą 2 października 2019 r. przez organ arbitrażowy Światowej Organizacji Handlu (WTO) w sprawie sporu dotyczącego dotacji dla koncernu Airbus (DS316), zezwalającą na podjęcie przez USA środków zaradczych w odniesieniu do eksportu z UE o wartości 7,5 mld USD (6,8 mld EUR),</w:t>
      </w:r>
    </w:p>
    <w:p w14:paraId="1EDE411F" w14:textId="318C070C" w:rsidR="004A5F1D" w:rsidRPr="000A35E0" w:rsidRDefault="004A5F1D" w:rsidP="004A5F1D">
      <w:pPr>
        <w:pStyle w:val="NormalHanging12a"/>
      </w:pPr>
      <w:r w:rsidRPr="000A35E0">
        <w:t>–</w:t>
      </w:r>
      <w:r w:rsidRPr="000A35E0">
        <w:tab/>
        <w:t>uwzględniając formalną decyzję podjętą 14 października 2019 r. przez Organ Rozstrzygania Sporów WTO, w której zaaprobowano ww. środki,</w:t>
      </w:r>
    </w:p>
    <w:p w14:paraId="4F74FBA8" w14:textId="5A97507F" w:rsidR="004A5F1D" w:rsidRPr="000A35E0" w:rsidRDefault="004A5F1D" w:rsidP="004A5F1D">
      <w:pPr>
        <w:pStyle w:val="NormalHanging12a"/>
      </w:pPr>
      <w:r w:rsidRPr="000A35E0">
        <w:t>–</w:t>
      </w:r>
      <w:r w:rsidRPr="000A35E0">
        <w:tab/>
        <w:t>uwzględniając decyzję USA o nałożeniu nowej taryfy celnej w wysokości 25 % ad valorem na niektóre produkty rolno-spożywcze i niektóre produkty nierolne oraz 10 % ad valorem na produkty nierolne, ze skutkiem od 18 października 2019 r.,</w:t>
      </w:r>
    </w:p>
    <w:p w14:paraId="55E73B1D" w14:textId="7E8CEC65" w:rsidR="004A5F1D" w:rsidRPr="000A35E0" w:rsidRDefault="004A5F1D" w:rsidP="004A5F1D">
      <w:pPr>
        <w:pStyle w:val="NormalHanging12a"/>
      </w:pPr>
      <w:r w:rsidRPr="000A35E0">
        <w:t>–</w:t>
      </w:r>
      <w:r w:rsidRPr="000A35E0">
        <w:tab/>
        <w:t>uwzględniając odpowiednie artykuły rozporządzenia Parlamentu Europejskiego i Rady (UE) nr 1144/2014 z dnia 22 października 2014 r. w sprawie działań informacyjnych i promocyjnych dotyczących produktów rolnych wdrażanych na rynku wewnętrznym i w państwach trzecich oraz uchylającego rozporządzenie Rady (WE) nr 3/2008</w:t>
      </w:r>
      <w:r w:rsidRPr="000A35E0">
        <w:rPr>
          <w:rStyle w:val="FootnoteReference"/>
        </w:rPr>
        <w:footnoteReference w:id="1"/>
      </w:r>
      <w:r w:rsidRPr="000A35E0">
        <w:t xml:space="preserve"> (dalej zwane rozporządzeniem w sprawie promocji) oraz decyzję wykonawczą Komisji z dnia 18 listopada 2019 r. w sprawie przyjęcia programu na rok 2020 w zakresie działań informacyjnych i promocyjnych dotyczących produktów rolnych wdrażanych na rynku wewnętrznym i w państwach trzecich,</w:t>
      </w:r>
    </w:p>
    <w:p w14:paraId="22D3B4A2" w14:textId="38D9CC2E" w:rsidR="004A5F1D" w:rsidRPr="000A35E0" w:rsidRDefault="004A5F1D" w:rsidP="004A5F1D">
      <w:pPr>
        <w:pStyle w:val="NormalHanging12a"/>
      </w:pPr>
      <w:r w:rsidRPr="000A35E0">
        <w:t>–</w:t>
      </w:r>
      <w:r w:rsidRPr="000A35E0">
        <w:tab/>
        <w:t>uwzględniając odpowiednie artykuły rozporządzenia Parlamentu Europejskiego i Rady (UE) nr 1308/2013 z dnia 17 grudnia 2013 r. ustanawiającego wspólną organizację rynków produktów rolnych</w:t>
      </w:r>
      <w:r w:rsidRPr="000A35E0">
        <w:rPr>
          <w:rStyle w:val="FootnoteReference"/>
        </w:rPr>
        <w:footnoteReference w:id="2"/>
      </w:r>
      <w:r w:rsidRPr="000A35E0">
        <w:t xml:space="preserve"> (rozporządzenie o jednolitej wspólnej organizacji rynku),</w:t>
      </w:r>
    </w:p>
    <w:p w14:paraId="2EC57050" w14:textId="77777777" w:rsidR="004A5F1D" w:rsidRPr="000A35E0" w:rsidRDefault="004A5F1D" w:rsidP="004A5F1D">
      <w:pPr>
        <w:pStyle w:val="NormalHanging12a"/>
      </w:pPr>
      <w:r w:rsidRPr="000A35E0">
        <w:t>–</w:t>
      </w:r>
      <w:r w:rsidRPr="000A35E0">
        <w:tab/>
        <w:t>uwzględniając art. 132 ust. 2 i 4 Regulaminu,</w:t>
      </w:r>
    </w:p>
    <w:p w14:paraId="67726F26" w14:textId="32E2031F" w:rsidR="004A5F1D" w:rsidRPr="000A35E0" w:rsidRDefault="004A5F1D" w:rsidP="004A5F1D">
      <w:pPr>
        <w:pStyle w:val="NormalHanging12a"/>
      </w:pPr>
      <w:r w:rsidRPr="000A35E0">
        <w:t>A.</w:t>
      </w:r>
      <w:r w:rsidRPr="000A35E0">
        <w:tab/>
        <w:t>mając na uwadze, że Stany Zjednoczone są głównym odbiorcą eksportu produktów rolnych z UE-28, którego wartość wyniosła w 2018 r. 22,3 mld EUR (16,2 % łącznego wywozu produktów rolno-spożywczych), w związku z czym stanowią niezastąpiony rynek zarówno pod względem wartości, jak i wielkości;</w:t>
      </w:r>
    </w:p>
    <w:p w14:paraId="2C1EE696" w14:textId="0D590468" w:rsidR="004A5F1D" w:rsidRPr="000A35E0" w:rsidRDefault="004A5F1D" w:rsidP="004A5F1D">
      <w:pPr>
        <w:pStyle w:val="NormalHanging12a"/>
      </w:pPr>
      <w:r w:rsidRPr="000A35E0">
        <w:t>B.</w:t>
      </w:r>
      <w:r w:rsidRPr="000A35E0">
        <w:tab/>
        <w:t>mając na uwadze, że nowe taryfy celne uderzą w wywóz produktów rolno-spożywczych o wartości 4,3 mld EUR (60 % łącznej wartości środków zaradczych), co odpowiada kwocie 1,1 mld EUR;</w:t>
      </w:r>
    </w:p>
    <w:p w14:paraId="3880E3E8" w14:textId="2B0AC7D3" w:rsidR="004A5F1D" w:rsidRPr="000A35E0" w:rsidRDefault="004A5F1D" w:rsidP="004A5F1D">
      <w:pPr>
        <w:pStyle w:val="NormalHanging12a"/>
      </w:pPr>
      <w:r w:rsidRPr="000A35E0">
        <w:t>C.</w:t>
      </w:r>
      <w:r w:rsidRPr="000A35E0">
        <w:tab/>
        <w:t>mając na uwadze, że decyzja Stanów Zjednoczonych wpłynie przede wszystkim na Zjednoczone Królestwo, Francję, Hiszpanię, Włochy, Niemcy i Irlandię, ale wywrze też negatywny wpływ na sektory rolno-spożywcze innych państw członkowskich UE;</w:t>
      </w:r>
    </w:p>
    <w:p w14:paraId="43B405D6" w14:textId="4A033247" w:rsidR="004A5F1D" w:rsidRPr="000A35E0" w:rsidRDefault="004A5F1D" w:rsidP="004A5F1D">
      <w:pPr>
        <w:pStyle w:val="NormalHanging12a"/>
      </w:pPr>
      <w:r w:rsidRPr="000A35E0">
        <w:t>D.</w:t>
      </w:r>
      <w:r w:rsidRPr="000A35E0">
        <w:tab/>
        <w:t>mając na uwadze, że główne produkty rolne objęte sankcjami USA to emblematyczne produkty unijne o bardzo wysokiej wartości dodanej, często chronione w ramach systemów jakości UE (wina i okowita, np. whisky „single malt”, oliwa z oliwek oraz przetwory mleczne, np. masło i ser);</w:t>
      </w:r>
    </w:p>
    <w:p w14:paraId="6C50B250" w14:textId="77ACAA7A" w:rsidR="004A5F1D" w:rsidRPr="000A35E0" w:rsidRDefault="004A5F1D" w:rsidP="004A5F1D">
      <w:pPr>
        <w:pStyle w:val="NormalHanging12a"/>
      </w:pPr>
      <w:r w:rsidRPr="000A35E0">
        <w:t>E.</w:t>
      </w:r>
      <w:r w:rsidRPr="000A35E0">
        <w:tab/>
        <w:t>mając na uwadze, że sankcje dotyczą również, choć w mniejszym stopniu, innych produktów rolnych, takich jak oliwki stołowe, wieprzowina, kawa, słodkie herbatniki, przetworzone owoce, owoce cytrusowe, małże, likiery i kaszmir;</w:t>
      </w:r>
    </w:p>
    <w:p w14:paraId="6ED5A384" w14:textId="3CDB4FFA" w:rsidR="004A5F1D" w:rsidRPr="000A35E0" w:rsidRDefault="004A5F1D" w:rsidP="004A5F1D">
      <w:pPr>
        <w:pStyle w:val="NormalHanging12a"/>
      </w:pPr>
      <w:r w:rsidRPr="000A35E0">
        <w:t>F.</w:t>
      </w:r>
      <w:r w:rsidRPr="000A35E0">
        <w:tab/>
        <w:t>mając na uwadze, że po rosyjskim embargu rolnicy i podmioty w łańcuchu rolno-spożywczym ponownie padają ofiarą pozarolniczego konfliktu handlowego, na który nie mają żadnego wpływu, oraz mając na uwadze, że decyzja USA o nałożeniu taryf celnych pozostanie w mocy, dopóki państwa członkowskie nie zastosują się do rezolucji WTO w sprawie sporu z Airbusem;</w:t>
      </w:r>
    </w:p>
    <w:p w14:paraId="14EEF3EB" w14:textId="730AB8D7" w:rsidR="004A5F1D" w:rsidRPr="000A35E0" w:rsidRDefault="004A5F1D" w:rsidP="004A5F1D">
      <w:pPr>
        <w:pStyle w:val="NormalHanging12a"/>
      </w:pPr>
      <w:r w:rsidRPr="000A35E0">
        <w:t>G.</w:t>
      </w:r>
      <w:r w:rsidRPr="000A35E0">
        <w:tab/>
        <w:t>mając na uwadze, że amerykańskie środki zaradcze zwiększą niepewność gospodarczą i brak pewności prawa dla europejskich producentów w sektorze, który z natury jest zmienny, oraz jeszcze bardziej zdestabilizują rynek wewnętrzny UE, który już odczuwa konsekwencje rosyjskiego embarga oraz musi się przygotować na gospodarcze skutki potencjalnego wystąpienia Zjednoczonego Królestwa z UE;</w:t>
      </w:r>
    </w:p>
    <w:p w14:paraId="2E1046AE" w14:textId="34ED85E6" w:rsidR="004A5F1D" w:rsidRPr="000A35E0" w:rsidRDefault="004A5F1D" w:rsidP="004A5F1D">
      <w:pPr>
        <w:pStyle w:val="NormalHanging12a"/>
      </w:pPr>
      <w:r w:rsidRPr="000A35E0">
        <w:t>H.</w:t>
      </w:r>
      <w:r w:rsidRPr="000A35E0">
        <w:tab/>
        <w:t>mając na uwadze, że zgodnie z przepisami prawa amerykańskiego USA mogą wprowadzić tzw. karuzelę taryf celnych, która wywołałaby efekt domina dla innych produktów, spotęgowałaby gospodarcze skutki środków zaradczych i wywarła niewspółmierny wpływ na sektor rolno-spożywczy;</w:t>
      </w:r>
    </w:p>
    <w:p w14:paraId="41743F8D" w14:textId="77777777" w:rsidR="004A5F1D" w:rsidRPr="000A35E0" w:rsidRDefault="004A5F1D" w:rsidP="004A5F1D">
      <w:pPr>
        <w:pStyle w:val="NormalHanging12a"/>
      </w:pPr>
      <w:r w:rsidRPr="000A35E0">
        <w:t>I.</w:t>
      </w:r>
      <w:r w:rsidRPr="000A35E0">
        <w:tab/>
        <w:t>mając na uwadze, że przed WTO nadal toczy się postępowanie w sprawie sporu dotyczącego dotacji dla koncernu Boeing;</w:t>
      </w:r>
    </w:p>
    <w:p w14:paraId="23B6E2DC" w14:textId="03F02478" w:rsidR="004A5F1D" w:rsidRPr="000A35E0" w:rsidRDefault="004A5F1D" w:rsidP="004A5F1D">
      <w:pPr>
        <w:pStyle w:val="NormalHanging12a"/>
      </w:pPr>
      <w:r w:rsidRPr="000A35E0">
        <w:t>J.</w:t>
      </w:r>
      <w:r w:rsidRPr="000A35E0">
        <w:tab/>
        <w:t>mając na uwadze, że w niektórych sektorach, np. oliwek stołowych (który już od listopada 2017 r. odczuwa skutki stosowania amerykańskich taryf celnych) oraz oliwy z oliwek, decyzja USA będzie dodatkowym zagrożeniem dla już i tak niestabilnej sytuacji na rynku wewnętrznym, a w innych sektorach, takich jak sektor wina, whisky i sektor mleczarski, istnieje ryzyko poważnych zakłóceń na całym rynku; mając na uwadze, że w związku z tym taka decyzja zagrażałaby wzrostowi gospodarczemu, inwestycjom i tworzeniu miejsc pracy oraz pociągnęłaby za sobą znaczną utratę konkurencyjności i udziału w rynku, a taką pozycję na rynku budowaliśmy przez lata i trudno będzie ją odzyskać;</w:t>
      </w:r>
    </w:p>
    <w:p w14:paraId="3A29D535" w14:textId="43B39FAA" w:rsidR="004A5F1D" w:rsidRPr="000A35E0" w:rsidRDefault="004A5F1D" w:rsidP="004A5F1D">
      <w:pPr>
        <w:pStyle w:val="NormalHanging12a"/>
      </w:pPr>
      <w:r w:rsidRPr="000A35E0">
        <w:t>K.</w:t>
      </w:r>
      <w:r w:rsidRPr="000A35E0">
        <w:tab/>
        <w:t>mając na uwadze, że wprowadzenie taryf celnych spowoduje znaczny wzrost cen dla konsumentów, straty gospodarcze i utratę miejsc pracy w przedsiębiorstwach po obu stronach Atlantyku, na czym w ostatecznym rozrachunku skorzystają producenci spoza UE i USA;</w:t>
      </w:r>
    </w:p>
    <w:p w14:paraId="71E53070" w14:textId="33A5FFFE" w:rsidR="004A5F1D" w:rsidRPr="000A35E0" w:rsidRDefault="004A5F1D" w:rsidP="004A5F1D">
      <w:pPr>
        <w:pStyle w:val="NormalHanging12a"/>
      </w:pPr>
      <w:r w:rsidRPr="000A35E0">
        <w:t>L.</w:t>
      </w:r>
      <w:r w:rsidRPr="000A35E0">
        <w:tab/>
        <w:t>mając na uwadze, że zgodnie z obowiązującymi przepisami UE nie można przeprogramować już zatwierdzonych kampanii promocyjnych przygotowanych z myślą o rynku USA i że jeżeli amerykańskie taryfy celne wejdą w życie, niektóre działania, które podjęto już w celu promowania produktów o bardzo wysokiej wartości, mogą się okazać bezowocne;</w:t>
      </w:r>
    </w:p>
    <w:p w14:paraId="00801EE5" w14:textId="1B7A52C5" w:rsidR="004A5F1D" w:rsidRPr="000A35E0" w:rsidRDefault="004A5F1D" w:rsidP="004A5F1D">
      <w:pPr>
        <w:pStyle w:val="NormalHanging12a"/>
      </w:pPr>
      <w:r w:rsidRPr="000A35E0">
        <w:t>M.</w:t>
      </w:r>
      <w:r w:rsidRPr="000A35E0">
        <w:tab/>
        <w:t>mając na uwadze, że rolnictwo unijne, które z uwagi na swój charakter jest szczególnie wrażliwym sektorem, jest coraz ściślej powiązane z rynkami międzynarodowymi, przy czym należy podkreślić znaczenie ogólnych konstruktywnych stosunków handlowych oraz utrzymania łańcucha dostaw żywności wysokiej jakości, dostosowanego do potrzeb konsumentów;</w:t>
      </w:r>
    </w:p>
    <w:p w14:paraId="4E2DE160" w14:textId="33626DF6" w:rsidR="004A5F1D" w:rsidRPr="000A35E0" w:rsidRDefault="004A5F1D" w:rsidP="004A5F1D">
      <w:pPr>
        <w:pStyle w:val="NormalHanging12a"/>
      </w:pPr>
      <w:r w:rsidRPr="000A35E0">
        <w:t>1.</w:t>
      </w:r>
      <w:r w:rsidRPr="000A35E0">
        <w:tab/>
        <w:t>wyraża głębokie zaniepokojenie z powodu wzajemnych szkód, w obliczu których stoi unijny sektor rolno-spożywczy w całym łańcuchu rolno-spożywczym w wyniku decyzji Stanów Zjednoczonych o zastosowaniu wobec Unii Europejskiej środków zaradczych w związku ze sporem z Airbusem; uważa za niedopuszczalne, że sektor rolny musi ponieść gros kosztów sporu prawnego dotyczącego zupełnie innego sektora; ubolewa z powodu decyzji o nałożeniu ceł na tak wiele produktów rolnych;</w:t>
      </w:r>
    </w:p>
    <w:p w14:paraId="512C03D4" w14:textId="7FC2C5B0" w:rsidR="004A5F1D" w:rsidRPr="000A35E0" w:rsidRDefault="004A5F1D" w:rsidP="004A5F1D">
      <w:pPr>
        <w:pStyle w:val="NormalHanging12a"/>
      </w:pPr>
      <w:r w:rsidRPr="000A35E0">
        <w:t>2.</w:t>
      </w:r>
      <w:r w:rsidRPr="000A35E0">
        <w:tab/>
        <w:t>wyraża głębokie ubolewanie z powodu braku zaangażowania Stanów Zjednoczonych w podejmowane przez UE próby wypracowania rozwiązania przed zastosowaniem taryf celnych; podkreśla zaniepokojenie faktem, że jak dotąd Stany Zjednoczone odmawiają wypracowania wspólnie z UE rozwiązania dla sektorów lotniczych w UE i USA w kontekście długotrwałego sporu pomiędzy Airbusem i Boeingiem;</w:t>
      </w:r>
    </w:p>
    <w:p w14:paraId="209BCD29" w14:textId="77777777" w:rsidR="004A5F1D" w:rsidRPr="000A35E0" w:rsidRDefault="004A5F1D" w:rsidP="004A5F1D">
      <w:pPr>
        <w:pStyle w:val="NormalHanging12a"/>
      </w:pPr>
      <w:r w:rsidRPr="000A35E0">
        <w:t>3.</w:t>
      </w:r>
      <w:r w:rsidRPr="000A35E0">
        <w:tab/>
        <w:t>wspiera Komisję w podejmowanych staraniach i apeluje do niej o kontynuowanie prób wynegocjowania rozwiązań w celu osłabienia obecnych napięć w stosunkach handlowych między obiema stronami;</w:t>
      </w:r>
    </w:p>
    <w:p w14:paraId="141A5C03" w14:textId="6617CE2B" w:rsidR="004A5F1D" w:rsidRPr="000A35E0" w:rsidRDefault="004A5F1D" w:rsidP="004A5F1D">
      <w:pPr>
        <w:pStyle w:val="NormalHanging12a"/>
      </w:pPr>
      <w:r w:rsidRPr="000A35E0">
        <w:t>4.</w:t>
      </w:r>
      <w:r w:rsidRPr="000A35E0">
        <w:tab/>
        <w:t>podkreśla potrzebę skoordynowanej i jednolitej reakcji UE, zwłaszcza że taryfy celne pomyślano tak, aby w różnym stopniu dotknęły różne państwa członkowskie, co stanowi próbę skłócenia Unii;</w:t>
      </w:r>
    </w:p>
    <w:p w14:paraId="5248A8D2" w14:textId="7CEC5B14" w:rsidR="004A5F1D" w:rsidRPr="000A35E0" w:rsidRDefault="004A5F1D" w:rsidP="004A5F1D">
      <w:pPr>
        <w:pStyle w:val="NormalHanging12a"/>
      </w:pPr>
      <w:r w:rsidRPr="000A35E0">
        <w:t>5.</w:t>
      </w:r>
      <w:r w:rsidRPr="000A35E0">
        <w:tab/>
        <w:t>wzywa Komisję do ścisłego monitorowania rynku rolno-spożywczego w UE w celu szybkiego wykrywania zakłóceń wynikających ze stosowania taryf celnych, ze skumulowanych skutków innych zmian na rynku, w tym spowodowanych obowiązującym embargiem rosyjskim, oraz z efektu domina wywołanego wypadnięciem produktów z łańcucha dostaw żywności;</w:t>
      </w:r>
    </w:p>
    <w:p w14:paraId="48814FF0" w14:textId="5EC7E4F0" w:rsidR="004A5F1D" w:rsidRPr="000A35E0" w:rsidRDefault="004A5F1D" w:rsidP="004A5F1D">
      <w:pPr>
        <w:pStyle w:val="NormalHanging12a"/>
      </w:pPr>
      <w:r w:rsidRPr="000A35E0">
        <w:t>6.</w:t>
      </w:r>
      <w:r w:rsidRPr="000A35E0">
        <w:tab/>
        <w:t>wzywa Komisję, by zbadała wpływ tych środków zaradczych na objęte nimi sektory i na rynek wewnętrzny oraz by w uzasadnionych przypadkach, zgodnie z zasadami WTO i w granicach budżetu, uruchomiła szybkie wsparcie dla sektorów najbardziej dotkniętych tymi taryfami; w tym kontekście wyraża głębokie ubolewanie, że w budżecie na 2020 r. nie przewidziano odpowiednich środków na finansowanie tych celów;</w:t>
      </w:r>
    </w:p>
    <w:p w14:paraId="23E48740" w14:textId="35A6AD92" w:rsidR="004A5F1D" w:rsidRPr="000A35E0" w:rsidRDefault="004A5F1D" w:rsidP="004A5F1D">
      <w:pPr>
        <w:pStyle w:val="NormalHanging12a"/>
      </w:pPr>
      <w:r w:rsidRPr="000A35E0">
        <w:t>7.</w:t>
      </w:r>
      <w:r w:rsidRPr="000A35E0">
        <w:tab/>
        <w:t>wzywa Komisję, by rozważyła wykorzystanie narzędzi dostępnych w ramach jednolitej wspólnej organizacji rynku, takich jak systemy prywatnego przechowywania i wycofanie z obrotu, oraz wszelkich nowych lub innych dostępnych instrumentów i odpowiednich środków umożliwiających radzenie sobie z zakłóceniami na rynku wewnętrznym;</w:t>
      </w:r>
    </w:p>
    <w:p w14:paraId="11256CA8" w14:textId="40704AD8" w:rsidR="004A5F1D" w:rsidRPr="000A35E0" w:rsidRDefault="004A5F1D" w:rsidP="004A5F1D">
      <w:pPr>
        <w:pStyle w:val="NormalHanging12a"/>
      </w:pPr>
      <w:r w:rsidRPr="000A35E0">
        <w:t>8.</w:t>
      </w:r>
      <w:r w:rsidRPr="000A35E0">
        <w:tab/>
        <w:t>z zadowoleniem przyjmuje oświadczenie Komisji, że dokona przeglądu obowiązującego prawa wtórnego objętego jednolitą wspólną organizacją rynku, aby umożliwić podmiotom gospodarczym przedłużenie kampanii w USA i zapewnić większą elastyczność w zarządzaniu kampaniami promocyjnymi prowadzonymi w państwach trzecich z myślą o umożliwieniu podmiotom szybkiego działania, o wzmocnieniu ich działań w USA oraz o przeciwdziałaniu skutkom dla konsumentów lub w razie potrzeby o ukierunkowaniu na rynki alternatywne dzięki przeprogramowaniu działań już zatwierdzonych dla rynku amerykańskiego; zwraca się do Komisji o jak najszybsze wprowadzenie tych zmian i przyjęcie dodatkowych środków w celu zapewnienia większej elastyczności w zarządzaniu kampaniami promocyjnymi na mocy rozporządzenia w sprawie promocji;</w:t>
      </w:r>
    </w:p>
    <w:p w14:paraId="63C62AAB" w14:textId="6C004F2E" w:rsidR="004A5F1D" w:rsidRPr="000A35E0" w:rsidRDefault="004A5F1D" w:rsidP="004A5F1D">
      <w:pPr>
        <w:pStyle w:val="NormalHanging12a"/>
      </w:pPr>
      <w:r w:rsidRPr="000A35E0">
        <w:t>9.</w:t>
      </w:r>
      <w:r w:rsidRPr="000A35E0">
        <w:tab/>
        <w:t>podkreśla, że amerykańskie sankcje mają charakter wyjątkowy i podmioty gospodarcze nie mogły ich przewidzieć ani się na nie przygotować; w związku z tym zwraca się do Komisji, aby dostosowała zasady kontroli i audytu w taki sposób, by podmioty gospodarcze nie zostały poszkodowane w wyniku nieuniknionych dostosowań, których będą musiały dokonać w działaniach promocyjnych, ani nie były karane za nierealizowanie zaplanowanych działań promocyjnych;</w:t>
      </w:r>
    </w:p>
    <w:p w14:paraId="445FC075" w14:textId="62EA8075" w:rsidR="004A5F1D" w:rsidRPr="000A35E0" w:rsidRDefault="004A5F1D" w:rsidP="004A5F1D">
      <w:pPr>
        <w:pStyle w:val="NormalHanging12a"/>
      </w:pPr>
      <w:r w:rsidRPr="000A35E0">
        <w:t>10.</w:t>
      </w:r>
      <w:r w:rsidRPr="000A35E0">
        <w:tab/>
        <w:t>wzywa Komisję do podjęcia horyzontalnych działań informacyjnych i promocyjnych, które mogą mieć formę misji wysokiego szczebla, udziału w targach handlowych i wystawach o znaczeniu międzynarodowym z myślą o poprawie wizerunku i intensywniejszej promocji odnośnych produktów, zgodnie z art. 2 i 9 rozporządzenia w sprawie promocji;</w:t>
      </w:r>
    </w:p>
    <w:p w14:paraId="28671648" w14:textId="6B6051A8" w:rsidR="004A5F1D" w:rsidRPr="000A35E0" w:rsidRDefault="004A5F1D" w:rsidP="004A5F1D">
      <w:pPr>
        <w:pStyle w:val="NormalHanging12a"/>
      </w:pPr>
      <w:r w:rsidRPr="000A35E0">
        <w:t>11.</w:t>
      </w:r>
      <w:r w:rsidRPr="000A35E0">
        <w:tab/>
        <w:t>zauważa, że z powodu tego szczególnego problemu rynkowego Komisja powinna rozważyć zastosowanie przepisów art. 15 i 19 rozporządzenia w sprawie promocji, aby wesprzeć podmioty gospodarcze, dla których wejście na rynek amerykański będzie wymagało większych wysiłków, a także aby pomóc w ograniczeniu barier wejścia na rynek;</w:t>
      </w:r>
    </w:p>
    <w:p w14:paraId="15CE9077" w14:textId="0AF510A9" w:rsidR="004A5F1D" w:rsidRPr="000A35E0" w:rsidRDefault="004A5F1D" w:rsidP="004A5F1D">
      <w:pPr>
        <w:pStyle w:val="NormalHanging12a"/>
      </w:pPr>
      <w:r w:rsidRPr="000A35E0">
        <w:t>12.</w:t>
      </w:r>
      <w:r w:rsidRPr="000A35E0">
        <w:tab/>
        <w:t>zwraca się do Komisji, by w ramach dostępnych marginesów zatwierdziła dodatkowe zaproszenia do składania wniosków, a jednocześnie zwiększyła środki na promocję na 2019 r., ponieważ roczny budżet został już rozdysponowany, aby zapobiec wszelkim opóźnieniom w szybkim reagowaniu na amerykańskie środki zaradcze;</w:t>
      </w:r>
    </w:p>
    <w:p w14:paraId="3088E392" w14:textId="41CA7731" w:rsidR="004A5F1D" w:rsidRPr="000A35E0" w:rsidRDefault="004A5F1D" w:rsidP="004A5F1D">
      <w:pPr>
        <w:pStyle w:val="NormalHanging12a"/>
      </w:pPr>
      <w:r w:rsidRPr="000A35E0">
        <w:t>13.</w:t>
      </w:r>
      <w:r w:rsidRPr="000A35E0">
        <w:tab/>
        <w:t>popiera wzmocnienie horyzontalnego rozporządzenia w sprawie promocji, przy jednoczesnym wykorzystaniu know-how krajowych biur promocji handlu, aby wspierać podmioty gospodarcze w rozszerzaniu i utrwalaniu ich pozycji na rynkach państw trzecich oraz w poszukiwaniu nowych rynków zbytu dla produktów UE w kontekście reformy wspólnej polityki rolnej (WPR) i następnego przeglądu rozporządzenia w sprawie promocji;</w:t>
      </w:r>
    </w:p>
    <w:p w14:paraId="0E8F36AD" w14:textId="16964998" w:rsidR="004A5F1D" w:rsidRPr="000A35E0" w:rsidRDefault="004A5F1D" w:rsidP="004A5F1D">
      <w:pPr>
        <w:pStyle w:val="NormalHanging12a"/>
      </w:pPr>
      <w:r w:rsidRPr="000A35E0">
        <w:t>14.</w:t>
      </w:r>
      <w:r w:rsidRPr="000A35E0">
        <w:tab/>
        <w:t>podkreśla, że w tych okolicznościach kluczowe znaczenie ma uniknięcie dalszych cięć w budżecie WPR oraz kontynuowanie reformy rezerwy kryzysowej WPR, ponieważ sektor rolnictwa jest w coraz większym stopniu narażony na niestabilność i umotywowane politycznie kryzysy międzynarodowe, co wymaga silnej i skutecznej reakcji budżetowej;</w:t>
      </w:r>
    </w:p>
    <w:p w14:paraId="27314E23" w14:textId="49143ADB" w:rsidR="004A5F1D" w:rsidRPr="000A35E0" w:rsidRDefault="004A5F1D" w:rsidP="004A5F1D">
      <w:pPr>
        <w:pStyle w:val="NormalHanging12a"/>
      </w:pPr>
      <w:r w:rsidRPr="000A35E0">
        <w:t>15.</w:t>
      </w:r>
      <w:r w:rsidRPr="000A35E0">
        <w:tab/>
        <w:t>podkreśla potrzebę dywersyfikacji rynków wywozu i zapewnienia dostępu do rynku dla produktów rolno-spożywczych objętych amerykańskimi taryfami celnymi dzięki usunięciu utrzymujących się przeszkód technicznych, które uniemożliwiają podmiotom czerpanie pełnych korzyści z możliwości eksportowych wynikających z innych umów o wolnym handlu;</w:t>
      </w:r>
    </w:p>
    <w:p w14:paraId="298F4C8A" w14:textId="2822C7F7" w:rsidR="004A5F1D" w:rsidRPr="000A35E0" w:rsidRDefault="004A5F1D" w:rsidP="004A5F1D">
      <w:pPr>
        <w:pStyle w:val="NormalHanging12a"/>
      </w:pPr>
      <w:r w:rsidRPr="000A35E0">
        <w:t>16.</w:t>
      </w:r>
      <w:r w:rsidRPr="000A35E0">
        <w:tab/>
        <w:t>potwierdza swoje poparcie dla wolnego handlu i otwartych rynków, ponieważ zapewniają one wielu małym i średnim przedsiębiorstwom w USA i UE większe możliwości gospodarcze i w zakresie zatrudnienia, oraz podkreśla znaczenie konstruktywnych stosunków handlowych przynoszących wzajemne korzyści UE i USA;</w:t>
      </w:r>
    </w:p>
    <w:p w14:paraId="797809F8" w14:textId="08D1E28C" w:rsidR="004A5F1D" w:rsidRPr="000A35E0" w:rsidRDefault="004A5F1D" w:rsidP="004A5F1D">
      <w:pPr>
        <w:pStyle w:val="NormalHanging12a"/>
      </w:pPr>
      <w:r w:rsidRPr="000A35E0">
        <w:t>17.</w:t>
      </w:r>
      <w:r w:rsidRPr="000A35E0">
        <w:tab/>
        <w:t>podkreśla swoje poparcie dla utrzymania systemu handlowego opartego na zasadach i dla WTO jako instytucji, a zarazem uznaje potrzebę kompleksowej reformy, w szczególności w odniesieniu do Organu Apelacyjnego WTO;</w:t>
      </w:r>
    </w:p>
    <w:p w14:paraId="0D236602" w14:textId="77777777" w:rsidR="004A5F1D" w:rsidRPr="000A35E0" w:rsidRDefault="004A5F1D" w:rsidP="004A5F1D">
      <w:pPr>
        <w:pStyle w:val="NormalHanging12a"/>
      </w:pPr>
      <w:r w:rsidRPr="000A35E0">
        <w:t>18.</w:t>
      </w:r>
      <w:r w:rsidRPr="000A35E0">
        <w:tab/>
        <w:t>zobowiązuje swojego przewodniczącego do przekazania niniejszej rezolucji Radzie i Komisji.</w:t>
      </w:r>
    </w:p>
    <w:p w14:paraId="220D1865" w14:textId="77777777" w:rsidR="001B3354" w:rsidRPr="000A35E0" w:rsidRDefault="001B3354" w:rsidP="00F774BE">
      <w:pPr>
        <w:pStyle w:val="NormalHanging12a"/>
      </w:pPr>
    </w:p>
    <w:sectPr w:rsidR="001B3354" w:rsidRPr="000A35E0" w:rsidSect="00966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05D6C" w14:textId="77777777" w:rsidR="00F474D4" w:rsidRPr="000A35E0" w:rsidRDefault="00F474D4">
      <w:r w:rsidRPr="000A35E0">
        <w:separator/>
      </w:r>
    </w:p>
  </w:endnote>
  <w:endnote w:type="continuationSeparator" w:id="0">
    <w:p w14:paraId="47389A73" w14:textId="77777777" w:rsidR="00F474D4" w:rsidRPr="000A35E0" w:rsidRDefault="00F474D4">
      <w:r w:rsidRPr="000A35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8810" w14:textId="5FDCDDBD" w:rsidR="000A35E0" w:rsidRPr="000A35E0" w:rsidRDefault="000A35E0" w:rsidP="000A35E0">
    <w:pPr>
      <w:pStyle w:val="EPFooterRC"/>
    </w:pPr>
    <w:r w:rsidRPr="000A35E0">
      <w:rPr>
        <w:rStyle w:val="HideTWBExt"/>
        <w:noProof w:val="0"/>
      </w:rPr>
      <w:t>&lt;PathFdR&gt;</w:t>
    </w:r>
    <w:r w:rsidRPr="000A35E0">
      <w:t>RC\1193766PL.docx</w:t>
    </w:r>
    <w:r w:rsidRPr="000A35E0">
      <w:rPr>
        <w:rStyle w:val="HideTWBExt"/>
        <w:noProof w:val="0"/>
      </w:rPr>
      <w:t>&lt;/PathFdR&gt;</w:t>
    </w:r>
    <w:r w:rsidRPr="000A35E0">
      <w:tab/>
    </w:r>
    <w:r w:rsidRPr="000A35E0">
      <w:fldChar w:fldCharType="begin"/>
    </w:r>
    <w:r w:rsidRPr="000A35E0">
      <w:instrText xml:space="preserve"> PAGE  \* MERGEFORMAT </w:instrText>
    </w:r>
    <w:r w:rsidRPr="000A35E0">
      <w:fldChar w:fldCharType="separate"/>
    </w:r>
    <w:r w:rsidR="00D317D3">
      <w:rPr>
        <w:noProof/>
      </w:rPr>
      <w:t>2</w:t>
    </w:r>
    <w:r w:rsidRPr="000A35E0">
      <w:fldChar w:fldCharType="end"/>
    </w:r>
    <w:r w:rsidRPr="000A35E0">
      <w:t>/</w:t>
    </w:r>
    <w:fldSimple w:instr=" NUMPAGES  \* MERGEFORMAT ">
      <w:r w:rsidR="00D317D3">
        <w:rPr>
          <w:noProof/>
        </w:rPr>
        <w:t>7</w:t>
      </w:r>
    </w:fldSimple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643.366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</w:t>
    </w:r>
  </w:p>
  <w:p w14:paraId="47D3B2FD" w14:textId="77777777" w:rsidR="000A35E0" w:rsidRPr="000A35E0" w:rsidRDefault="000A35E0" w:rsidP="000A35E0">
    <w:pPr>
      <w:pStyle w:val="EPFooterRC"/>
    </w:pPr>
    <w:r w:rsidRPr="000A35E0">
      <w:tab/>
    </w:r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643.367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</w:t>
    </w:r>
  </w:p>
  <w:p w14:paraId="03191155" w14:textId="77777777" w:rsidR="000A35E0" w:rsidRPr="000A35E0" w:rsidRDefault="000A35E0" w:rsidP="000A35E0">
    <w:pPr>
      <w:pStyle w:val="EPFooterRC"/>
    </w:pPr>
    <w:r w:rsidRPr="000A35E0">
      <w:tab/>
    </w:r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643.370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</w:t>
    </w:r>
  </w:p>
  <w:p w14:paraId="504E4E00" w14:textId="77777777" w:rsidR="000A35E0" w:rsidRPr="000A35E0" w:rsidRDefault="000A35E0" w:rsidP="000A35E0">
    <w:pPr>
      <w:pStyle w:val="EPFooterRC"/>
    </w:pPr>
    <w:r w:rsidRPr="000A35E0">
      <w:tab/>
    </w:r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643.372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 RC1</w:t>
    </w:r>
  </w:p>
  <w:p w14:paraId="36661343" w14:textId="05010105" w:rsidR="00626D73" w:rsidRPr="000A35E0" w:rsidRDefault="000A35E0" w:rsidP="000A35E0">
    <w:pPr>
      <w:pStyle w:val="EPFooter2"/>
    </w:pPr>
    <w:r w:rsidRPr="000A35E0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5FBA" w14:textId="194A49B0" w:rsidR="000A35E0" w:rsidRPr="000A35E0" w:rsidRDefault="000A35E0" w:rsidP="000A35E0">
    <w:pPr>
      <w:pStyle w:val="EPFooterRC"/>
    </w:pPr>
    <w:r w:rsidRPr="000A35E0">
      <w:rPr>
        <w:rStyle w:val="HideTWBExt"/>
        <w:noProof w:val="0"/>
      </w:rPr>
      <w:t>&lt;PathFdR&gt;</w:t>
    </w:r>
    <w:r w:rsidRPr="000A35E0">
      <w:t>RC\1193766PL.docx</w:t>
    </w:r>
    <w:r w:rsidRPr="000A35E0">
      <w:rPr>
        <w:rStyle w:val="HideTWBExt"/>
        <w:noProof w:val="0"/>
      </w:rPr>
      <w:t>&lt;/PathFdR&gt;</w:t>
    </w:r>
    <w:r w:rsidRPr="000A35E0">
      <w:tab/>
    </w:r>
    <w:r w:rsidRPr="000A35E0">
      <w:fldChar w:fldCharType="begin"/>
    </w:r>
    <w:r w:rsidRPr="000A35E0">
      <w:instrText xml:space="preserve"> PAGE  \* MERGEFORMAT </w:instrText>
    </w:r>
    <w:r w:rsidRPr="000A35E0">
      <w:fldChar w:fldCharType="separate"/>
    </w:r>
    <w:r w:rsidR="00D317D3">
      <w:rPr>
        <w:noProof/>
      </w:rPr>
      <w:t>7</w:t>
    </w:r>
    <w:r w:rsidRPr="000A35E0">
      <w:fldChar w:fldCharType="end"/>
    </w:r>
    <w:r w:rsidRPr="000A35E0">
      <w:t>/</w:t>
    </w:r>
    <w:fldSimple w:instr=" NUMPAGES  \* MERGEFORMAT ">
      <w:r w:rsidR="00D317D3">
        <w:rPr>
          <w:noProof/>
        </w:rPr>
        <w:t>7</w:t>
      </w:r>
    </w:fldSimple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643.366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</w:t>
    </w:r>
  </w:p>
  <w:p w14:paraId="71DCD537" w14:textId="77777777" w:rsidR="000A35E0" w:rsidRPr="000A35E0" w:rsidRDefault="000A35E0" w:rsidP="000A35E0">
    <w:pPr>
      <w:pStyle w:val="EPFooterRC"/>
    </w:pPr>
    <w:r w:rsidRPr="000A35E0">
      <w:tab/>
    </w:r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643.367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</w:t>
    </w:r>
  </w:p>
  <w:p w14:paraId="71452692" w14:textId="77777777" w:rsidR="000A35E0" w:rsidRPr="000A35E0" w:rsidRDefault="000A35E0" w:rsidP="000A35E0">
    <w:pPr>
      <w:pStyle w:val="EPFooterRC"/>
    </w:pPr>
    <w:r w:rsidRPr="000A35E0">
      <w:tab/>
    </w:r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643.370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</w:t>
    </w:r>
  </w:p>
  <w:p w14:paraId="2C9E8848" w14:textId="77777777" w:rsidR="000A35E0" w:rsidRPr="000A35E0" w:rsidRDefault="000A35E0" w:rsidP="000A35E0">
    <w:pPr>
      <w:pStyle w:val="EPFooterRC"/>
    </w:pPr>
    <w:r w:rsidRPr="000A35E0">
      <w:tab/>
    </w:r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643.372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 RC1</w:t>
    </w:r>
  </w:p>
  <w:p w14:paraId="1E1EE5C4" w14:textId="33911870" w:rsidR="00626D73" w:rsidRPr="000A35E0" w:rsidRDefault="000A35E0" w:rsidP="000A35E0">
    <w:pPr>
      <w:pStyle w:val="EPFooter2"/>
    </w:pPr>
    <w:r w:rsidRPr="000A35E0">
      <w:tab/>
    </w:r>
    <w:r w:rsidRPr="000A35E0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3A1F" w14:textId="77777777" w:rsidR="000A35E0" w:rsidRPr="000A35E0" w:rsidRDefault="000A35E0" w:rsidP="000A35E0">
    <w:pPr>
      <w:pStyle w:val="EPFooterRC"/>
    </w:pPr>
    <w:r w:rsidRPr="000A35E0">
      <w:rPr>
        <w:rStyle w:val="HideTWBExt"/>
        <w:noProof w:val="0"/>
      </w:rPr>
      <w:t>&lt;PathFdR&gt;</w:t>
    </w:r>
    <w:r w:rsidRPr="000A35E0">
      <w:t>RC\1193766PL.docx</w:t>
    </w:r>
    <w:r w:rsidRPr="000A35E0">
      <w:rPr>
        <w:rStyle w:val="HideTWBExt"/>
        <w:noProof w:val="0"/>
      </w:rPr>
      <w:t>&lt;/PathFdR&gt;</w:t>
    </w:r>
    <w:r w:rsidRPr="000A35E0">
      <w:tab/>
    </w:r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643.366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</w:t>
    </w:r>
  </w:p>
  <w:p w14:paraId="1C606A29" w14:textId="77777777" w:rsidR="000A35E0" w:rsidRPr="000A35E0" w:rsidRDefault="000A35E0" w:rsidP="000A35E0">
    <w:pPr>
      <w:pStyle w:val="EPFooterRC"/>
    </w:pPr>
    <w:r w:rsidRPr="000A35E0">
      <w:tab/>
    </w:r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643.367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</w:t>
    </w:r>
  </w:p>
  <w:p w14:paraId="4AF2A96C" w14:textId="77777777" w:rsidR="000A35E0" w:rsidRPr="000A35E0" w:rsidRDefault="000A35E0" w:rsidP="000A35E0">
    <w:pPr>
      <w:pStyle w:val="EPFooterRC"/>
    </w:pPr>
    <w:r w:rsidRPr="000A35E0">
      <w:tab/>
    </w:r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643.370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</w:t>
    </w:r>
  </w:p>
  <w:p w14:paraId="649EAE29" w14:textId="77777777" w:rsidR="000A35E0" w:rsidRPr="000A35E0" w:rsidRDefault="000A35E0" w:rsidP="000A35E0">
    <w:pPr>
      <w:pStyle w:val="EPFooterRC"/>
    </w:pPr>
    <w:r w:rsidRPr="000A35E0">
      <w:tab/>
    </w:r>
    <w:r w:rsidRPr="000A35E0">
      <w:tab/>
      <w:t>PE</w:t>
    </w:r>
    <w:r w:rsidRPr="000A35E0">
      <w:rPr>
        <w:rStyle w:val="HideTWBExt"/>
        <w:noProof w:val="0"/>
      </w:rPr>
      <w:t>&lt;NoPE&gt;</w:t>
    </w:r>
    <w:r w:rsidRPr="000A35E0">
      <w:t>643.372</w:t>
    </w:r>
    <w:r w:rsidRPr="000A35E0">
      <w:rPr>
        <w:rStyle w:val="HideTWBExt"/>
        <w:noProof w:val="0"/>
      </w:rPr>
      <w:t>&lt;/NoPE&gt;&lt;Version&gt;</w:t>
    </w:r>
    <w:r w:rsidRPr="000A35E0">
      <w:t>v01-00</w:t>
    </w:r>
    <w:r w:rsidRPr="000A35E0">
      <w:rPr>
        <w:rStyle w:val="HideTWBExt"/>
        <w:noProof w:val="0"/>
      </w:rPr>
      <w:t>&lt;/Version&gt;</w:t>
    </w:r>
    <w:r w:rsidRPr="000A35E0">
      <w:t xml:space="preserve"> } RC1</w:t>
    </w:r>
  </w:p>
  <w:p w14:paraId="644DF06C" w14:textId="7E0F469D" w:rsidR="00626D73" w:rsidRPr="000A35E0" w:rsidRDefault="000A35E0" w:rsidP="000A35E0">
    <w:pPr>
      <w:pStyle w:val="EPFooter2"/>
    </w:pPr>
    <w:r w:rsidRPr="000A35E0">
      <w:t>PL</w:t>
    </w:r>
    <w:r w:rsidRPr="000A35E0">
      <w:tab/>
    </w:r>
    <w:r w:rsidRPr="000A35E0">
      <w:rPr>
        <w:b w:val="0"/>
        <w:i/>
        <w:color w:val="C0C0C0"/>
        <w:sz w:val="22"/>
      </w:rPr>
      <w:t>Zjednoczona w różnorodności</w:t>
    </w:r>
    <w:r w:rsidRPr="000A35E0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F8C0" w14:textId="77777777" w:rsidR="00F474D4" w:rsidRPr="000A35E0" w:rsidRDefault="00F474D4">
      <w:r w:rsidRPr="000A35E0">
        <w:separator/>
      </w:r>
    </w:p>
  </w:footnote>
  <w:footnote w:type="continuationSeparator" w:id="0">
    <w:p w14:paraId="5BAF5A98" w14:textId="77777777" w:rsidR="00F474D4" w:rsidRPr="000A35E0" w:rsidRDefault="00F474D4">
      <w:r w:rsidRPr="000A35E0">
        <w:continuationSeparator/>
      </w:r>
    </w:p>
  </w:footnote>
  <w:footnote w:id="1">
    <w:p w14:paraId="3877A60A" w14:textId="77777777" w:rsidR="004A5F1D" w:rsidRPr="000A35E0" w:rsidRDefault="004A5F1D" w:rsidP="004A5F1D">
      <w:pPr>
        <w:pStyle w:val="FootnoteText"/>
      </w:pPr>
      <w:r w:rsidRPr="000A35E0">
        <w:rPr>
          <w:rStyle w:val="FootnoteReference"/>
        </w:rPr>
        <w:footnoteRef/>
      </w:r>
      <w:r w:rsidRPr="000A35E0">
        <w:t xml:space="preserve"> Dz.U. L 317 z 4.11.2014, s. 56.</w:t>
      </w:r>
    </w:p>
  </w:footnote>
  <w:footnote w:id="2">
    <w:p w14:paraId="6129A346" w14:textId="77777777" w:rsidR="004A5F1D" w:rsidRPr="000A35E0" w:rsidRDefault="004A5F1D" w:rsidP="004A5F1D">
      <w:pPr>
        <w:pStyle w:val="FootnoteText"/>
      </w:pPr>
      <w:r w:rsidRPr="000A35E0">
        <w:rPr>
          <w:rStyle w:val="FootnoteReference"/>
        </w:rPr>
        <w:footnoteRef/>
      </w:r>
      <w:r w:rsidRPr="000A35E0">
        <w:t xml:space="preserve"> Dz.U. L 347 z 20.12.2013, s. 671.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AC9B7" w14:textId="77777777" w:rsidR="00D317D3" w:rsidRDefault="00D3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24AA" w14:textId="77777777" w:rsidR="00D317D3" w:rsidRDefault="00D31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D84A" w14:textId="77777777" w:rsidR="00D317D3" w:rsidRDefault="00D3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MYVAR1" w:val="3"/>
    <w:docVar w:name="NVAR1" w:val="3"/>
    <w:docVar w:name="NVAR2" w:val="4"/>
    <w:docVar w:name="RULEMNU" w:val=" 1"/>
    <w:docVar w:name="strDocTypeID" w:val="RC"/>
    <w:docVar w:name="strSubDir" w:val="1193"/>
    <w:docVar w:name="TABLERMNU" w:val=" 1"/>
    <w:docVar w:name="TXTLANGUE" w:val="EN"/>
    <w:docVar w:name="TXTLANGUEMIN" w:val="en"/>
    <w:docVar w:name="TXTNRB1" w:val="0197/2019"/>
    <w:docVar w:name="TXTNRB2" w:val="0198/2019"/>
    <w:docVar w:name="TXTNRB3" w:val="0201/2019"/>
    <w:docVar w:name="TXTNRB4" w:val="0203/2019"/>
    <w:docVar w:name="TXTNRPE1" w:val="643.366"/>
    <w:docVar w:name="TXTNRPE2" w:val="643.367"/>
    <w:docVar w:name="TXTNRPE3" w:val="643.370"/>
    <w:docVar w:name="TXTNRPE4" w:val="643.372"/>
    <w:docVar w:name="TXTNRRSP" w:val="2019/2895"/>
    <w:docVar w:name="TXTPEorAP" w:val="PE"/>
    <w:docVar w:name="TXTROUTE" w:val="RC\1193766EN.docx"/>
    <w:docVar w:name="TXTTITLE" w:val="Measures to address the impact on European agriculture of the WTO ruling on the Airbus dispute"/>
    <w:docVar w:name="TXTVERSION1" w:val="01-00"/>
    <w:docVar w:name="TXTVERSION2" w:val="01-00"/>
    <w:docVar w:name="TXTVERSION3" w:val="01-00"/>
    <w:docVar w:name="TXTVERSION4" w:val="01-00"/>
  </w:docVars>
  <w:rsids>
    <w:rsidRoot w:val="00F474D4"/>
    <w:rsid w:val="00005903"/>
    <w:rsid w:val="0001465F"/>
    <w:rsid w:val="0001776E"/>
    <w:rsid w:val="0008467F"/>
    <w:rsid w:val="000A35E0"/>
    <w:rsid w:val="000B3501"/>
    <w:rsid w:val="000B4B40"/>
    <w:rsid w:val="00177088"/>
    <w:rsid w:val="001816C4"/>
    <w:rsid w:val="00184B3E"/>
    <w:rsid w:val="001A5F93"/>
    <w:rsid w:val="001B3354"/>
    <w:rsid w:val="001C2ED8"/>
    <w:rsid w:val="001D4223"/>
    <w:rsid w:val="001E6953"/>
    <w:rsid w:val="002439D4"/>
    <w:rsid w:val="00250797"/>
    <w:rsid w:val="00251355"/>
    <w:rsid w:val="00263A64"/>
    <w:rsid w:val="002A2B62"/>
    <w:rsid w:val="002C4BC5"/>
    <w:rsid w:val="002E2D08"/>
    <w:rsid w:val="00335275"/>
    <w:rsid w:val="00342C03"/>
    <w:rsid w:val="003441B1"/>
    <w:rsid w:val="003957F5"/>
    <w:rsid w:val="00397697"/>
    <w:rsid w:val="003B03C1"/>
    <w:rsid w:val="003D73AC"/>
    <w:rsid w:val="00407A72"/>
    <w:rsid w:val="00412DDD"/>
    <w:rsid w:val="004315DC"/>
    <w:rsid w:val="00440589"/>
    <w:rsid w:val="00445AC8"/>
    <w:rsid w:val="00486CC2"/>
    <w:rsid w:val="00493197"/>
    <w:rsid w:val="004A5F1D"/>
    <w:rsid w:val="004D5831"/>
    <w:rsid w:val="004E13DA"/>
    <w:rsid w:val="004E563D"/>
    <w:rsid w:val="004F3387"/>
    <w:rsid w:val="004F500E"/>
    <w:rsid w:val="00503B5F"/>
    <w:rsid w:val="00505571"/>
    <w:rsid w:val="00512790"/>
    <w:rsid w:val="00514C31"/>
    <w:rsid w:val="00530503"/>
    <w:rsid w:val="00550D1B"/>
    <w:rsid w:val="00554F5C"/>
    <w:rsid w:val="00570CA5"/>
    <w:rsid w:val="005832F3"/>
    <w:rsid w:val="00584E73"/>
    <w:rsid w:val="0059417F"/>
    <w:rsid w:val="005B55C9"/>
    <w:rsid w:val="005C13B8"/>
    <w:rsid w:val="005D1F88"/>
    <w:rsid w:val="005E607B"/>
    <w:rsid w:val="005F6748"/>
    <w:rsid w:val="005F6A25"/>
    <w:rsid w:val="005F7443"/>
    <w:rsid w:val="00600326"/>
    <w:rsid w:val="00623B7A"/>
    <w:rsid w:val="00626D73"/>
    <w:rsid w:val="006612B5"/>
    <w:rsid w:val="00676484"/>
    <w:rsid w:val="006F5830"/>
    <w:rsid w:val="00747149"/>
    <w:rsid w:val="00752855"/>
    <w:rsid w:val="00762DD4"/>
    <w:rsid w:val="00763757"/>
    <w:rsid w:val="00774F74"/>
    <w:rsid w:val="007C394B"/>
    <w:rsid w:val="007C665E"/>
    <w:rsid w:val="007D35C5"/>
    <w:rsid w:val="007E7F10"/>
    <w:rsid w:val="007F1CB4"/>
    <w:rsid w:val="007F34BD"/>
    <w:rsid w:val="007F7251"/>
    <w:rsid w:val="0082552A"/>
    <w:rsid w:val="008803A8"/>
    <w:rsid w:val="008A7EA4"/>
    <w:rsid w:val="008B04F8"/>
    <w:rsid w:val="008B59C9"/>
    <w:rsid w:val="008C0303"/>
    <w:rsid w:val="008F76C4"/>
    <w:rsid w:val="00905E62"/>
    <w:rsid w:val="009219DC"/>
    <w:rsid w:val="00926E4D"/>
    <w:rsid w:val="00931119"/>
    <w:rsid w:val="009418D7"/>
    <w:rsid w:val="00966C5C"/>
    <w:rsid w:val="00967F3D"/>
    <w:rsid w:val="00973878"/>
    <w:rsid w:val="0099390C"/>
    <w:rsid w:val="009A7211"/>
    <w:rsid w:val="009D33CF"/>
    <w:rsid w:val="009E2FFD"/>
    <w:rsid w:val="009F04D0"/>
    <w:rsid w:val="00A01E41"/>
    <w:rsid w:val="00A02AFB"/>
    <w:rsid w:val="00A30C33"/>
    <w:rsid w:val="00A530DF"/>
    <w:rsid w:val="00A53CDC"/>
    <w:rsid w:val="00A72F04"/>
    <w:rsid w:val="00A83D42"/>
    <w:rsid w:val="00AA1D6D"/>
    <w:rsid w:val="00AB70B2"/>
    <w:rsid w:val="00B011CF"/>
    <w:rsid w:val="00B05672"/>
    <w:rsid w:val="00B15782"/>
    <w:rsid w:val="00B47668"/>
    <w:rsid w:val="00B602BC"/>
    <w:rsid w:val="00BB330A"/>
    <w:rsid w:val="00BD1A6A"/>
    <w:rsid w:val="00BE0288"/>
    <w:rsid w:val="00C21478"/>
    <w:rsid w:val="00C31493"/>
    <w:rsid w:val="00C55061"/>
    <w:rsid w:val="00C600AE"/>
    <w:rsid w:val="00CA2FB9"/>
    <w:rsid w:val="00CB6B3F"/>
    <w:rsid w:val="00CC3262"/>
    <w:rsid w:val="00CF6A5D"/>
    <w:rsid w:val="00D317D3"/>
    <w:rsid w:val="00D32298"/>
    <w:rsid w:val="00D57C45"/>
    <w:rsid w:val="00D62D4B"/>
    <w:rsid w:val="00DE63BF"/>
    <w:rsid w:val="00E20BF4"/>
    <w:rsid w:val="00E2703B"/>
    <w:rsid w:val="00E3396B"/>
    <w:rsid w:val="00E42051"/>
    <w:rsid w:val="00E504B7"/>
    <w:rsid w:val="00E93D33"/>
    <w:rsid w:val="00EC024A"/>
    <w:rsid w:val="00EC09FB"/>
    <w:rsid w:val="00F0527D"/>
    <w:rsid w:val="00F25968"/>
    <w:rsid w:val="00F474D4"/>
    <w:rsid w:val="00F50125"/>
    <w:rsid w:val="00F774BE"/>
    <w:rsid w:val="00F849BF"/>
    <w:rsid w:val="00F92249"/>
    <w:rsid w:val="00F94BCB"/>
    <w:rsid w:val="00FC1EE8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0A9FF9B"/>
  <w15:chartTrackingRefBased/>
  <w15:docId w15:val="{EDB0F799-2040-4387-8C9D-70F3EB3F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51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8B59C9"/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CoverNormal12a">
    <w:name w:val="CoverNormal12a"/>
    <w:basedOn w:val="Normal"/>
    <w:rsid w:val="00A530DF"/>
    <w:pPr>
      <w:spacing w:after="240"/>
      <w:ind w:left="1418"/>
    </w:pPr>
  </w:style>
  <w:style w:type="paragraph" w:customStyle="1" w:styleId="CoverNormal24a">
    <w:name w:val="CoverNormal24a"/>
    <w:basedOn w:val="Normal"/>
    <w:rsid w:val="005D1F88"/>
    <w:pPr>
      <w:spacing w:after="480"/>
      <w:ind w:left="1417"/>
    </w:pPr>
  </w:style>
  <w:style w:type="paragraph" w:customStyle="1" w:styleId="NormalHanging12a">
    <w:name w:val="NormalHanging12a"/>
    <w:basedOn w:val="Normal"/>
    <w:rsid w:val="000B3501"/>
    <w:pPr>
      <w:spacing w:after="240"/>
      <w:ind w:left="567" w:hanging="567"/>
    </w:pPr>
  </w:style>
  <w:style w:type="paragraph" w:customStyle="1" w:styleId="CoverDocType24a">
    <w:name w:val="CoverDocType24a"/>
    <w:basedOn w:val="Normal"/>
    <w:rsid w:val="007D35C5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440589"/>
    <w:pPr>
      <w:tabs>
        <w:tab w:val="center" w:pos="4513"/>
        <w:tab w:val="right" w:pos="9026"/>
      </w:tabs>
    </w:pPr>
  </w:style>
  <w:style w:type="paragraph" w:customStyle="1" w:styleId="CoverReferenceRC">
    <w:name w:val="CoverReferenceRC"/>
    <w:basedOn w:val="Normal"/>
    <w:rsid w:val="007D35C5"/>
    <w:pPr>
      <w:tabs>
        <w:tab w:val="left" w:pos="6804"/>
      </w:tabs>
    </w:pPr>
    <w:rPr>
      <w:rFonts w:ascii="Arial" w:hAnsi="Arial"/>
      <w:b/>
    </w:rPr>
  </w:style>
  <w:style w:type="table" w:styleId="TableGrid">
    <w:name w:val="Table Grid"/>
    <w:basedOn w:val="TableNormal"/>
    <w:rsid w:val="0075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75285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752855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D35C5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CoverBold">
    <w:name w:val="CoverBold"/>
    <w:basedOn w:val="Normal"/>
    <w:rsid w:val="007E7F10"/>
    <w:pPr>
      <w:ind w:left="1417"/>
    </w:pPr>
    <w:rPr>
      <w:b/>
    </w:rPr>
  </w:style>
  <w:style w:type="paragraph" w:customStyle="1" w:styleId="EPName">
    <w:name w:val="EPName"/>
    <w:basedOn w:val="Normal"/>
    <w:link w:val="EPNameChar"/>
    <w:rsid w:val="00CA2FB9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CA2FB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A2FB9"/>
    <w:pPr>
      <w:jc w:val="right"/>
    </w:pPr>
  </w:style>
  <w:style w:type="paragraph" w:customStyle="1" w:styleId="CoverDate">
    <w:name w:val="CoverDate"/>
    <w:basedOn w:val="Normal"/>
    <w:rsid w:val="00600326"/>
    <w:pPr>
      <w:spacing w:before="240" w:after="1200"/>
    </w:pPr>
  </w:style>
  <w:style w:type="paragraph" w:customStyle="1" w:styleId="CoverNormal">
    <w:name w:val="CoverNormal"/>
    <w:basedOn w:val="Normal"/>
    <w:rsid w:val="007E7F10"/>
    <w:pPr>
      <w:ind w:left="1418"/>
    </w:pPr>
  </w:style>
  <w:style w:type="paragraph" w:customStyle="1" w:styleId="EPFooterRC">
    <w:name w:val="EPFooterRC"/>
    <w:basedOn w:val="Normal"/>
    <w:rsid w:val="00E2703B"/>
    <w:pPr>
      <w:tabs>
        <w:tab w:val="center" w:pos="4535"/>
        <w:tab w:val="left" w:pos="6661"/>
      </w:tabs>
    </w:pPr>
    <w:rPr>
      <w:color w:val="010000"/>
      <w:sz w:val="22"/>
    </w:rPr>
  </w:style>
  <w:style w:type="paragraph" w:customStyle="1" w:styleId="EPComma">
    <w:name w:val="EPComma"/>
    <w:basedOn w:val="Normal"/>
    <w:rsid w:val="00600326"/>
    <w:pPr>
      <w:spacing w:before="480" w:after="240"/>
    </w:pPr>
  </w:style>
  <w:style w:type="character" w:customStyle="1" w:styleId="HeaderChar">
    <w:name w:val="Header Char"/>
    <w:basedOn w:val="DefaultParagraphFont"/>
    <w:link w:val="Header"/>
    <w:semiHidden/>
    <w:rsid w:val="00440589"/>
    <w:rPr>
      <w:sz w:val="24"/>
    </w:rPr>
  </w:style>
  <w:style w:type="paragraph" w:styleId="Footer">
    <w:name w:val="footer"/>
    <w:basedOn w:val="Normal"/>
    <w:link w:val="FooterChar"/>
    <w:semiHidden/>
    <w:unhideWhenUsed/>
    <w:rsid w:val="00F77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F774BE"/>
    <w:rPr>
      <w:sz w:val="24"/>
    </w:rPr>
  </w:style>
  <w:style w:type="character" w:styleId="CommentReference">
    <w:name w:val="annotation reference"/>
    <w:basedOn w:val="DefaultParagraphFont"/>
    <w:rsid w:val="004A5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F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5F1D"/>
  </w:style>
  <w:style w:type="paragraph" w:styleId="FootnoteText">
    <w:name w:val="footnote text"/>
    <w:basedOn w:val="Normal"/>
    <w:link w:val="FootnoteTextChar"/>
    <w:rsid w:val="004A5F1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F1D"/>
  </w:style>
  <w:style w:type="character" w:styleId="FootnoteReference">
    <w:name w:val="footnote reference"/>
    <w:basedOn w:val="DefaultParagraphFont"/>
    <w:rsid w:val="004A5F1D"/>
    <w:rPr>
      <w:vertAlign w:val="superscript"/>
    </w:rPr>
  </w:style>
  <w:style w:type="paragraph" w:styleId="BalloonText">
    <w:name w:val="Balloon Text"/>
    <w:basedOn w:val="Normal"/>
    <w:link w:val="BalloonTextChar"/>
    <w:rsid w:val="004A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5F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F6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748"/>
    <w:rPr>
      <w:b/>
      <w:bCs/>
    </w:rPr>
  </w:style>
  <w:style w:type="character" w:styleId="Hyperlink">
    <w:name w:val="Hyperlink"/>
    <w:basedOn w:val="DefaultParagraphFont"/>
    <w:rsid w:val="00A53C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9E2FFD"/>
    <w:rPr>
      <w:color w:val="954F72" w:themeColor="followedHyperlink"/>
      <w:u w:val="single"/>
    </w:rPr>
  </w:style>
  <w:style w:type="paragraph" w:customStyle="1" w:styleId="EPFooter">
    <w:name w:val="EPFooter"/>
    <w:basedOn w:val="Normal"/>
    <w:link w:val="EPFooterChar"/>
    <w:rsid w:val="000A35E0"/>
    <w:pPr>
      <w:tabs>
        <w:tab w:val="center" w:pos="4535"/>
        <w:tab w:val="right" w:pos="9071"/>
      </w:tabs>
      <w:spacing w:before="240" w:after="240"/>
    </w:pPr>
    <w:rPr>
      <w:color w:val="010000"/>
      <w:sz w:val="22"/>
      <w:szCs w:val="22"/>
    </w:rPr>
  </w:style>
  <w:style w:type="character" w:customStyle="1" w:styleId="EPNameChar">
    <w:name w:val="EPName Char"/>
    <w:basedOn w:val="DefaultParagraphFont"/>
    <w:link w:val="EPName"/>
    <w:rsid w:val="000A35E0"/>
    <w:rPr>
      <w:rFonts w:ascii="Arial Narrow" w:hAnsi="Arial Narrow" w:cs="Arial"/>
      <w:b/>
      <w:sz w:val="32"/>
      <w:szCs w:val="22"/>
    </w:rPr>
  </w:style>
  <w:style w:type="character" w:customStyle="1" w:styleId="EPFooterChar">
    <w:name w:val="EPFooter Char"/>
    <w:basedOn w:val="EPNameChar"/>
    <w:link w:val="EPFooter"/>
    <w:rsid w:val="000A35E0"/>
    <w:rPr>
      <w:rFonts w:ascii="Arial Narrow" w:hAnsi="Arial Narrow" w:cs="Arial"/>
      <w:b w:val="0"/>
      <w:color w:val="01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11691</Characters>
  <Application>Microsoft Office Word</Application>
  <DocSecurity>0</DocSecurity>
  <Lines>220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</vt:lpstr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</dc:title>
  <dc:subject/>
  <dc:creator>LUTOVS Vladimirs</dc:creator>
  <cp:keywords/>
  <dc:description/>
  <cp:lastModifiedBy>PERNAK Anna</cp:lastModifiedBy>
  <cp:revision>2</cp:revision>
  <cp:lastPrinted>2019-11-27T08:55:00Z</cp:lastPrinted>
  <dcterms:created xsi:type="dcterms:W3CDTF">2019-11-27T20:00:00Z</dcterms:created>
  <dcterms:modified xsi:type="dcterms:W3CDTF">2019-11-27T20:00:00Z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1193766</vt:lpwstr>
  </property>
  <property fmtid="{D5CDD505-2E9C-101B-9397-08002B2CF9AE}" pid="5" name="&lt;Type&gt;">
    <vt:lpwstr>RC</vt:lpwstr>
  </property>
  <property fmtid="{D5CDD505-2E9C-101B-9397-08002B2CF9AE}" pid="6" name="&lt;ModelCod&gt;">
    <vt:lpwstr>\\eiciLUXpr1\pdocep$\DocEP\DOCS\General\RC\RC.dotx(15/10/2019 06:18:53)</vt:lpwstr>
  </property>
  <property fmtid="{D5CDD505-2E9C-101B-9397-08002B2CF9AE}" pid="7" name="&lt;ModelTra&gt;">
    <vt:lpwstr>\\eiciLUXpr1\pdocep$\DocEP\TRANSFIL\EN\RC.EN(25/06/2019 11:01:01)</vt:lpwstr>
  </property>
  <property fmtid="{D5CDD505-2E9C-101B-9397-08002B2CF9AE}" pid="8" name="&lt;Model&gt;">
    <vt:lpwstr>RC</vt:lpwstr>
  </property>
  <property fmtid="{D5CDD505-2E9C-101B-9397-08002B2CF9AE}" pid="9" name="FooterPath">
    <vt:lpwstr>RC\1193766PL.docx</vt:lpwstr>
  </property>
  <property fmtid="{D5CDD505-2E9C-101B-9397-08002B2CF9AE}" pid="10" name="Bookout">
    <vt:lpwstr>OK - 2019/11/27 21:00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PL</vt:lpwstr>
  </property>
</Properties>
</file>