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E5522" w:rsidTr="00904864">
        <w:trPr>
          <w:trHeight w:hRule="exact" w:val="1418"/>
        </w:trPr>
        <w:tc>
          <w:tcPr>
            <w:tcW w:w="6804" w:type="dxa"/>
            <w:shd w:val="clear" w:color="auto" w:fill="auto"/>
            <w:vAlign w:val="center"/>
          </w:tcPr>
          <w:p w:rsidR="00522B51" w:rsidRPr="00101A66" w:rsidRDefault="00D107CE" w:rsidP="00904864">
            <w:pPr>
              <w:pStyle w:val="EPName"/>
            </w:pPr>
            <w:r>
              <w:t>Europos Parlamentas</w:t>
            </w:r>
          </w:p>
          <w:p w:rsidR="00522B51" w:rsidRPr="00101A66" w:rsidRDefault="00D107CE" w:rsidP="000F53A3">
            <w:pPr>
              <w:pStyle w:val="EPTerm"/>
              <w:rPr>
                <w:rStyle w:val="HideTWBExt"/>
                <w:noProof w:val="0"/>
                <w:vanish w:val="0"/>
                <w:color w:val="auto"/>
              </w:rPr>
            </w:pPr>
            <w:r>
              <w:t>2019-2024</w:t>
            </w:r>
          </w:p>
        </w:tc>
        <w:tc>
          <w:tcPr>
            <w:tcW w:w="2268" w:type="dxa"/>
            <w:shd w:val="clear" w:color="auto" w:fill="auto"/>
          </w:tcPr>
          <w:p w:rsidR="00522B51" w:rsidRPr="00101A66" w:rsidRDefault="00D107CE" w:rsidP="00904864">
            <w:pPr>
              <w:pStyle w:val="EPLogo"/>
            </w:pPr>
            <w:r w:rsidRPr="00101A66">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51078"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101A66" w:rsidRDefault="00F24D40" w:rsidP="00F24D40">
      <w:pPr>
        <w:pStyle w:val="LineTop"/>
      </w:pPr>
    </w:p>
    <w:p w:rsidR="00F24D40" w:rsidRPr="00101A66" w:rsidRDefault="00D107CE" w:rsidP="00F24D40">
      <w:pPr>
        <w:pStyle w:val="EPBody"/>
      </w:pPr>
      <w:r>
        <w:rPr>
          <w:rStyle w:val="HideTWBExt"/>
          <w:color w:val="auto"/>
        </w:rPr>
        <w:t>&lt;</w:t>
      </w:r>
      <w:r>
        <w:rPr>
          <w:rStyle w:val="HideTWBExt"/>
          <w:i w:val="0"/>
          <w:color w:val="auto"/>
        </w:rPr>
        <w:t>Commission</w:t>
      </w:r>
      <w:r>
        <w:rPr>
          <w:rStyle w:val="HideTWBExt"/>
          <w:color w:val="auto"/>
        </w:rPr>
        <w:t>&gt;</w:t>
      </w:r>
      <w:r>
        <w:rPr>
          <w:rStyle w:val="HideTWBInt"/>
          <w:color w:val="auto"/>
        </w:rPr>
        <w:t>{REGI}</w:t>
      </w:r>
      <w:r>
        <w:t>Regioninės plėtros komitetas</w:t>
      </w:r>
      <w:r>
        <w:rPr>
          <w:rStyle w:val="HideTWBExt"/>
          <w:color w:val="auto"/>
        </w:rPr>
        <w:t>&lt;/</w:t>
      </w:r>
      <w:r>
        <w:rPr>
          <w:rStyle w:val="HideTWBExt"/>
          <w:i w:val="0"/>
          <w:color w:val="auto"/>
        </w:rPr>
        <w:t>Commission</w:t>
      </w:r>
      <w:r>
        <w:rPr>
          <w:rStyle w:val="HideTWBExt"/>
          <w:color w:val="auto"/>
        </w:rPr>
        <w:t>&gt;</w:t>
      </w:r>
    </w:p>
    <w:p w:rsidR="00F24D40" w:rsidRPr="00101A66" w:rsidRDefault="00F24D40" w:rsidP="00F24D40">
      <w:pPr>
        <w:pStyle w:val="LineBottom"/>
      </w:pPr>
    </w:p>
    <w:p w:rsidR="00DB56E4" w:rsidRPr="00101A66" w:rsidRDefault="00D107CE" w:rsidP="00DB56E4">
      <w:pPr>
        <w:pStyle w:val="CoverReference"/>
      </w:pPr>
      <w:r>
        <w:rPr>
          <w:rStyle w:val="HideTWBExt"/>
          <w:b w:val="0"/>
          <w:color w:val="auto"/>
        </w:rPr>
        <w:t>&lt;RefProc&gt;</w:t>
      </w:r>
      <w:r>
        <w:t>2019/0254</w:t>
      </w:r>
      <w:r>
        <w:rPr>
          <w:rStyle w:val="HideTWBExt"/>
          <w:b w:val="0"/>
          <w:color w:val="auto"/>
        </w:rPr>
        <w:t>&lt;/RefProc&gt;&lt;RefTypeProc&gt;</w:t>
      </w:r>
      <w:r>
        <w:t>(COD)</w:t>
      </w:r>
      <w:r>
        <w:rPr>
          <w:rStyle w:val="HideTWBExt"/>
          <w:b w:val="0"/>
          <w:color w:val="auto"/>
        </w:rPr>
        <w:t>&lt;/RefTypeProc&gt;</w:t>
      </w:r>
    </w:p>
    <w:p w:rsidR="00DB56E4" w:rsidRPr="00101A66" w:rsidRDefault="00D107CE" w:rsidP="00E60B4C">
      <w:pPr>
        <w:pStyle w:val="CoverDate"/>
        <w:tabs>
          <w:tab w:val="left" w:pos="4080"/>
        </w:tabs>
      </w:pPr>
      <w:r>
        <w:rPr>
          <w:rStyle w:val="HideTWBExt"/>
          <w:color w:val="auto"/>
        </w:rPr>
        <w:t>&lt;Date&gt;</w:t>
      </w:r>
      <w:r>
        <w:rPr>
          <w:rStyle w:val="HideTWBInt"/>
          <w:color w:val="auto"/>
        </w:rPr>
        <w:t>{28/04/2020}</w:t>
      </w:r>
      <w:r>
        <w:t>28.4.2020</w:t>
      </w:r>
      <w:r>
        <w:rPr>
          <w:rStyle w:val="HideTWBExt"/>
          <w:color w:val="auto"/>
        </w:rPr>
        <w:t>&lt;/Date&gt;</w:t>
      </w:r>
    </w:p>
    <w:p w:rsidR="00DB56E4" w:rsidRPr="00101A66" w:rsidRDefault="00D107CE" w:rsidP="00DB56E4">
      <w:pPr>
        <w:pStyle w:val="CoverDocType24a"/>
      </w:pPr>
      <w:r>
        <w:rPr>
          <w:rStyle w:val="HideTWBExt"/>
          <w:b w:val="0"/>
          <w:color w:val="auto"/>
        </w:rPr>
        <w:t>&lt;TitreType&gt;</w:t>
      </w:r>
      <w:r>
        <w:t>NUOMONĖ</w:t>
      </w:r>
      <w:r>
        <w:rPr>
          <w:rStyle w:val="HideTWBExt"/>
          <w:b w:val="0"/>
          <w:color w:val="auto"/>
        </w:rPr>
        <w:t>&lt;/TitreType&gt;</w:t>
      </w:r>
    </w:p>
    <w:p w:rsidR="00DB56E4" w:rsidRPr="00101A66" w:rsidRDefault="00D107CE" w:rsidP="00DB56E4">
      <w:pPr>
        <w:pStyle w:val="CoverNormal24a"/>
      </w:pPr>
      <w:r>
        <w:rPr>
          <w:rStyle w:val="HideTWBExt"/>
          <w:color w:val="auto"/>
        </w:rPr>
        <w:t>&lt;CommissionResp&gt;</w:t>
      </w:r>
      <w:r>
        <w:t xml:space="preserve">Regioninės </w:t>
      </w:r>
      <w:r>
        <w:t>plėtros komiteto</w:t>
      </w:r>
      <w:r>
        <w:rPr>
          <w:rStyle w:val="HideTWBExt"/>
          <w:color w:val="auto"/>
        </w:rPr>
        <w:t>&lt;/CommissionResp&gt;</w:t>
      </w:r>
    </w:p>
    <w:p w:rsidR="00DB56E4" w:rsidRPr="00101A66" w:rsidRDefault="00D107CE" w:rsidP="00DB56E4">
      <w:pPr>
        <w:pStyle w:val="CoverNormal24a"/>
      </w:pPr>
      <w:r>
        <w:rPr>
          <w:rStyle w:val="HideTWBExt"/>
          <w:color w:val="auto"/>
        </w:rPr>
        <w:t>&lt;CommissionInt&gt;</w:t>
      </w:r>
      <w:r>
        <w:t>pateikta Žemės ūkio ir kaimo plėtros komitetui</w:t>
      </w:r>
      <w:r>
        <w:rPr>
          <w:rStyle w:val="HideTWBExt"/>
          <w:color w:val="auto"/>
        </w:rPr>
        <w:t>&lt;/CommissionInt&gt;</w:t>
      </w:r>
    </w:p>
    <w:p w:rsidR="001363BA" w:rsidRPr="00101A66" w:rsidRDefault="00D107CE" w:rsidP="001363BA">
      <w:pPr>
        <w:pStyle w:val="CoverNormal"/>
      </w:pPr>
      <w:r>
        <w:rPr>
          <w:rStyle w:val="HideTWBExt"/>
        </w:rPr>
        <w:t>&lt;Titre&gt;</w:t>
      </w:r>
      <w:r>
        <w:t xml:space="preserve">dėl pasiūlymo dėl Europos Parlamento ir Tarybos reglamento, kuriuo nustatomos tam tikros pereinamojo laikotarpio nuostatos dėl 2021 m. </w:t>
      </w:r>
      <w:r>
        <w:t>paramos iš Europos žemės ūkio fondo kaimo plėtrai (EŽŪFKP) ir Europos žemės ūkio garantijų fondo (EŽŪGF), iš dalies keičiamos reglamentų (ES) Nr. 228/2013, (ES) Nr. 229 ir (ES) Nr. 1308/2013 nuostatos dėl 2021 m. išteklių ir jų skirstymo ir iš dalies keiči</w:t>
      </w:r>
      <w:r>
        <w:t>amos reglamentų (ES) Nr. 1305/2013, (ES) Nr. 1306/2013, (ES) Nr. 1307/2013 nuostatos dėl 2021 m. išteklių ir taikymo</w:t>
      </w:r>
      <w:r>
        <w:rPr>
          <w:rStyle w:val="HideTWBExt"/>
        </w:rPr>
        <w:t>&lt;/Titre&gt;</w:t>
      </w:r>
    </w:p>
    <w:p w:rsidR="00DB56E4" w:rsidRPr="00101A66" w:rsidRDefault="00D107CE" w:rsidP="00DB56E4">
      <w:pPr>
        <w:pStyle w:val="CoverNormal24a"/>
      </w:pPr>
      <w:r>
        <w:rPr>
          <w:rStyle w:val="HideTWBExt"/>
          <w:color w:val="auto"/>
        </w:rPr>
        <w:t>&lt;DocRef&gt;</w:t>
      </w:r>
      <w:r>
        <w:t>(COM(2019)0581 – C9-0162/2019 – 2019/0254(COD))</w:t>
      </w:r>
      <w:r>
        <w:rPr>
          <w:rStyle w:val="HideTWBExt"/>
          <w:color w:val="auto"/>
        </w:rPr>
        <w:t>&lt;/DocRef&gt;</w:t>
      </w:r>
    </w:p>
    <w:p w:rsidR="00DB56E4" w:rsidRPr="00101A66" w:rsidRDefault="00D107CE" w:rsidP="00DB56E4">
      <w:pPr>
        <w:pStyle w:val="CoverNormal24a"/>
      </w:pPr>
      <w:r>
        <w:t xml:space="preserve">Nuomonės referentas: </w:t>
      </w:r>
      <w:r>
        <w:rPr>
          <w:rStyle w:val="HideTWBExt"/>
          <w:color w:val="auto"/>
        </w:rPr>
        <w:t>&lt;Depute&gt;</w:t>
      </w:r>
      <w:r>
        <w:t>Herbert Dorfmann</w:t>
      </w:r>
      <w:r>
        <w:rPr>
          <w:rStyle w:val="HideTWBExt"/>
          <w:color w:val="auto"/>
        </w:rPr>
        <w:t>&lt;/Depute&gt;</w:t>
      </w:r>
    </w:p>
    <w:p w:rsidR="00487596" w:rsidRPr="00101A66" w:rsidRDefault="00487596" w:rsidP="00487596">
      <w:pPr>
        <w:pStyle w:val="CoverNormal"/>
      </w:pPr>
    </w:p>
    <w:p w:rsidR="00DB56E4" w:rsidRPr="00101A66" w:rsidRDefault="00D107CE" w:rsidP="0004474F">
      <w:pPr>
        <w:tabs>
          <w:tab w:val="center" w:pos="4677"/>
        </w:tabs>
      </w:pPr>
      <w:r>
        <w:br w:type="page"/>
      </w:r>
      <w:r>
        <w:lastRenderedPageBreak/>
        <w:t>PA_Legam</w:t>
      </w:r>
    </w:p>
    <w:p w:rsidR="002B1EA3" w:rsidRPr="00101A66" w:rsidRDefault="00D107CE" w:rsidP="000F53A3">
      <w:pPr>
        <w:pStyle w:val="AmHeadingPA"/>
      </w:pPr>
      <w:r>
        <w:br w:type="page"/>
      </w:r>
    </w:p>
    <w:p w:rsidR="002B1EA3" w:rsidRPr="00101A66" w:rsidRDefault="00D107CE" w:rsidP="002B1EA3">
      <w:pPr>
        <w:keepNext/>
        <w:spacing w:before="240" w:after="240"/>
        <w:jc w:val="center"/>
        <w:rPr>
          <w:rFonts w:ascii="Arial" w:hAnsi="Arial"/>
          <w:b/>
          <w:szCs w:val="20"/>
        </w:rPr>
      </w:pPr>
      <w:r>
        <w:rPr>
          <w:rFonts w:ascii="Arial" w:hAnsi="Arial"/>
          <w:b/>
          <w:szCs w:val="20"/>
        </w:rPr>
        <w:lastRenderedPageBreak/>
        <w:t>TRUMPAS PAGRINDIMAS</w:t>
      </w:r>
    </w:p>
    <w:p w:rsidR="006D5E42" w:rsidRPr="008824D6" w:rsidRDefault="00D107CE" w:rsidP="006D5E42">
      <w:pPr>
        <w:spacing w:after="240"/>
        <w:rPr>
          <w:szCs w:val="20"/>
        </w:rPr>
      </w:pPr>
      <w:r>
        <w:t>Kadangi vis dar deramasi dėl teisės aktų sistemos, kuria bus reglamentuojama bendra žemės ūkio politika po 2020 m., siekiant užtikrinti sklandų perėjimą, būtina priimti pereinamojo laikotarpio priemones, kurios sudarytų sąlygas pratęs</w:t>
      </w:r>
      <w:r>
        <w:t>ti galiojančių reglamentų taikymą iki tol, kol bus įdiegta naujoji sistema.</w:t>
      </w:r>
    </w:p>
    <w:p w:rsidR="006D5E42" w:rsidRPr="008824D6" w:rsidRDefault="00D107CE" w:rsidP="006D5E42">
      <w:pPr>
        <w:spacing w:after="240"/>
        <w:rPr>
          <w:szCs w:val="20"/>
        </w:rPr>
      </w:pPr>
      <w:r>
        <w:t>Galiojantys reglamentai turi būti iš dalies pakeisti, ypač siekiant įtraukti taikytinas sumas ir (arba) viršutines ribas, kurios turi būti nustatytos naujoje 2021–2027 m. daugiamet</w:t>
      </w:r>
      <w:r>
        <w:t>ėje finansinėje programoje (DFP).</w:t>
      </w:r>
    </w:p>
    <w:p w:rsidR="006D5E42" w:rsidRPr="008824D6" w:rsidRDefault="00D107CE" w:rsidP="006D5E42">
      <w:pPr>
        <w:spacing w:after="240"/>
        <w:rPr>
          <w:szCs w:val="20"/>
        </w:rPr>
      </w:pPr>
      <w:r>
        <w:t>Kadangi Komisijos pasiūlyme numatytas 1 metų pereinamasis laikotarpis, nuomonėje numatyta galimybė jį pratęsti iki 2022 m., jei naujasis BŽŪP reglamentas nebus priimtas iki 2020 m. spalio 30 d.</w:t>
      </w:r>
    </w:p>
    <w:p w:rsidR="006D5E42" w:rsidRPr="008824D6" w:rsidRDefault="00D107CE" w:rsidP="006D5E42">
      <w:pPr>
        <w:spacing w:after="240"/>
        <w:rPr>
          <w:szCs w:val="20"/>
        </w:rPr>
      </w:pPr>
      <w:r>
        <w:t>EŽŪFKP: valstybių narių pran</w:t>
      </w:r>
      <w:r>
        <w:t>ešimo laikotarpis pratęsiamas nuo 10 iki 20 dienų. Kalbant apie naujus įsipareigojimams, prisiimtinus nuo 2021 m.,  kaimo plėtros programose nustatytas laikotarpis gali trukti ne trejus, o ketverius metus.</w:t>
      </w:r>
    </w:p>
    <w:p w:rsidR="006D5E42" w:rsidRPr="008824D6" w:rsidRDefault="00D107CE" w:rsidP="006D5E42">
      <w:pPr>
        <w:spacing w:after="240"/>
        <w:rPr>
          <w:szCs w:val="20"/>
        </w:rPr>
      </w:pPr>
      <w:r>
        <w:rPr>
          <w:b/>
        </w:rPr>
        <w:t>Nuomonėje</w:t>
      </w:r>
      <w:r>
        <w:t xml:space="preserve"> numatoma galimybė panaudoti 2022–2027 m.</w:t>
      </w:r>
      <w:r>
        <w:t xml:space="preserve"> Europos žemės ūkio fondo kaimo plėtrai (EŽŪFKP) asignavimus priemonėms, dėl kurių jau prisiimti įsipareigojimai, susiję su mokėjimais po 2021 m. gruodžio 31 d. tuo atveju, jei lėšos būtų visiškai panaudotos (kaip numatyta Reglamento 1310/2013 3 straipsnyj</w:t>
      </w:r>
      <w:r>
        <w:t xml:space="preserve">e). Kadangi vien tik EŽŪFKP 2021 m. metinio biudžeto nepakaks norint finansuoti 2014–2021 m. programavimo laikotarpio įsipareigojimus (šio laikotarpio EŽŪFKP asignavimai yra visiškai panaudoti), Komisijai turėtų būti suteikta galimybė atidėti 2022–2027 m. </w:t>
      </w:r>
      <w:r>
        <w:t>programavimo laikotarpio asignavimus naujiems įsipareigojimams, kad būtų užtikrintas 2014–2021 m. įsipareigojimų tęstinumas.</w:t>
      </w:r>
    </w:p>
    <w:p w:rsidR="006D5E42" w:rsidRPr="008824D6" w:rsidRDefault="00D107CE" w:rsidP="006D5E42">
      <w:r>
        <w:t>Buvo atsižvelgta į būtinybę išlaikyti dabartinio dydžio POSEI biudžetą Prancūzijos, Ispanijos ir Portugalijos atokiausiems regionam</w:t>
      </w:r>
      <w:r>
        <w:t xml:space="preserve">s, taip pat į padidintą Prancūzijos POSEI paketo viršutinę ribą nedidinant bendro POSEI biudžeto ir nepanaikinant Ispanijos ir Portugalijos atokiausiems regionams skiriamo finansavimo. </w:t>
      </w:r>
    </w:p>
    <w:p w:rsidR="006D5E42" w:rsidRPr="008824D6" w:rsidRDefault="006D5E42" w:rsidP="006D5E42"/>
    <w:p w:rsidR="006D5E42" w:rsidRPr="008824D6" w:rsidRDefault="00D107CE" w:rsidP="006D5E42">
      <w:r>
        <w:t>Taip pat pritaikomas BRO nuostatos, susijusios su taisyklių taikymo i</w:t>
      </w:r>
      <w:r>
        <w:t>šplėtimu tarpšakinėms organizacijoms atokiausiuose regionuose. Nukrypti leidžiančia nuostata užtikrinama, kad būtų išsaugotos vietos gamyba, pramonė ir darbo vietos rinkose, kuriose galimybės yra labai ribotos.</w:t>
      </w:r>
    </w:p>
    <w:p w:rsidR="006D5E42" w:rsidRPr="008824D6" w:rsidRDefault="006D5E42" w:rsidP="006D5E42"/>
    <w:p w:rsidR="006D5E42" w:rsidRPr="008824D6" w:rsidRDefault="00D107CE" w:rsidP="006D5E42">
      <w:pPr>
        <w:spacing w:after="240"/>
        <w:rPr>
          <w:szCs w:val="20"/>
        </w:rPr>
      </w:pPr>
      <w:r>
        <w:t>Laikantis Europos Parlamento pozicijos dėl D</w:t>
      </w:r>
      <w:r>
        <w:t>FP, nuomonėje siekiama straipsnyje dėl krizių rezervo nurodyti, kad pradinė rezervo suma turėtų papildyti BŽŪP biudžetą ir turėtų būti įrašyta į rezervą programavimo laikotarpio pradžioje. Be to, siekiant neprarasti šių lėšų, reikia numatyti rezervo veikim</w:t>
      </w:r>
      <w:r>
        <w:t>o reformą, kad būtų galima iš 2021 m. į tolesnius metus perkelti įsipareigojimams nepriskirtas lėšas.</w:t>
      </w:r>
    </w:p>
    <w:p w:rsidR="006D5E42" w:rsidRPr="008824D6" w:rsidRDefault="00D107CE" w:rsidP="006D5E42">
      <w:pPr>
        <w:spacing w:after="240"/>
        <w:rPr>
          <w:szCs w:val="20"/>
        </w:rPr>
      </w:pPr>
      <w:r>
        <w:t>Komitetas dar kartą patvirtina savo poziciją, kurią EP išreiškė savo 2018 m. lapkričio 14 d. rezoliucijoje dėl DFP.</w:t>
      </w:r>
    </w:p>
    <w:p w:rsidR="002B1EA3" w:rsidRPr="00101A66" w:rsidRDefault="00D107CE">
      <w:pPr>
        <w:widowControl/>
        <w:rPr>
          <w:szCs w:val="20"/>
        </w:rPr>
      </w:pPr>
      <w:r>
        <w:br w:type="page"/>
      </w:r>
    </w:p>
    <w:p w:rsidR="00DB56E4" w:rsidRPr="00101A66" w:rsidRDefault="00D107CE" w:rsidP="002B1EA3">
      <w:pPr>
        <w:pStyle w:val="AmHeadingPA"/>
      </w:pPr>
      <w:r>
        <w:lastRenderedPageBreak/>
        <w:t>PAKEITIMAI</w:t>
      </w:r>
    </w:p>
    <w:p w:rsidR="00DB56E4" w:rsidRPr="00101A66" w:rsidRDefault="00D107CE" w:rsidP="001E3AC4">
      <w:pPr>
        <w:pStyle w:val="Normal12a"/>
      </w:pPr>
      <w:bookmarkStart w:id="0" w:name="IntroA"/>
      <w:r>
        <w:t>Regioninės plėtros komite</w:t>
      </w:r>
      <w:r>
        <w:t>tas ragina atsakingą Žemės ūkio ir kaimo plėtros komitetą atsižvelgti į šiuos pakeitimus:</w:t>
      </w:r>
    </w:p>
    <w:bookmarkEnd w:id="0"/>
    <w:p w:rsidR="006D5E42" w:rsidRPr="008824D6" w:rsidRDefault="00D107CE" w:rsidP="006D5E42">
      <w:pPr>
        <w:rPr>
          <w:rStyle w:val="HideTWBExt"/>
          <w:noProof w:val="0"/>
        </w:rPr>
      </w:pPr>
      <w:r>
        <w:rPr>
          <w:rStyle w:val="HideTWBExt"/>
        </w:rPr>
        <w:t>&lt;RepeatBlock-Amend&gt;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 konstatuojamoji dalis</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w:t>
            </w:r>
            <w:r>
              <w:t xml:space="preserve">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D107CE" w:rsidP="00587FE8">
            <w:pPr>
              <w:pStyle w:val="Normal6"/>
            </w:pPr>
            <w:r>
              <w:t>(2)</w:t>
            </w:r>
            <w:r>
              <w:tab/>
              <w:t xml:space="preserve">Komisija pasiūlė susieti BŽŪP su veiklos rezultatų pasiekimu (įgyvendinimo modelis). Pagal naują teisinę sistemą Sąjunga turi nustatyti </w:t>
            </w:r>
            <w:r>
              <w:rPr>
                <w:b/>
                <w:i/>
              </w:rPr>
              <w:t xml:space="preserve">pagrindines </w:t>
            </w:r>
            <w:r>
              <w:t xml:space="preserve">politikos nuostatas, pavyzdžiui, BŽŪP tikslus ir pagrindinius reikalavimus, </w:t>
            </w:r>
            <w:r>
              <w:rPr>
                <w:b/>
                <w:i/>
              </w:rPr>
              <w:t>o</w:t>
            </w:r>
            <w:r>
              <w:t xml:space="preserve"> valst</w:t>
            </w:r>
            <w:r>
              <w:t xml:space="preserve">ybės narės </w:t>
            </w:r>
            <w:r>
              <w:rPr>
                <w:b/>
                <w:i/>
              </w:rPr>
              <w:t>turi</w:t>
            </w:r>
            <w:r>
              <w:t xml:space="preserve"> prisiimti daugiau atsakomybės už tai, kaip nustatytus tikslus ir siektinus rodiklius pasiekti. Taigi valstybės narės turi parengti BŽŪP strateginius planus, kuriuos tvirtina Komisija, o įgyvendina valstybės narės;</w:t>
            </w:r>
          </w:p>
        </w:tc>
        <w:tc>
          <w:tcPr>
            <w:tcW w:w="4876" w:type="dxa"/>
          </w:tcPr>
          <w:p w:rsidR="006D5E42" w:rsidRPr="008824D6" w:rsidRDefault="00D107CE" w:rsidP="00587FE8">
            <w:pPr>
              <w:pStyle w:val="Normal6"/>
              <w:rPr>
                <w:szCs w:val="24"/>
              </w:rPr>
            </w:pPr>
            <w:r>
              <w:t>(2)</w:t>
            </w:r>
            <w:r>
              <w:tab/>
              <w:t xml:space="preserve">Komisija pasiūlė </w:t>
            </w:r>
            <w:r>
              <w:t>susieti BŽŪP su veiklos rezultatų pasiekimu (įgyvendinimo modelis). Pagal naują teisinę sistemą Sąjunga turi nustatyti politikos nuostatas, pavyzdžiui, BŽŪP tikslus ir pagrindinius reikalavimus</w:t>
            </w:r>
            <w:r>
              <w:rPr>
                <w:b/>
                <w:i/>
              </w:rPr>
              <w:t>. Būtina tvirta Sąjungos sistema, kuria būtų užtikrinta, kad BŽ</w:t>
            </w:r>
            <w:r>
              <w:rPr>
                <w:b/>
                <w:i/>
              </w:rPr>
              <w:t>ŪP išliktų bendra politika, ir būtų garantuotos vienodos sąlygos.</w:t>
            </w:r>
            <w:r>
              <w:t xml:space="preserve"> Valstybės narės </w:t>
            </w:r>
            <w:r>
              <w:rPr>
                <w:b/>
                <w:i/>
              </w:rPr>
              <w:t>taip pat turės</w:t>
            </w:r>
            <w:r>
              <w:t xml:space="preserve"> prisiimti daugiau atsakomybės už tai, kaip nustatytus tikslus ir siektinus rodiklius pasiekti. Taigi valstybės narės turi parengti BŽŪP strateginius planus</w:t>
            </w:r>
            <w:r>
              <w:rPr>
                <w:b/>
                <w:i/>
              </w:rPr>
              <w:t>, pa</w:t>
            </w:r>
            <w:r>
              <w:rPr>
                <w:b/>
                <w:i/>
              </w:rPr>
              <w:t xml:space="preserve">grįstus </w:t>
            </w:r>
            <w:r>
              <w:rPr>
                <w:b/>
              </w:rPr>
              <w:t>ex ante</w:t>
            </w:r>
            <w:r>
              <w:rPr>
                <w:b/>
                <w:i/>
              </w:rPr>
              <w:t xml:space="preserve"> analize ir poreikių vertinimu</w:t>
            </w:r>
            <w:r>
              <w:t>, kuriuos tvirtina Komisija, o įgyvendina valstybės narės;</w:t>
            </w:r>
          </w:p>
        </w:tc>
      </w:tr>
    </w:tbl>
    <w:p w:rsidR="006D5E42" w:rsidRPr="008824D6" w:rsidRDefault="00D107CE" w:rsidP="006D5E42">
      <w:pPr>
        <w:rPr>
          <w:szCs w:val="20"/>
        </w:rPr>
      </w:pPr>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3 a konstatuojamoji dalis (nauja)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(3a)</w:t>
            </w:r>
            <w:r>
              <w:rPr>
                <w:b/>
                <w:i/>
              </w:rPr>
              <w:tab/>
              <w:t xml:space="preserve">vykdant bendrą žemės ūkio politiką teikiama nenutrūkstama ir nuspėjama parama ūkininkams yra labai svarbi siekiant užtikrinti žemės ūkio sektoriaus stabilumą, taip pat išsaugoti kaimo vietovių ir regionų </w:t>
            </w:r>
            <w:r>
              <w:rPr>
                <w:b/>
                <w:i/>
              </w:rPr>
              <w:t>gyvybingumą ir prisidėti prie aplinkosauginio tvarumo;</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lastRenderedPageBreak/>
        <w:t>&lt;Amend&gt;</w:t>
      </w:r>
      <w:r>
        <w:t>Pakeitimas</w:t>
      </w:r>
      <w:r>
        <w:tab/>
      </w:r>
      <w:r>
        <w:tab/>
      </w:r>
      <w:r>
        <w:rPr>
          <w:rStyle w:val="HideTWBExt"/>
          <w:b w:val="0"/>
        </w:rPr>
        <w:t>&lt;NumAm&gt;</w:t>
      </w:r>
      <w:r>
        <w:t>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4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(4)</w:t>
            </w:r>
            <w:r>
              <w:tab/>
              <w:t xml:space="preserve">todėl siekiant </w:t>
            </w:r>
            <w:r>
              <w:t>užtikrinti, kad 2021 m. ūkininkai ir kiti paramos gavėjai gautų Europos žemės ūkio garantijų fondo (EŽŪGF) ir Europos žemės ūkio fondo kaimo plėtrai (EŽŪFKP) paramą, Sąjunga turėtų dar vienus metus šią paramą teikti pagal dabartinės teisinės sistemos, apim</w:t>
            </w:r>
            <w:r>
              <w:t>ančios 2014–2020 m. laikotarpį, sąlygas. Dabartinė teisinė sistema nustatyta visų pirma Europos Parlamento ir Tarybos reglamentais (ES) Nr. 1303/2013</w:t>
            </w:r>
            <w:r>
              <w:rPr>
                <w:vertAlign w:val="superscript"/>
              </w:rPr>
              <w:t>7</w:t>
            </w:r>
            <w:r>
              <w:t>, (ES) Nr. 1305/2013</w:t>
            </w:r>
            <w:r>
              <w:rPr>
                <w:vertAlign w:val="superscript"/>
              </w:rPr>
              <w:t>8</w:t>
            </w:r>
            <w:r>
              <w:t>, (ES) Nr. 1306/2013</w:t>
            </w:r>
            <w:r>
              <w:rPr>
                <w:vertAlign w:val="superscript"/>
              </w:rPr>
              <w:t>9</w:t>
            </w:r>
            <w:r>
              <w:t>, (ES) Nr. 1307/2013</w:t>
            </w:r>
            <w:r>
              <w:rPr>
                <w:vertAlign w:val="superscript"/>
              </w:rPr>
              <w:t>10</w:t>
            </w:r>
            <w:r>
              <w:t>, (ES) Nr. 1308/2013</w:t>
            </w:r>
            <w:r>
              <w:rPr>
                <w:vertAlign w:val="superscript"/>
              </w:rPr>
              <w:t>11</w:t>
            </w:r>
            <w:r>
              <w:t>, (ES) Nr. 228/2013</w:t>
            </w:r>
            <w:r>
              <w:rPr>
                <w:vertAlign w:val="superscript"/>
              </w:rPr>
              <w:t>12</w:t>
            </w:r>
            <w:r>
              <w:t xml:space="preserve"> ir (ES) Nr. 229/2013</w:t>
            </w:r>
            <w:r>
              <w:rPr>
                <w:vertAlign w:val="superscript"/>
              </w:rPr>
              <w:t>13</w:t>
            </w:r>
            <w:r>
              <w:t>. Be to, siekiant palengvinti perėjimą nuo dabartinių paramos sistemų prie naujos teisinės sistemos, kuri apima laikotarpį nuo 2022 m. sausio 1 d., turėtų būti nustatytos taisyklės, kuriomis būtų reglamentuojama, kaip tam tikra dau</w:t>
            </w:r>
            <w:r>
              <w:t>giametė parama bus integruota į naująją teisinę sistemą;</w:t>
            </w:r>
          </w:p>
        </w:tc>
        <w:tc>
          <w:tcPr>
            <w:tcW w:w="4876" w:type="dxa"/>
            <w:hideMark/>
          </w:tcPr>
          <w:p w:rsidR="006D5E42" w:rsidRPr="008824D6" w:rsidRDefault="00D107CE" w:rsidP="00587FE8">
            <w:pPr>
              <w:pStyle w:val="Normal6"/>
              <w:rPr>
                <w:szCs w:val="24"/>
              </w:rPr>
            </w:pPr>
            <w:r>
              <w:t>(4)</w:t>
            </w:r>
            <w:r>
              <w:tab/>
              <w:t>todėl siekiant užtikrinti, kad 2021 m. ūkininkai ir kiti paramos gavėjai gautų Europos žemės ūkio garantijų fondo (EŽŪGF) ir Europos žemės ūkio fondo kaimo plėtrai (EŽŪFKP) paramą, Sąjunga turėtų</w:t>
            </w:r>
            <w:r>
              <w:t xml:space="preserve"> dar vienus </w:t>
            </w:r>
            <w:r>
              <w:rPr>
                <w:b/>
                <w:i/>
              </w:rPr>
              <w:t xml:space="preserve">arba atitinkamais atvejais ir dvejus </w:t>
            </w:r>
            <w:r>
              <w:t>metus šią paramą teikti pagal dabartinės teisinės sistemos, apimančios 2014–2020 m. laikotarpį, sąlygas. Dabartinė teisinė sistema nustatyta visų pirma Europos Parlamento ir Tarybos reglamentais (ES) Nr. 130</w:t>
            </w:r>
            <w:r>
              <w:t>3/2013</w:t>
            </w:r>
            <w:r>
              <w:rPr>
                <w:vertAlign w:val="superscript"/>
              </w:rPr>
              <w:t>7</w:t>
            </w:r>
            <w:r>
              <w:t>, (ES) Nr. 1305/2013</w:t>
            </w:r>
            <w:r>
              <w:rPr>
                <w:vertAlign w:val="superscript"/>
              </w:rPr>
              <w:t>8</w:t>
            </w:r>
            <w:r>
              <w:t>, (ES) Nr. 1306/2013</w:t>
            </w:r>
            <w:r>
              <w:rPr>
                <w:vertAlign w:val="superscript"/>
              </w:rPr>
              <w:t>9</w:t>
            </w:r>
            <w:r>
              <w:t>, (ES) Nr. 1307/2013</w:t>
            </w:r>
            <w:r>
              <w:rPr>
                <w:vertAlign w:val="superscript"/>
              </w:rPr>
              <w:t>10</w:t>
            </w:r>
            <w:r>
              <w:t>, (ES) Nr. 1308/2013</w:t>
            </w:r>
            <w:r>
              <w:rPr>
                <w:vertAlign w:val="superscript"/>
              </w:rPr>
              <w:t>11</w:t>
            </w:r>
            <w:r>
              <w:t>, (ES) Nr. 228/2013</w:t>
            </w:r>
            <w:r>
              <w:rPr>
                <w:vertAlign w:val="superscript"/>
              </w:rPr>
              <w:t>12</w:t>
            </w:r>
            <w:r>
              <w:t xml:space="preserve"> ir (ES) Nr. 229/2013</w:t>
            </w:r>
            <w:r>
              <w:rPr>
                <w:vertAlign w:val="superscript"/>
              </w:rPr>
              <w:t>13</w:t>
            </w:r>
            <w:r>
              <w:t>.</w:t>
            </w:r>
            <w:r>
              <w:rPr>
                <w:szCs w:val="24"/>
              </w:rPr>
              <w:t xml:space="preserve"> Be to, siekiant palengvinti perėjimą nuo dabartinių paramos sistemų prie naujos teisinės sistemos, kuri apima laikota</w:t>
            </w:r>
            <w:r>
              <w:rPr>
                <w:szCs w:val="24"/>
              </w:rPr>
              <w:t>rpį nuo 2022 m. sausio 1 d., turėtų būti nustatytos taisyklės, kuriomis būtų reglamentuojama, kaip tam tikra daugiametė parama bus integruota į naująją teisinę sistemą;</w:t>
            </w:r>
          </w:p>
        </w:tc>
      </w:tr>
      <w:tr w:rsidR="00BE5522" w:rsidTr="00587FE8">
        <w:trPr>
          <w:jc w:val="center"/>
        </w:trPr>
        <w:tc>
          <w:tcPr>
            <w:tcW w:w="4876" w:type="dxa"/>
            <w:hideMark/>
          </w:tcPr>
          <w:p w:rsidR="006D5E42" w:rsidRPr="008824D6" w:rsidRDefault="00D107CE" w:rsidP="00587FE8">
            <w:pPr>
              <w:pStyle w:val="Normal6"/>
            </w:pPr>
            <w:r>
              <w:t>__________________</w:t>
            </w:r>
          </w:p>
        </w:tc>
        <w:tc>
          <w:tcPr>
            <w:tcW w:w="4876" w:type="dxa"/>
            <w:hideMark/>
          </w:tcPr>
          <w:p w:rsidR="006D5E42" w:rsidRPr="008824D6" w:rsidRDefault="00D107CE" w:rsidP="00587FE8">
            <w:pPr>
              <w:pStyle w:val="Normal6"/>
              <w:rPr>
                <w:szCs w:val="24"/>
              </w:rPr>
            </w:pPr>
            <w:r>
              <w:t>__________________</w:t>
            </w:r>
          </w:p>
        </w:tc>
      </w:tr>
      <w:tr w:rsidR="00BE5522" w:rsidTr="00587FE8">
        <w:trPr>
          <w:jc w:val="center"/>
        </w:trPr>
        <w:tc>
          <w:tcPr>
            <w:tcW w:w="4876" w:type="dxa"/>
            <w:hideMark/>
          </w:tcPr>
          <w:p w:rsidR="006D5E42" w:rsidRPr="008824D6" w:rsidRDefault="00D107CE" w:rsidP="00587FE8">
            <w:pPr>
              <w:pStyle w:val="Normal6"/>
            </w:pPr>
            <w:r>
              <w:rPr>
                <w:vertAlign w:val="superscript"/>
              </w:rPr>
              <w:t>7</w:t>
            </w:r>
            <w:r>
              <w:t xml:space="preserve"> 2013 m. gruodžio 17 d. Europos Parlamento ir </w:t>
            </w:r>
            <w:r>
              <w:t>Tarybos reglamentas (ES) Nr. 1303/2013, kuriuo nustatomos Europos regioninės plėtros fondui, Europos socialiniam fondui, Sanglaudos fondui, Europos žemės ūkio fondui kaimo plėtrai ir Europos jūros reikalų ir žuvininkystės fondui bendros nuostatos ir Europo</w:t>
            </w:r>
            <w:r>
              <w:t>s regioninės plėtros fondui, Europos socialiniam fondui, Sanglaudos fondui ir Europos jūros reikalų ir žuvininkystės fondui taikytinos bendrosios nuostatos ir panaikinamas Tarybos reglamentas (EB) Nr. 1083/2006 (OL L 347, 2013 12 20, p. 320).</w:t>
            </w:r>
          </w:p>
        </w:tc>
        <w:tc>
          <w:tcPr>
            <w:tcW w:w="4876" w:type="dxa"/>
            <w:hideMark/>
          </w:tcPr>
          <w:p w:rsidR="006D5E42" w:rsidRPr="008824D6" w:rsidRDefault="00D107CE" w:rsidP="00587FE8">
            <w:pPr>
              <w:pStyle w:val="Normal6"/>
              <w:rPr>
                <w:szCs w:val="24"/>
              </w:rPr>
            </w:pPr>
            <w:r>
              <w:rPr>
                <w:vertAlign w:val="superscript"/>
              </w:rPr>
              <w:t>7</w:t>
            </w:r>
            <w:r>
              <w:t xml:space="preserve"> 2013 m. gru</w:t>
            </w:r>
            <w:r>
              <w:t xml:space="preserve">odžio 17 d. Europos Parlamento ir Tarybos reglamentas (ES) Nr. 1303/2013, kuriuo nustatomos Europos regioninės plėtros fondui, Europos socialiniam fondui, Sanglaudos fondui, Europos žemės ūkio fondui kaimo plėtrai ir Europos jūros reikalų ir žuvininkystės </w:t>
            </w:r>
            <w:r>
              <w:t xml:space="preserve">fondui bendros nuostatos ir Europos regioninės plėtros fondui, Europos socialiniam fondui, Sanglaudos fondui ir Europos jūros reikalų ir žuvininkystės fondui taikytinos bendrosios nuostatos ir panaikinamas Tarybos reglamentas (EB) Nr. 1083/2006 (OL L 347, </w:t>
            </w:r>
            <w:r>
              <w:t>2013 12 20, p. 320).</w:t>
            </w:r>
          </w:p>
        </w:tc>
      </w:tr>
      <w:tr w:rsidR="00BE5522" w:rsidTr="00587FE8">
        <w:trPr>
          <w:jc w:val="center"/>
        </w:trPr>
        <w:tc>
          <w:tcPr>
            <w:tcW w:w="4876" w:type="dxa"/>
            <w:hideMark/>
          </w:tcPr>
          <w:p w:rsidR="006D5E42" w:rsidRPr="008824D6" w:rsidRDefault="00D107CE" w:rsidP="00587FE8">
            <w:pPr>
              <w:pStyle w:val="Normal6"/>
            </w:pPr>
            <w:r>
              <w:rPr>
                <w:vertAlign w:val="superscript"/>
              </w:rPr>
              <w:t>8</w:t>
            </w:r>
            <w:r>
              <w:t xml:space="preserve"> 2013 m. gruodžio 17 d. Europos </w:t>
            </w:r>
            <w:r>
              <w:lastRenderedPageBreak/>
              <w:t xml:space="preserve">Parlamento ir Tarybos reglamentas (ES) Nr. 1305/2013 dėl paramos kaimo plėtrai, teikiamos Europos žemės ūkio fondo kaimo plėtrai (EŽŪFKP) lėšomis ir panaikinantis Tarybos reglamentą (EB) Nr. 1698/2005 </w:t>
            </w:r>
            <w:r>
              <w:t>(OL L 347, 2013 12 20, p. 487).</w:t>
            </w:r>
          </w:p>
        </w:tc>
        <w:tc>
          <w:tcPr>
            <w:tcW w:w="4876" w:type="dxa"/>
            <w:hideMark/>
          </w:tcPr>
          <w:p w:rsidR="006D5E42" w:rsidRPr="008824D6" w:rsidRDefault="00D107CE" w:rsidP="00587FE8">
            <w:pPr>
              <w:pStyle w:val="Normal6"/>
              <w:rPr>
                <w:szCs w:val="24"/>
              </w:rPr>
            </w:pPr>
            <w:r>
              <w:rPr>
                <w:vertAlign w:val="superscript"/>
              </w:rPr>
              <w:lastRenderedPageBreak/>
              <w:t>8</w:t>
            </w:r>
            <w:r>
              <w:t xml:space="preserve"> 2013 m. gruodžio 17 d. Europos </w:t>
            </w:r>
            <w:r>
              <w:lastRenderedPageBreak/>
              <w:t>Parlamento ir Tarybos reglamentas (ES) Nr. 1305/2013 dėl paramos kaimo plėtrai, teikiamos Europos žemės ūkio fondo kaimo plėtrai (EŽŪFKP) lėšomis ir panaikinantis Tarybos reglamentą (EB) Nr. </w:t>
            </w:r>
            <w:r>
              <w:t>1698/2005 (OL L 347, 2013 12 20, p. 487).</w:t>
            </w:r>
          </w:p>
        </w:tc>
      </w:tr>
      <w:tr w:rsidR="00BE5522" w:rsidTr="00587FE8">
        <w:trPr>
          <w:jc w:val="center"/>
        </w:trPr>
        <w:tc>
          <w:tcPr>
            <w:tcW w:w="4876" w:type="dxa"/>
            <w:hideMark/>
          </w:tcPr>
          <w:p w:rsidR="006D5E42" w:rsidRPr="008824D6" w:rsidRDefault="00D107CE" w:rsidP="00587FE8">
            <w:pPr>
              <w:pStyle w:val="Normal6"/>
            </w:pPr>
            <w:r>
              <w:rPr>
                <w:vertAlign w:val="superscript"/>
              </w:rPr>
              <w:lastRenderedPageBreak/>
              <w:t>9</w:t>
            </w:r>
            <w:r>
              <w:t xml:space="preserve"> 2013 m. gruodžio 17 d. Europos Parlamento ir Tarybos reglamentas (ES) Nr. 1306/2013 dėl bendros žemės ūkio politikos finansavimo, valdymo ir stebėsenos, kuriuo panaikinami Tarybos reglamentai (EEB) Nr. 352/78, (EB) Nr. 165/94, (EB) Nr. 2799/98, (EB) Nr. 8</w:t>
            </w:r>
            <w:r>
              <w:t>14/2000, (EB) Nr. 1290/2005 ir (EB) Nr. 485/2008 (OL L 347, 2013 12 20, p. 549).</w:t>
            </w:r>
          </w:p>
        </w:tc>
        <w:tc>
          <w:tcPr>
            <w:tcW w:w="4876" w:type="dxa"/>
            <w:hideMark/>
          </w:tcPr>
          <w:p w:rsidR="006D5E42" w:rsidRPr="008824D6" w:rsidRDefault="00D107CE" w:rsidP="00587FE8">
            <w:pPr>
              <w:pStyle w:val="Normal6"/>
              <w:rPr>
                <w:szCs w:val="24"/>
              </w:rPr>
            </w:pPr>
            <w:r>
              <w:rPr>
                <w:vertAlign w:val="superscript"/>
              </w:rPr>
              <w:t>9</w:t>
            </w:r>
            <w:r>
              <w:t xml:space="preserve"> 2013 m. gruodžio 17 d. Europos Parlamento ir Tarybos reglamentas (ES) Nr. 1306/2013 dėl bendros žemės ūkio politikos finansavimo, valdymo ir stebėsenos, kuriuo panaikinami T</w:t>
            </w:r>
            <w:r>
              <w:t>arybos reglamentai (EEB) Nr. 352/78, (EB) Nr. 165/94, (EB) Nr. 2799/98, (EB) Nr. 814/2000, (EB) Nr. 1290/2005 ir (EB) Nr. 485/2008 (OL L 347, 2013 12 20, p. 549).</w:t>
            </w:r>
          </w:p>
        </w:tc>
      </w:tr>
      <w:tr w:rsidR="00BE5522" w:rsidTr="00587FE8">
        <w:trPr>
          <w:jc w:val="center"/>
        </w:trPr>
        <w:tc>
          <w:tcPr>
            <w:tcW w:w="4876" w:type="dxa"/>
            <w:hideMark/>
          </w:tcPr>
          <w:p w:rsidR="006D5E42" w:rsidRPr="008824D6" w:rsidRDefault="00D107CE" w:rsidP="00587FE8">
            <w:pPr>
              <w:pStyle w:val="Normal6"/>
            </w:pPr>
            <w:r>
              <w:rPr>
                <w:vertAlign w:val="superscript"/>
              </w:rPr>
              <w:t>10</w:t>
            </w:r>
            <w:r>
              <w:t xml:space="preserve"> 2013 m. gruodžio 17 d. Europos Parlamento ir Tarybos reglamentas (ES) Nr. 1307/2013, kuri</w:t>
            </w:r>
            <w:r>
              <w:t>uo nustatomos pagal bendros žemės ūkio politikos paramos sistemas ūkininkams skiriamų tiesioginių išmokų taisyklės ir panaikinami Tarybos reglamentas (EB) Nr. 637/2008 ir Tarybos reglamentas (EB) Nr. 73/2009 (OL L 347, 2013 12 20, p. 608).</w:t>
            </w:r>
          </w:p>
        </w:tc>
        <w:tc>
          <w:tcPr>
            <w:tcW w:w="4876" w:type="dxa"/>
            <w:hideMark/>
          </w:tcPr>
          <w:p w:rsidR="006D5E42" w:rsidRPr="008824D6" w:rsidRDefault="00D107CE" w:rsidP="00587FE8">
            <w:pPr>
              <w:pStyle w:val="Normal6"/>
              <w:rPr>
                <w:szCs w:val="24"/>
              </w:rPr>
            </w:pPr>
            <w:r>
              <w:rPr>
                <w:vertAlign w:val="superscript"/>
              </w:rPr>
              <w:t>10</w:t>
            </w:r>
            <w:r>
              <w:t xml:space="preserve"> 2013 m. gruod</w:t>
            </w:r>
            <w:r>
              <w:t>žio 17 d. Europos Parlamento ir Tarybos reglamentas (ES) Nr. 1307/2013, kuriuo nustatomos pagal bendros žemės ūkio politikos paramos sistemas ūkininkams skiriamų tiesioginių išmokų taisyklės ir panaikinami Tarybos reglamentas (EB) Nr. 637/2008 ir Tarybos r</w:t>
            </w:r>
            <w:r>
              <w:t>eglamentas (EB) Nr. 73/2009 (OL L 347, 2013 12 20, p. 608).</w:t>
            </w:r>
          </w:p>
        </w:tc>
      </w:tr>
      <w:tr w:rsidR="00BE5522" w:rsidTr="00587FE8">
        <w:trPr>
          <w:jc w:val="center"/>
        </w:trPr>
        <w:tc>
          <w:tcPr>
            <w:tcW w:w="4876" w:type="dxa"/>
            <w:hideMark/>
          </w:tcPr>
          <w:p w:rsidR="006D5E42" w:rsidRPr="008824D6" w:rsidRDefault="00D107CE" w:rsidP="00587FE8">
            <w:pPr>
              <w:pStyle w:val="Normal6"/>
            </w:pPr>
            <w:r>
              <w:rPr>
                <w:vertAlign w:val="superscript"/>
              </w:rPr>
              <w:t>11</w:t>
            </w:r>
            <w:r>
              <w:t xml:space="preserve"> 2013 m. gruodžio 17 d. Europos Parlamento ir Tarybos reglamentas (ES) Nr. 1308/2013, kuriuo nustatomas bendras žemės ūkio produktų rinkų organizavimas ir panaikinami Tarybos reglamentai (EEB) </w:t>
            </w:r>
            <w:r>
              <w:t>Nr. 922/72, (EEB) Nr. 234/79, (EB) Nr. 1037/2001 ir (EB) Nr. 1234/2007 (OL L 347, 2013 12 20, p. 671).</w:t>
            </w:r>
          </w:p>
        </w:tc>
        <w:tc>
          <w:tcPr>
            <w:tcW w:w="4876" w:type="dxa"/>
            <w:hideMark/>
          </w:tcPr>
          <w:p w:rsidR="006D5E42" w:rsidRPr="008824D6" w:rsidRDefault="00D107CE" w:rsidP="00587FE8">
            <w:pPr>
              <w:pStyle w:val="Normal6"/>
              <w:rPr>
                <w:szCs w:val="24"/>
              </w:rPr>
            </w:pPr>
            <w:r>
              <w:rPr>
                <w:vertAlign w:val="superscript"/>
              </w:rPr>
              <w:t>11</w:t>
            </w:r>
            <w:r>
              <w:t xml:space="preserve"> 2013 m. gruodžio 17 d. Europos Parlamento ir Tarybos reglamentas (ES) Nr. 1308/2013, kuriuo nustatomas bendras žemės ūkio produktų rinkų organizavimas</w:t>
            </w:r>
            <w:r>
              <w:t xml:space="preserve"> ir panaikinami Tarybos reglamentai (EEB) Nr. 922/72, (EEB) Nr. 234/79, (EB) Nr. 1037/2001 ir (EB) Nr. 1234/2007 (OL L 347, 2013 12 20, p. 671).</w:t>
            </w:r>
          </w:p>
        </w:tc>
      </w:tr>
      <w:tr w:rsidR="00BE5522" w:rsidTr="00587FE8">
        <w:trPr>
          <w:jc w:val="center"/>
        </w:trPr>
        <w:tc>
          <w:tcPr>
            <w:tcW w:w="4876" w:type="dxa"/>
            <w:hideMark/>
          </w:tcPr>
          <w:p w:rsidR="006D5E42" w:rsidRPr="008824D6" w:rsidRDefault="00D107CE" w:rsidP="00587FE8">
            <w:pPr>
              <w:pStyle w:val="Normal6"/>
            </w:pPr>
            <w:r>
              <w:rPr>
                <w:vertAlign w:val="superscript"/>
              </w:rPr>
              <w:t>12</w:t>
            </w:r>
            <w:r>
              <w:t xml:space="preserve"> 2013 m. kovo 13 d. Europos Parlamento ir Tarybos reglamentas (ES) Nr. 228/2013, kuriuo nustatomos specialio</w:t>
            </w:r>
            <w:r>
              <w:t>s žemės ūkio priemonės atokiausiems Sąjungos regionams ir panaikinamas Tarybos reglamentas (EB) Nr. 247/2006 (OL L 78, 2013 3 20, p. 23).</w:t>
            </w:r>
          </w:p>
        </w:tc>
        <w:tc>
          <w:tcPr>
            <w:tcW w:w="4876" w:type="dxa"/>
            <w:hideMark/>
          </w:tcPr>
          <w:p w:rsidR="006D5E42" w:rsidRPr="008824D6" w:rsidRDefault="00D107CE" w:rsidP="00587FE8">
            <w:pPr>
              <w:pStyle w:val="Normal6"/>
              <w:rPr>
                <w:szCs w:val="24"/>
              </w:rPr>
            </w:pPr>
            <w:r>
              <w:rPr>
                <w:vertAlign w:val="superscript"/>
              </w:rPr>
              <w:t>12</w:t>
            </w:r>
            <w:r>
              <w:t xml:space="preserve"> 2013 m. kovo 13 d. Europos Parlamento ir Tarybos reglamentas (ES) Nr. 228/2013, kuriuo nustatomos specialios žemės </w:t>
            </w:r>
            <w:r>
              <w:t>ūkio priemonės atokiausiems Sąjungos regionams ir panaikinamas Tarybos reglamentas (EB) Nr. 247/2006 (OL L 78, 2013 3 20, p. 23).</w:t>
            </w:r>
          </w:p>
        </w:tc>
      </w:tr>
      <w:tr w:rsidR="00BE5522" w:rsidTr="00587FE8">
        <w:trPr>
          <w:jc w:val="center"/>
        </w:trPr>
        <w:tc>
          <w:tcPr>
            <w:tcW w:w="4876" w:type="dxa"/>
            <w:hideMark/>
          </w:tcPr>
          <w:p w:rsidR="006D5E42" w:rsidRPr="008824D6" w:rsidRDefault="00D107CE" w:rsidP="00587FE8">
            <w:pPr>
              <w:pStyle w:val="Normal6"/>
            </w:pPr>
            <w:r>
              <w:rPr>
                <w:vertAlign w:val="superscript"/>
              </w:rPr>
              <w:t>13</w:t>
            </w:r>
            <w:r>
              <w:t xml:space="preserve"> 2013 m. kovo 13 d. Europos Parlamento ir Tarybos reglamentas (ES) Nr. 229/2013, kuriuo nustatomos specialios žemės ūkio pr</w:t>
            </w:r>
            <w:r>
              <w:t xml:space="preserve">iemonės mažosioms Egėjo jūros saloms ir panaikinamas Tarybos reglamentas (EB) </w:t>
            </w:r>
            <w:r>
              <w:lastRenderedPageBreak/>
              <w:t>Nr. 1405/2006 (OL L 78, 2013 3 20, p. 41).</w:t>
            </w:r>
          </w:p>
        </w:tc>
        <w:tc>
          <w:tcPr>
            <w:tcW w:w="4876" w:type="dxa"/>
            <w:hideMark/>
          </w:tcPr>
          <w:p w:rsidR="006D5E42" w:rsidRPr="008824D6" w:rsidRDefault="00D107CE" w:rsidP="00587FE8">
            <w:pPr>
              <w:pStyle w:val="Normal6"/>
              <w:rPr>
                <w:szCs w:val="24"/>
              </w:rPr>
            </w:pPr>
            <w:r>
              <w:rPr>
                <w:vertAlign w:val="superscript"/>
              </w:rPr>
              <w:lastRenderedPageBreak/>
              <w:t>13</w:t>
            </w:r>
            <w:r>
              <w:t xml:space="preserve"> 2013 m. kovo 13 d. Europos Parlamento ir Tarybos reglamentas (ES) Nr. 229/2013, kuriuo nustatomos specialios žemės ūkio priemonės ma</w:t>
            </w:r>
            <w:r>
              <w:t xml:space="preserve">žosioms Egėjo jūros saloms ir panaikinamas Tarybos reglamentas (EB) </w:t>
            </w:r>
            <w:r>
              <w:lastRenderedPageBreak/>
              <w:t>Nr. 1405/2006 (OL L 78, 2013 3 20, p. 41).</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5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(5)</w:t>
            </w:r>
            <w:r>
              <w:tab/>
              <w:t xml:space="preserve">atsižvelgiant į tai, kad Sąjunga turėtų toliau remti kaimo plėtrą </w:t>
            </w:r>
            <w:r>
              <w:rPr>
                <w:b/>
                <w:i/>
              </w:rPr>
              <w:t>2021 m.</w:t>
            </w:r>
            <w:r>
              <w:t xml:space="preserve">, valstybės narės, kurios įrodo, kad </w:t>
            </w:r>
            <w:r>
              <w:rPr>
                <w:b/>
                <w:i/>
              </w:rPr>
              <w:t>gali nebeturėti lėšų</w:t>
            </w:r>
            <w:r>
              <w:t xml:space="preserve"> ir </w:t>
            </w:r>
            <w:r>
              <w:rPr>
                <w:b/>
                <w:i/>
              </w:rPr>
              <w:t>nebegalėti prisiimti naujų teisinių įsipareigojimų</w:t>
            </w:r>
            <w:r>
              <w:t xml:space="preserve"> pagal Reglamentą (ES) Nr. 13</w:t>
            </w:r>
            <w:r>
              <w:t xml:space="preserve">05/2013, turėtų turėti galimybę pratęsti EŽŪFKP lėšomis remiamų kaimo plėtros programas arba tam tikras savo regionų kaimo plėtros programas iki </w:t>
            </w:r>
            <w:r>
              <w:rPr>
                <w:b/>
                <w:i/>
              </w:rPr>
              <w:t>2021 m. gruodžio 31 d.</w:t>
            </w:r>
            <w:r>
              <w:t xml:space="preserve"> ir finansuoti šias pratęstas programas iš atitinkamų </w:t>
            </w:r>
            <w:r>
              <w:rPr>
                <w:b/>
                <w:i/>
              </w:rPr>
              <w:t>2021 m.</w:t>
            </w:r>
            <w:r>
              <w:t xml:space="preserve"> skirtų biudžeto lėšų. Pratę</w:t>
            </w:r>
            <w:r>
              <w:t>stomis programomis turėtų būti siekiama išlaikyti bent tokį patį bendrą aplinkos ir klimato siekių lygį;</w:t>
            </w:r>
          </w:p>
        </w:tc>
        <w:tc>
          <w:tcPr>
            <w:tcW w:w="4876" w:type="dxa"/>
            <w:hideMark/>
          </w:tcPr>
          <w:p w:rsidR="006D5E42" w:rsidRPr="008824D6" w:rsidRDefault="00D107CE" w:rsidP="00587FE8">
            <w:pPr>
              <w:pStyle w:val="Normal6"/>
              <w:rPr>
                <w:szCs w:val="24"/>
              </w:rPr>
            </w:pPr>
            <w:r>
              <w:t>(5)</w:t>
            </w:r>
            <w:r>
              <w:tab/>
              <w:t xml:space="preserve">atsižvelgiant į tai, kad Sąjunga turėtų toliau remti kaimo plėtrą </w:t>
            </w:r>
            <w:r>
              <w:rPr>
                <w:b/>
                <w:i/>
              </w:rPr>
              <w:t>pereinamuoju laikotarpiu</w:t>
            </w:r>
            <w:r>
              <w:t xml:space="preserve">, valstybės narės, kurios įrodo, kad </w:t>
            </w:r>
            <w:r>
              <w:rPr>
                <w:b/>
                <w:i/>
              </w:rPr>
              <w:t>joms</w:t>
            </w:r>
            <w:r>
              <w:t xml:space="preserve"> </w:t>
            </w:r>
            <w:r>
              <w:rPr>
                <w:b/>
                <w:i/>
              </w:rPr>
              <w:t>reikalingos lėš</w:t>
            </w:r>
            <w:r>
              <w:rPr>
                <w:b/>
                <w:i/>
              </w:rPr>
              <w:t>os norint prisiimti naujus teisinius įsipareigojimus vykdyti visas arba tam tikras priemones</w:t>
            </w:r>
            <w:r>
              <w:t xml:space="preserve"> ir </w:t>
            </w:r>
            <w:r>
              <w:rPr>
                <w:b/>
                <w:i/>
              </w:rPr>
              <w:t>padengti su tuo susijusias išlaidas</w:t>
            </w:r>
            <w:r>
              <w:t xml:space="preserve"> pagal Reglamentą (ES) Nr. 1305/2013, turėtų turėti galimybę pratęsti EŽŪFKP lėšomis remiamų kaimo plėtros programas arba tam</w:t>
            </w:r>
            <w:r>
              <w:t xml:space="preserve"> tikras savo regionų kaimo plėtros programas iki </w:t>
            </w:r>
            <w:r>
              <w:rPr>
                <w:b/>
                <w:i/>
              </w:rPr>
              <w:t>pereinamojo laikotarpio pabaigos</w:t>
            </w:r>
            <w:r>
              <w:t xml:space="preserve"> ir finansuoti šias pratęstas programas iš atitinkamų </w:t>
            </w:r>
            <w:r>
              <w:rPr>
                <w:b/>
                <w:i/>
              </w:rPr>
              <w:t>tam tikriems metams</w:t>
            </w:r>
            <w:r>
              <w:t xml:space="preserve"> skirtų biudžeto lėšų. Pratęstomis programomis turėtų būti siekiama išlaikyti bent tokį patį bendrą ap</w:t>
            </w:r>
            <w:r>
              <w:t>linkos ir klimato siekių lygį;</w:t>
            </w:r>
          </w:p>
        </w:tc>
      </w:tr>
    </w:tbl>
    <w:p w:rsidR="006D5E42" w:rsidRPr="008824D6" w:rsidRDefault="00D107CE" w:rsidP="006D5E42">
      <w:pPr>
        <w:rPr>
          <w:szCs w:val="20"/>
        </w:rPr>
      </w:pPr>
      <w:r>
        <w:rPr>
          <w:rStyle w:val="HideTWBExt"/>
        </w:rPr>
        <w:t>&lt;/Amend&gt;</w:t>
      </w:r>
    </w:p>
    <w:p w:rsidR="006D5E42" w:rsidRPr="008824D6" w:rsidRDefault="006D5E42" w:rsidP="006D5E42">
      <w:pPr>
        <w:rPr>
          <w:rStyle w:val="HideTWBExt"/>
          <w:noProof w:val="0"/>
        </w:rPr>
      </w:pP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6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(6)</w:t>
            </w:r>
            <w:r>
              <w:tab/>
            </w:r>
            <w:r>
              <w:t xml:space="preserve">kai kurios valstybės narės gali dar turėti joms ankstesniais metais Sąjungos skirtų lėšų, todėl valstybės narės taip pat turėtų turėti galimybę nepratęsti savo kaimo plėtros programų arba tam tikrų savo regionų kaimo plėtros programų. Šios valstybės narės </w:t>
            </w:r>
            <w:r>
              <w:t xml:space="preserve">turėtų turėti galimybę perkelti </w:t>
            </w:r>
            <w:r>
              <w:rPr>
                <w:b/>
                <w:i/>
              </w:rPr>
              <w:t>2021 m.</w:t>
            </w:r>
            <w:r>
              <w:t xml:space="preserve"> skirtas EŽŪFKP biudžeto lėšas arba dalį EŽŪFKP biudžeto lėšų, </w:t>
            </w:r>
            <w:r>
              <w:rPr>
                <w:b/>
                <w:i/>
              </w:rPr>
              <w:t>skirtų atitinkamoms regionų</w:t>
            </w:r>
            <w:r>
              <w:t xml:space="preserve"> kaimo plėtros </w:t>
            </w:r>
            <w:r>
              <w:lastRenderedPageBreak/>
              <w:t xml:space="preserve">programoms, </w:t>
            </w:r>
            <w:r>
              <w:rPr>
                <w:b/>
                <w:i/>
              </w:rPr>
              <w:t>kurios nebuvo pratęstos, į 2022–2025 m.</w:t>
            </w:r>
            <w:r>
              <w:t xml:space="preserve"> skirtus finansinius asignavimus pagal Tarybos reglamentą (ES) .../... [Reglamentas, kuriuo nustatoma 2021–2027 m. daugiametė finansinė programa]</w:t>
            </w:r>
            <w:r>
              <w:rPr>
                <w:vertAlign w:val="superscript"/>
              </w:rPr>
              <w:t>14</w:t>
            </w:r>
            <w:r>
              <w:t>;</w:t>
            </w:r>
          </w:p>
        </w:tc>
        <w:tc>
          <w:tcPr>
            <w:tcW w:w="4876" w:type="dxa"/>
            <w:hideMark/>
          </w:tcPr>
          <w:p w:rsidR="006D5E42" w:rsidRPr="008824D6" w:rsidRDefault="00D107CE" w:rsidP="00587FE8">
            <w:pPr>
              <w:pStyle w:val="Normal6"/>
              <w:rPr>
                <w:szCs w:val="24"/>
              </w:rPr>
            </w:pPr>
            <w:r>
              <w:lastRenderedPageBreak/>
              <w:t>(6)</w:t>
            </w:r>
            <w:r>
              <w:tab/>
              <w:t>kai kurios valstybės narės gali dar turėti joms ankstesniais metais Sąjungos skirtų lėšų, todėl valstyb</w:t>
            </w:r>
            <w:r>
              <w:t>ės narės taip pat turėtų turėti galimybę nepratęsti savo kaimo plėtros programų arba tam tikrų savo regionų kaimo plėtros programų</w:t>
            </w:r>
            <w:r>
              <w:rPr>
                <w:b/>
                <w:i/>
              </w:rPr>
              <w:t xml:space="preserve"> arba papildyti likusias lėšas pereinamojo laikotarpio metams skirtų asignavimų dalimi,  jei reikia</w:t>
            </w:r>
            <w:r>
              <w:t>. Šios valstybės narės turė</w:t>
            </w:r>
            <w:r>
              <w:t xml:space="preserve">tų turėti galimybę perkelti </w:t>
            </w:r>
            <w:r>
              <w:rPr>
                <w:b/>
                <w:i/>
              </w:rPr>
              <w:t xml:space="preserve">pereinamojo </w:t>
            </w:r>
            <w:r>
              <w:rPr>
                <w:b/>
                <w:i/>
              </w:rPr>
              <w:lastRenderedPageBreak/>
              <w:t>laikotarpio metams</w:t>
            </w:r>
            <w:r>
              <w:t xml:space="preserve"> skirtas EŽŪFKP biudžeto lėšas arba dalį EŽŪFKP biudžeto lėšų, </w:t>
            </w:r>
            <w:r>
              <w:rPr>
                <w:b/>
                <w:i/>
              </w:rPr>
              <w:t>kurios nebuvo panaudotos jų</w:t>
            </w:r>
            <w:r>
              <w:t xml:space="preserve"> kaimo plėtros programoms</w:t>
            </w:r>
            <w:r>
              <w:rPr>
                <w:b/>
                <w:i/>
              </w:rPr>
              <w:t xml:space="preserve"> pratęsti</w:t>
            </w:r>
            <w:r>
              <w:t xml:space="preserve">, </w:t>
            </w:r>
            <w:r>
              <w:rPr>
                <w:b/>
                <w:i/>
              </w:rPr>
              <w:t>į likusiems programavimo laikotarpio metams</w:t>
            </w:r>
            <w:r>
              <w:t xml:space="preserve"> skirtus finansinius asignavi</w:t>
            </w:r>
            <w:r>
              <w:t>mus pagal Tarybos reglamentą (ES) .../... [Reglamentas, kuriuo nustatoma 2021–2027 m. daugiametė finansinė programa]</w:t>
            </w:r>
            <w:r>
              <w:rPr>
                <w:vertAlign w:val="superscript"/>
              </w:rPr>
              <w:t>14;</w:t>
            </w:r>
          </w:p>
        </w:tc>
      </w:tr>
      <w:tr w:rsidR="00BE5522" w:rsidTr="00587FE8">
        <w:trPr>
          <w:jc w:val="center"/>
        </w:trPr>
        <w:tc>
          <w:tcPr>
            <w:tcW w:w="4876" w:type="dxa"/>
            <w:hideMark/>
          </w:tcPr>
          <w:p w:rsidR="006D5E42" w:rsidRPr="008824D6" w:rsidRDefault="00D107CE" w:rsidP="00587FE8">
            <w:pPr>
              <w:pStyle w:val="Normal6"/>
            </w:pPr>
            <w:r>
              <w:lastRenderedPageBreak/>
              <w:t>__________________</w:t>
            </w:r>
          </w:p>
        </w:tc>
        <w:tc>
          <w:tcPr>
            <w:tcW w:w="4876" w:type="dxa"/>
            <w:hideMark/>
          </w:tcPr>
          <w:p w:rsidR="006D5E42" w:rsidRPr="008824D6" w:rsidRDefault="00D107CE" w:rsidP="00587FE8">
            <w:pPr>
              <w:pStyle w:val="Normal6"/>
              <w:rPr>
                <w:szCs w:val="24"/>
              </w:rPr>
            </w:pPr>
            <w:r>
              <w:t>__________________</w:t>
            </w:r>
          </w:p>
        </w:tc>
      </w:tr>
      <w:tr w:rsidR="00BE5522" w:rsidTr="00587FE8">
        <w:trPr>
          <w:jc w:val="center"/>
        </w:trPr>
        <w:tc>
          <w:tcPr>
            <w:tcW w:w="4876" w:type="dxa"/>
            <w:hideMark/>
          </w:tcPr>
          <w:p w:rsidR="006D5E42" w:rsidRPr="008824D6" w:rsidRDefault="00D107CE" w:rsidP="00587FE8">
            <w:pPr>
              <w:pStyle w:val="Normal6"/>
            </w:pPr>
            <w:r>
              <w:rPr>
                <w:vertAlign w:val="superscript"/>
              </w:rPr>
              <w:t>14</w:t>
            </w:r>
            <w:r>
              <w:t xml:space="preserve"> DFP reglamentas, OL L , , p. .</w:t>
            </w:r>
          </w:p>
        </w:tc>
        <w:tc>
          <w:tcPr>
            <w:tcW w:w="4876" w:type="dxa"/>
            <w:hideMark/>
          </w:tcPr>
          <w:p w:rsidR="006D5E42" w:rsidRPr="008824D6" w:rsidRDefault="00D107CE" w:rsidP="00587FE8">
            <w:pPr>
              <w:pStyle w:val="Normal6"/>
              <w:rPr>
                <w:szCs w:val="24"/>
              </w:rPr>
            </w:pPr>
            <w:r>
              <w:rPr>
                <w:vertAlign w:val="superscript"/>
              </w:rPr>
              <w:t>14</w:t>
            </w:r>
            <w:r>
              <w:t xml:space="preserve"> DFP reglamentas, OL L , , p. .</w:t>
            </w:r>
          </w:p>
        </w:tc>
      </w:tr>
    </w:tbl>
    <w:p w:rsidR="006D5E42" w:rsidRPr="008824D6" w:rsidRDefault="00D107CE" w:rsidP="006D5E42">
      <w:pPr>
        <w:rPr>
          <w:szCs w:val="20"/>
        </w:rPr>
      </w:pPr>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7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(7)</w:t>
            </w:r>
            <w:r>
              <w:tab/>
              <w:t>kad Komisija galėtų atlikti būtiną finansinį planavimą ir Reglamento (ES) Nr. 1305/2013 priede nustatyt</w:t>
            </w:r>
            <w:r>
              <w:t xml:space="preserve">o metinio Sąjungos paramos paskirstymo atitinkamus koregavimus, netrukus po šio reglamento įsigaliojimo valstybės narės turėtų informuoti Komisiją, ar jos nusprendė pratęsti savo kaimo plėtros programas, </w:t>
            </w:r>
            <w:r>
              <w:rPr>
                <w:b/>
                <w:i/>
              </w:rPr>
              <w:t xml:space="preserve">o </w:t>
            </w:r>
            <w:r>
              <w:t>regioninių kaimo plėtros programų atveju</w:t>
            </w:r>
            <w:r>
              <w:rPr>
                <w:b/>
                <w:i/>
              </w:rPr>
              <w:t xml:space="preserve"> </w:t>
            </w:r>
            <w:r>
              <w:t xml:space="preserve">– kurias </w:t>
            </w:r>
            <w:r>
              <w:t xml:space="preserve">iš jų jos nusprendė pratęsti, taigi kuri atitinkama </w:t>
            </w:r>
            <w:r>
              <w:rPr>
                <w:b/>
                <w:i/>
              </w:rPr>
              <w:t>2021 m.</w:t>
            </w:r>
            <w:r>
              <w:t xml:space="preserve"> skirta biudžeto lėšų suma nebus perkelta į kitus metus;</w:t>
            </w:r>
          </w:p>
        </w:tc>
        <w:tc>
          <w:tcPr>
            <w:tcW w:w="4876" w:type="dxa"/>
            <w:hideMark/>
          </w:tcPr>
          <w:p w:rsidR="006D5E42" w:rsidRPr="008824D6" w:rsidRDefault="00D107CE" w:rsidP="00587FE8">
            <w:pPr>
              <w:pStyle w:val="Normal6"/>
              <w:rPr>
                <w:szCs w:val="24"/>
              </w:rPr>
            </w:pPr>
            <w:r>
              <w:t>(7)</w:t>
            </w:r>
            <w:r>
              <w:tab/>
              <w:t>kad Komisija galėtų atlikti būtiną finansinį planavimą ir Reglamento (ES) Nr. 1305/2013 priede nustatyto metinio Sąjungos paramos paskir</w:t>
            </w:r>
            <w:r>
              <w:t>stymo atitinkamus koregavimus, netrukus po šio reglamento įsigaliojimo valstybės narės turėtų informuoti Komisiją, ar jos nusprendė pratęsti savo kaimo plėtros programas, regioninių kaimo plėtros programų atveju</w:t>
            </w:r>
            <w:r>
              <w:rPr>
                <w:b/>
                <w:i/>
              </w:rPr>
              <w:t> </w:t>
            </w:r>
            <w:r>
              <w:t xml:space="preserve">– kurias iš jų jos nusprendė pratęsti, </w:t>
            </w:r>
            <w:r>
              <w:rPr>
                <w:b/>
                <w:i/>
              </w:rPr>
              <w:t>ir ar</w:t>
            </w:r>
            <w:r>
              <w:rPr>
                <w:b/>
                <w:i/>
              </w:rPr>
              <w:t xml:space="preserve"> jos ketina iš dalies jas finansuoti iš nepanaudotų ankstesnių biudžeto lėšų, </w:t>
            </w:r>
            <w:r>
              <w:t xml:space="preserve">taigi kuri atitinkama </w:t>
            </w:r>
            <w:r>
              <w:rPr>
                <w:b/>
                <w:i/>
              </w:rPr>
              <w:t>pereinamojo laikotarpio metams</w:t>
            </w:r>
            <w:r>
              <w:t xml:space="preserve"> skirta biudžeto lėšų suma nebus perkelta į kitus metus;</w:t>
            </w:r>
          </w:p>
        </w:tc>
      </w:tr>
    </w:tbl>
    <w:p w:rsidR="006D5E42" w:rsidRPr="008824D6" w:rsidRDefault="00D107CE" w:rsidP="006D5E42">
      <w:pPr>
        <w:rPr>
          <w:szCs w:val="20"/>
        </w:rPr>
      </w:pPr>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w:t>
      </w:r>
      <w:r>
        <w:rPr>
          <w:rStyle w:val="HideTWBExt"/>
          <w:b w:val="0"/>
        </w:rPr>
        <w:t>&lt;/NumAm&gt;</w:t>
      </w:r>
    </w:p>
    <w:p w:rsidR="006D5E42" w:rsidRPr="008824D6" w:rsidRDefault="00D107CE" w:rsidP="006D5E42">
      <w:pPr>
        <w:pStyle w:val="NormalBold12b"/>
      </w:pPr>
      <w:r>
        <w:rPr>
          <w:rStyle w:val="HideTWBExt"/>
          <w:b w:val="0"/>
        </w:rPr>
        <w:t>&lt;DocAmend&gt;</w:t>
      </w:r>
      <w:r>
        <w:t xml:space="preserve">Pasiūlymas </w:t>
      </w:r>
      <w:r>
        <w:t>dėl reglamento</w:t>
      </w:r>
      <w:r>
        <w:rPr>
          <w:rStyle w:val="HideTWBExt"/>
          <w:b w:val="0"/>
        </w:rPr>
        <w:t>&lt;/DocAmend&gt;</w:t>
      </w:r>
    </w:p>
    <w:p w:rsidR="006D5E42" w:rsidRPr="008824D6" w:rsidRDefault="00D107CE" w:rsidP="006D5E42">
      <w:pPr>
        <w:pStyle w:val="NormalBold"/>
      </w:pPr>
      <w:r>
        <w:rPr>
          <w:rStyle w:val="HideTWBExt"/>
          <w:b w:val="0"/>
        </w:rPr>
        <w:t>&lt;Article&gt;</w:t>
      </w:r>
      <w:r>
        <w:t>8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(8)</w:t>
            </w:r>
            <w:r>
              <w:tab/>
              <w:t xml:space="preserve">Reglamente (ES) Nr. 1303/2013 nustatomos bendros taisyklės, taikomos EŽŪFKP ir kai kuriems kitiems fondams, </w:t>
            </w:r>
            <w:r>
              <w:lastRenderedPageBreak/>
              <w:t>veikiantiems pagal bendrą sistemą.</w:t>
            </w:r>
            <w:r>
              <w:t xml:space="preserve"> Tas reglamentas turėtų būti toliau taikomas 2014–2020 m. programavimo laikotarpiu EŽŪFKP lėšomis remiamoms programoms, taip pat toms EŽŪFKP lėšomis remiamoms programoms, kurių laikotarpį valstybės narės nutarė pratęsti iki 2021 m. gruodžio 31 d. Tų valsty</w:t>
            </w:r>
            <w:r>
              <w:t>bių narių partnerystės sutartis, sudaryta 2014 m. sausio 1 d. – 2020 m. gruodžio 31 d. laikotarpiui pagal Reglamentą (ES) Nr. 1303/2013, turėtų būti toliau naudojama kaip valstybių narių ir Komisijos strateginis dokumentas įgyvendinant iš EŽŪFKP 2021 progr</w:t>
            </w:r>
            <w:r>
              <w:t>amavimo metams skirtą paramą;</w:t>
            </w:r>
          </w:p>
        </w:tc>
        <w:tc>
          <w:tcPr>
            <w:tcW w:w="4876" w:type="dxa"/>
            <w:hideMark/>
          </w:tcPr>
          <w:p w:rsidR="006D5E42" w:rsidRPr="008824D6" w:rsidRDefault="00D107CE" w:rsidP="00587FE8">
            <w:pPr>
              <w:pStyle w:val="Normal6"/>
              <w:rPr>
                <w:szCs w:val="24"/>
              </w:rPr>
            </w:pPr>
            <w:r>
              <w:lastRenderedPageBreak/>
              <w:t>(8)</w:t>
            </w:r>
            <w:r>
              <w:tab/>
              <w:t xml:space="preserve">Reglamente (ES) Nr. 1303/2013 nustatomos bendros taisyklės, taikomos EŽŪFKP ir kai kuriems kitiems fondams, </w:t>
            </w:r>
            <w:r>
              <w:lastRenderedPageBreak/>
              <w:t>veikiantiems pagal bendrą sistemą. Tas reglamentas turėtų būti toliau taikomas 2014–2020 m. programavimo laikotarp</w:t>
            </w:r>
            <w:r>
              <w:t xml:space="preserve">iu EŽŪFKP lėšomis remiamoms programoms, taip pat toms EŽŪFKP lėšomis remiamoms programoms, kurių laikotarpį valstybės narės nutarė pratęsti iki 2021 m. gruodžio 31 d. </w:t>
            </w:r>
            <w:r>
              <w:rPr>
                <w:b/>
                <w:i/>
              </w:rPr>
              <w:t>arba atitinkamais atvejais iki 2022 m. gruodžio 31 d.</w:t>
            </w:r>
            <w:r>
              <w:t xml:space="preserve"> Tų valstybių narių partnerystės sut</w:t>
            </w:r>
            <w:r>
              <w:t>artis, sudaryta 2014 m. sausio 1 d. – 2020 m. gruodžio 31 d. laikotarpiui pagal Reglamentą (ES) Nr. 1303/2013, turėtų būti toliau naudojama kaip valstybių narių ir Komisijos strateginis dokumentas įgyvendinant iš EŽŪFKP 2021</w:t>
            </w:r>
            <w:r>
              <w:rPr>
                <w:b/>
                <w:i/>
              </w:rPr>
              <w:t xml:space="preserve">  </w:t>
            </w:r>
            <w:r>
              <w:t>programavimo metams</w:t>
            </w:r>
            <w:r>
              <w:rPr>
                <w:b/>
                <w:i/>
              </w:rPr>
              <w:t xml:space="preserve"> arba atiti</w:t>
            </w:r>
            <w:r>
              <w:rPr>
                <w:b/>
                <w:i/>
              </w:rPr>
              <w:t>nkamais atvejais</w:t>
            </w:r>
            <w:r>
              <w:t xml:space="preserve"> </w:t>
            </w:r>
            <w:r>
              <w:rPr>
                <w:b/>
                <w:i/>
              </w:rPr>
              <w:t>2022</w:t>
            </w:r>
            <w:r>
              <w:t xml:space="preserve"> </w:t>
            </w:r>
            <w:r>
              <w:rPr>
                <w:b/>
                <w:i/>
              </w:rPr>
              <w:t>programavimo metams</w:t>
            </w:r>
            <w:r>
              <w:t xml:space="preserve"> skirtą paramą;</w:t>
            </w:r>
          </w:p>
        </w:tc>
      </w:tr>
    </w:tbl>
    <w:p w:rsidR="006D5E42" w:rsidRPr="008824D6" w:rsidRDefault="00D107CE" w:rsidP="006D5E42">
      <w:pPr>
        <w:rPr>
          <w:szCs w:val="20"/>
        </w:rPr>
      </w:pPr>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10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(10)</w:t>
            </w:r>
            <w:r>
              <w:tab/>
              <w:t xml:space="preserve">Europos </w:t>
            </w:r>
            <w:r>
              <w:t>Parlamento ir Tarybos reglamente (ES) Nr. 1310/2013</w:t>
            </w:r>
            <w:r>
              <w:rPr>
                <w:vertAlign w:val="superscript"/>
              </w:rPr>
              <w:t>15</w:t>
            </w:r>
            <w:r>
              <w:t xml:space="preserve"> ir Komisijos deleguotajame reglamente (ES) Nr. 807/2014</w:t>
            </w:r>
            <w:r>
              <w:rPr>
                <w:vertAlign w:val="superscript"/>
              </w:rPr>
              <w:t>16</w:t>
            </w:r>
            <w:r>
              <w:t xml:space="preserve"> nustatyta, kad išlaidos, susijusios su tam tikrais ilgalaikiais įsipareigojimais, prisiimtais remiantis tam tikrais reglamentais, pagal kuriuos </w:t>
            </w:r>
            <w:r>
              <w:t>parama kaimo plėtrai buvo teikiama prieš Reglamentą (ES) Nr. 1305/2013, 2014–2020 m. programavimo laikotarpiu turėtų būti toliau apmokamos EŽŪFKP lėšomis tam tikromis sąlygomis. Tos išlaidos atitinkamų teisinių įsipareigojimų galiojimo laikotarpiu tomis pa</w:t>
            </w:r>
            <w:r>
              <w:t xml:space="preserve">čiomis sąlygomis toliau turėtų būti tinkamos finansuoti 2021 programavimo metais. Dėl teisinio aiškumo ir tikrumo taip pat turėtų būti paaiškinta, kad teisiniams įsipareigojimams, prisiimtiems pagal priemones, atitinkančias Reglamente (ES) </w:t>
            </w:r>
            <w:r>
              <w:lastRenderedPageBreak/>
              <w:t>Nr. 1305/2013 nu</w:t>
            </w:r>
            <w:r>
              <w:t>statytas priemones, kurioms taikoma integruota administravimo ir kontrolės sistema, turėtų būti taikoma ši integruota administravimo ir kontrolės sistema ir kad su šiais teisiniais įsipareigojimais susijusios išmokos turėtų būti išmokėtos nuo gruodžio 1 d.</w:t>
            </w:r>
            <w:r>
              <w:t xml:space="preserve"> iki kitų kalendorinių metų birželio 30 d.;</w:t>
            </w:r>
          </w:p>
        </w:tc>
        <w:tc>
          <w:tcPr>
            <w:tcW w:w="4876" w:type="dxa"/>
            <w:hideMark/>
          </w:tcPr>
          <w:p w:rsidR="006D5E42" w:rsidRPr="008824D6" w:rsidRDefault="00D107CE" w:rsidP="00587FE8">
            <w:pPr>
              <w:pStyle w:val="Normal6"/>
              <w:rPr>
                <w:szCs w:val="24"/>
              </w:rPr>
            </w:pPr>
            <w:r>
              <w:lastRenderedPageBreak/>
              <w:t>(10)</w:t>
            </w:r>
            <w:r>
              <w:tab/>
              <w:t>Europos Parlamento ir Tarybos reglamente (ES) Nr. 1310/2013</w:t>
            </w:r>
            <w:r>
              <w:rPr>
                <w:vertAlign w:val="superscript"/>
              </w:rPr>
              <w:t>15</w:t>
            </w:r>
            <w:r>
              <w:t xml:space="preserve"> ir Komisijos deleguotajame reglamente (ES) Nr. 807/2014</w:t>
            </w:r>
            <w:r>
              <w:rPr>
                <w:vertAlign w:val="superscript"/>
              </w:rPr>
              <w:t>16</w:t>
            </w:r>
            <w:r>
              <w:t xml:space="preserve"> nustatyta, kad išlaidos, susijusios su tam tikrais ilgalaikiais įsipareigojimais, prisi</w:t>
            </w:r>
            <w:r>
              <w:t>imtais remiantis tam tikrais reglamentais, pagal kuriuos parama kaimo plėtrai buvo teikiama prieš Reglamentą (ES) Nr. 1305/2013, 2014–2020 m. programavimo laikotarpiu turėtų būti toliau apmokamos EŽŪFKP lėšomis tam tikromis sąlygomis. Tos išlaidos atitinka</w:t>
            </w:r>
            <w:r>
              <w:t xml:space="preserve">mų teisinių įsipareigojimų galiojimo laikotarpiu tomis pačiomis sąlygomis toliau turėtų būti tinkamos finansuoti 2021 programavimo metais </w:t>
            </w:r>
            <w:r>
              <w:rPr>
                <w:b/>
                <w:i/>
              </w:rPr>
              <w:t>arba atitinkamais atvejais 2022 programavimo metais</w:t>
            </w:r>
            <w:r>
              <w:t xml:space="preserve">. Dėl teisinio aiškumo ir tikrumo taip pat turėtų būti paaiškinta, </w:t>
            </w:r>
            <w:r>
              <w:t xml:space="preserve">kad teisiniams įsipareigojimams, prisiimtiems pagal </w:t>
            </w:r>
            <w:r>
              <w:lastRenderedPageBreak/>
              <w:t>priemones, atitinkančias Reglamente (ES) Nr. 1305/2013 nustatytas priemones, kurioms taikoma integruota administravimo ir kontrolės sistema, turėtų būti taikoma ši integruota administravimo ir kontrolės s</w:t>
            </w:r>
            <w:r>
              <w:t>istema ir kad su šiais teisiniais įsipareigojimais susijusios išmokos turėtų būti išmokėtos nuo gruodžio 1 d. iki kitų kalendorinių metų birželio 30 d.;</w:t>
            </w:r>
          </w:p>
        </w:tc>
      </w:tr>
      <w:tr w:rsidR="00BE5522" w:rsidTr="00587FE8">
        <w:trPr>
          <w:jc w:val="center"/>
        </w:trPr>
        <w:tc>
          <w:tcPr>
            <w:tcW w:w="4876" w:type="dxa"/>
            <w:hideMark/>
          </w:tcPr>
          <w:p w:rsidR="006D5E42" w:rsidRPr="008824D6" w:rsidRDefault="00D107CE" w:rsidP="00587FE8">
            <w:pPr>
              <w:pStyle w:val="Normal6"/>
            </w:pPr>
            <w:r>
              <w:lastRenderedPageBreak/>
              <w:t>__________________</w:t>
            </w:r>
          </w:p>
        </w:tc>
        <w:tc>
          <w:tcPr>
            <w:tcW w:w="4876" w:type="dxa"/>
            <w:hideMark/>
          </w:tcPr>
          <w:p w:rsidR="006D5E42" w:rsidRPr="008824D6" w:rsidRDefault="00D107CE" w:rsidP="00587FE8">
            <w:pPr>
              <w:pStyle w:val="Normal6"/>
              <w:rPr>
                <w:szCs w:val="24"/>
              </w:rPr>
            </w:pPr>
            <w:r>
              <w:t>__________________</w:t>
            </w:r>
          </w:p>
        </w:tc>
      </w:tr>
      <w:tr w:rsidR="00BE5522" w:rsidTr="00587FE8">
        <w:trPr>
          <w:jc w:val="center"/>
        </w:trPr>
        <w:tc>
          <w:tcPr>
            <w:tcW w:w="4876" w:type="dxa"/>
            <w:hideMark/>
          </w:tcPr>
          <w:p w:rsidR="006D5E42" w:rsidRPr="008824D6" w:rsidRDefault="00D107CE" w:rsidP="00587FE8">
            <w:pPr>
              <w:pStyle w:val="Normal6"/>
            </w:pPr>
            <w:r>
              <w:rPr>
                <w:vertAlign w:val="superscript"/>
              </w:rPr>
              <w:t>15</w:t>
            </w:r>
            <w:r>
              <w:t xml:space="preserve"> 2013 m. gruodžio 17 d. Europos Parlamento ir Tarybos reglamentas (ES) Nr. 1310/2013, kuriuo nustatomos tam tikros pereinamojo laikotarpio nuostatos dėl paramos kaimo plėtrai iš Europos žemės ūkio fondo kaimo plėtrai (EŽŪFKP), kuriuo iš dalies keičiamos Eu</w:t>
            </w:r>
            <w:r>
              <w:t>ropos Parlamento ir Tarybos reglamento (ES) Nr. 1305/2013 nuostatos dėl išteklių ir jų skirstymo 2014 m. ir kuriuo iš dalies keičiamos Tarybos reglamento (EB) Nr. 73/2009 ir Europos Parlamento ir Tarybos reglamentų (ES) Nr. 1307/2013, (ES) Nr. 1306/2013 ir</w:t>
            </w:r>
            <w:r>
              <w:t xml:space="preserve"> (ES) Nr. 1308/2013 nuostatos dėl jų taikymo 2014 m. (OL L 347, 2013 12 20, p. 865).</w:t>
            </w:r>
          </w:p>
        </w:tc>
        <w:tc>
          <w:tcPr>
            <w:tcW w:w="4876" w:type="dxa"/>
            <w:hideMark/>
          </w:tcPr>
          <w:p w:rsidR="006D5E42" w:rsidRPr="008824D6" w:rsidRDefault="00D107CE" w:rsidP="00587FE8">
            <w:pPr>
              <w:pStyle w:val="Normal6"/>
              <w:rPr>
                <w:szCs w:val="24"/>
              </w:rPr>
            </w:pPr>
            <w:r>
              <w:rPr>
                <w:vertAlign w:val="superscript"/>
              </w:rPr>
              <w:t>15</w:t>
            </w:r>
            <w:r>
              <w:t xml:space="preserve"> 2013 m. gruodžio 17 d. Europos Parlamento ir Tarybos reglamentas (ES) Nr. 1310/2013, kuriuo nustatomos tam tikros pereinamojo laikotarpio nuostatos dėl paramos kaimo plėtrai iš Europos žemės ūkio fondo kaimo plėtrai (EŽŪFKP), kuriuo iš dalies keičiamos Eu</w:t>
            </w:r>
            <w:r>
              <w:t>ropos Parlamento ir Tarybos reglamento (ES) Nr. 1305/2013 nuostatos dėl išteklių ir jų skirstymo 2014 m. ir kuriuo iš dalies keičiamos Tarybos reglamento (EB) Nr. 73/2009 ir Europos Parlamento ir Tarybos reglamentų (ES) Nr. 1307/2013, (ES) Nr. 1306/2013 ir</w:t>
            </w:r>
            <w:r>
              <w:t xml:space="preserve"> (ES) Nr. 1308/2013 nuostatos dėl jų taikymo 2014 m. (OL L 347, 2013 12 20, p. 865).</w:t>
            </w:r>
          </w:p>
        </w:tc>
      </w:tr>
      <w:tr w:rsidR="00BE5522" w:rsidTr="00587FE8">
        <w:trPr>
          <w:jc w:val="center"/>
        </w:trPr>
        <w:tc>
          <w:tcPr>
            <w:tcW w:w="4876" w:type="dxa"/>
            <w:hideMark/>
          </w:tcPr>
          <w:p w:rsidR="006D5E42" w:rsidRPr="008824D6" w:rsidRDefault="00D107CE" w:rsidP="00587FE8">
            <w:pPr>
              <w:pStyle w:val="Normal6"/>
            </w:pPr>
            <w:r>
              <w:rPr>
                <w:vertAlign w:val="superscript"/>
              </w:rPr>
              <w:t>16</w:t>
            </w:r>
            <w:r>
              <w:t xml:space="preserve"> 2014 m. kovo 11 d. Komisijos deleguotasis reglamentas (ES) Nr. 807/2014, kuriuo papildomas Europos Parlamento ir Tarybos reglamentas (ES) Nr. 1305/2013 dėl paramos kai</w:t>
            </w:r>
            <w:r>
              <w:t>mo plėtrai, teikiamos Europos žemės ūkio fondo kaimo plėtrai (EŽŪFKP) lėšomis, ir nustatomos pereinamojo laikotarpio nuostatos (OL L 227, 2014 7 31, p. 1).</w:t>
            </w:r>
          </w:p>
        </w:tc>
        <w:tc>
          <w:tcPr>
            <w:tcW w:w="4876" w:type="dxa"/>
            <w:hideMark/>
          </w:tcPr>
          <w:p w:rsidR="006D5E42" w:rsidRPr="008824D6" w:rsidRDefault="00D107CE" w:rsidP="00587FE8">
            <w:pPr>
              <w:pStyle w:val="Normal6"/>
              <w:rPr>
                <w:szCs w:val="24"/>
              </w:rPr>
            </w:pPr>
            <w:r>
              <w:rPr>
                <w:vertAlign w:val="superscript"/>
              </w:rPr>
              <w:t>16</w:t>
            </w:r>
            <w:r>
              <w:t xml:space="preserve"> 2014 m. kovo 11 d. Komisijos deleguotasis reglamentas (ES) Nr. 807/2014, kuriuo papildomas Europo</w:t>
            </w:r>
            <w:r>
              <w:t>s Parlamento ir Tarybos reglamentas (ES) Nr. 1305/2013 dėl paramos kaimo plėtrai, teikiamos Europos žemės ūkio fondo kaimo plėtrai (EŽŪFKP) lėšomis, ir nustatomos pereinamojo laikotarpio nuostatos (OL L 227, 2014 7 31, p. 1).</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w:t>
      </w:r>
      <w:r>
        <w:rPr>
          <w:rStyle w:val="HideTWBExt"/>
          <w:b w:val="0"/>
        </w:rPr>
        <w:t>NumAm&gt;</w:t>
      </w:r>
      <w:r>
        <w:t>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14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(14)</w:t>
            </w:r>
            <w:r>
              <w:tab/>
              <w:t xml:space="preserve">atsižvelgiant į tai, kad BŽŪP strateginiai planai, kuriuos valstybės narės turės parengti pagal naują </w:t>
            </w:r>
            <w:r>
              <w:t xml:space="preserve">teisinę sistemą, </w:t>
            </w:r>
            <w:r>
              <w:lastRenderedPageBreak/>
              <w:t>bus taikomi nuo 2022 m. sausio 1 d., turėtų būti nustatytos pereinamojo laikotarpio taisyklės, kuriomis būtų reglamentuojamas perėjimas nuo dabartinių paramos sistemų prie naujos teisinė sistemos, visų pirma Europos Parlamento ir Tarybos r</w:t>
            </w:r>
            <w:r>
              <w:t>eglamento (ES) .../...</w:t>
            </w:r>
            <w:r>
              <w:rPr>
                <w:vertAlign w:val="superscript"/>
              </w:rPr>
              <w:t>18</w:t>
            </w:r>
            <w:r>
              <w:t xml:space="preserve"> [Reglamentas dėl BŽŪP strateginio plano];</w:t>
            </w:r>
          </w:p>
        </w:tc>
        <w:tc>
          <w:tcPr>
            <w:tcW w:w="4876" w:type="dxa"/>
            <w:hideMark/>
          </w:tcPr>
          <w:p w:rsidR="006D5E42" w:rsidRPr="008824D6" w:rsidRDefault="00D107CE" w:rsidP="00587FE8">
            <w:pPr>
              <w:pStyle w:val="Normal6"/>
              <w:rPr>
                <w:szCs w:val="24"/>
              </w:rPr>
            </w:pPr>
            <w:r>
              <w:lastRenderedPageBreak/>
              <w:t>(14)</w:t>
            </w:r>
            <w:r>
              <w:tab/>
              <w:t xml:space="preserve">atsižvelgiant į tai, kad BŽŪP strateginiai planai, kuriuos valstybės narės turės parengti pagal naują teisinę sistemą, </w:t>
            </w:r>
            <w:r>
              <w:lastRenderedPageBreak/>
              <w:t>bus taikomi nuo 2022 m. sausio 1 d.</w:t>
            </w:r>
            <w:r>
              <w:rPr>
                <w:b/>
                <w:i/>
              </w:rPr>
              <w:t xml:space="preserve"> arba atitinkamais atvejais nu</w:t>
            </w:r>
            <w:r>
              <w:rPr>
                <w:b/>
                <w:i/>
              </w:rPr>
              <w:t>o 2023 m. sausio 1 d.</w:t>
            </w:r>
            <w:r>
              <w:t>, turėtų būti nustatytos pereinamojo laikotarpio taisyklės, kuriomis būtų reglamentuojamas perėjimas nuo dabartinių paramos sistemų prie naujos teisinė sistemos, visų pirma Europos Parlamento ir Tarybos reglamento (ES) .../...</w:t>
            </w:r>
            <w:r>
              <w:rPr>
                <w:vertAlign w:val="superscript"/>
              </w:rPr>
              <w:t>18</w:t>
            </w:r>
            <w:r>
              <w:t xml:space="preserve"> [Regla</w:t>
            </w:r>
            <w:r>
              <w:t xml:space="preserve">mentas dėl BŽŪP strateginio plano]; </w:t>
            </w:r>
            <w:r>
              <w:rPr>
                <w:b/>
                <w:i/>
              </w:rPr>
              <w:t>laikantis Europos partnerystės elgesio kodekse nustatytų principų, valstybės narės turėtų užtikrinti regioninių ir vietos valdžios institucijų, pilietinės visuomenės organizacijų, įskaitant paramos gavėjus, dalyvavimą vi</w:t>
            </w:r>
            <w:r>
              <w:rPr>
                <w:b/>
                <w:i/>
              </w:rPr>
              <w:t>sais pereinamojo laikotarpio priemonių ir programų rengimo, įgyvendinimo, stebėsenos ir vertinimo etapais;</w:t>
            </w:r>
          </w:p>
        </w:tc>
      </w:tr>
      <w:tr w:rsidR="00BE5522" w:rsidTr="00587FE8">
        <w:trPr>
          <w:jc w:val="center"/>
        </w:trPr>
        <w:tc>
          <w:tcPr>
            <w:tcW w:w="4876" w:type="dxa"/>
            <w:hideMark/>
          </w:tcPr>
          <w:p w:rsidR="006D5E42" w:rsidRPr="008824D6" w:rsidRDefault="00D107CE" w:rsidP="00587FE8">
            <w:pPr>
              <w:pStyle w:val="Normal6"/>
            </w:pPr>
            <w:r>
              <w:lastRenderedPageBreak/>
              <w:t>__________________</w:t>
            </w:r>
          </w:p>
        </w:tc>
        <w:tc>
          <w:tcPr>
            <w:tcW w:w="4876" w:type="dxa"/>
            <w:hideMark/>
          </w:tcPr>
          <w:p w:rsidR="006D5E42" w:rsidRPr="008824D6" w:rsidRDefault="00D107CE" w:rsidP="00587FE8">
            <w:pPr>
              <w:pStyle w:val="Normal6"/>
              <w:rPr>
                <w:szCs w:val="24"/>
              </w:rPr>
            </w:pPr>
            <w:r>
              <w:t>__________________</w:t>
            </w:r>
          </w:p>
        </w:tc>
      </w:tr>
      <w:tr w:rsidR="00BE5522" w:rsidTr="00587FE8">
        <w:trPr>
          <w:jc w:val="center"/>
        </w:trPr>
        <w:tc>
          <w:tcPr>
            <w:tcW w:w="4876" w:type="dxa"/>
            <w:hideMark/>
          </w:tcPr>
          <w:p w:rsidR="006D5E42" w:rsidRPr="008824D6" w:rsidRDefault="00D107CE" w:rsidP="00587FE8">
            <w:pPr>
              <w:pStyle w:val="Normal6"/>
            </w:pPr>
            <w:r>
              <w:rPr>
                <w:vertAlign w:val="superscript"/>
              </w:rPr>
              <w:t>18</w:t>
            </w:r>
            <w:r>
              <w:t xml:space="preserve"> Europos Parlamento ir Tarybos reglamentas (ES) …/… [Reglamentas dėl BŽŪP strateginio plano] (OL L …, …, p.</w:t>
            </w:r>
            <w:r>
              <w:t> …).</w:t>
            </w:r>
          </w:p>
        </w:tc>
        <w:tc>
          <w:tcPr>
            <w:tcW w:w="4876" w:type="dxa"/>
            <w:hideMark/>
          </w:tcPr>
          <w:p w:rsidR="006D5E42" w:rsidRPr="008824D6" w:rsidRDefault="00D107CE" w:rsidP="00587FE8">
            <w:pPr>
              <w:pStyle w:val="Normal6"/>
              <w:rPr>
                <w:szCs w:val="24"/>
              </w:rPr>
            </w:pPr>
            <w:r>
              <w:rPr>
                <w:vertAlign w:val="superscript"/>
              </w:rPr>
              <w:t>18</w:t>
            </w:r>
            <w:r>
              <w:t xml:space="preserve"> Europos Parlamento ir Tarybos reglamentas (ES) …/… [Reglamentas dėl BŽŪP strateginio plano] (OL L …, …, p. …).</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17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(17)</w:t>
            </w:r>
            <w:r>
              <w:tab/>
            </w:r>
            <w:r>
              <w:t>pagalbos sistemų, taikomų alyvuogių aliejaus ir valgomųjų alyvuogių sektoriui, dabartinės darbo programos, parengtos laikotarpiui nuo 2018 m. balandžio 1 d. iki 2021 m. kovo 31 d., turėtų būti pratęstos iki 2021 m. gruodžio 31 d. Turėtų būti nustatytos vai</w:t>
            </w:r>
            <w:r>
              <w:t xml:space="preserve">sių ir daržovių sektoriaus pagalbos sistemų taisyklės, susijusios su </w:t>
            </w:r>
            <w:r>
              <w:rPr>
                <w:b/>
                <w:i/>
              </w:rPr>
              <w:t>veiklos programų daliniais pakeitimais arba šių programų pakeitimu</w:t>
            </w:r>
            <w:r>
              <w:t>;</w:t>
            </w:r>
          </w:p>
        </w:tc>
        <w:tc>
          <w:tcPr>
            <w:tcW w:w="4876" w:type="dxa"/>
            <w:hideMark/>
          </w:tcPr>
          <w:p w:rsidR="006D5E42" w:rsidRPr="008824D6" w:rsidRDefault="00D107CE" w:rsidP="00587FE8">
            <w:pPr>
              <w:pStyle w:val="Normal6"/>
              <w:rPr>
                <w:szCs w:val="24"/>
              </w:rPr>
            </w:pPr>
            <w:r>
              <w:t>(17)</w:t>
            </w:r>
            <w:r>
              <w:tab/>
              <w:t>pagalbos sistemų, taikomų alyvuogių aliejaus ir valgomųjų alyvuogių sektoriui, dabartinės darbo programos, parengt</w:t>
            </w:r>
            <w:r>
              <w:t xml:space="preserve">os laikotarpiui nuo 2018 m. balandžio 1 d. iki 2021 m. kovo 31 d., turėtų būti pratęstos iki 2021 m. gruodžio 31 d. </w:t>
            </w:r>
            <w:r>
              <w:rPr>
                <w:b/>
                <w:i/>
              </w:rPr>
              <w:t>arba atitinkamais atvejais iki 2022 programavimo metų.</w:t>
            </w:r>
            <w:r>
              <w:t xml:space="preserve"> Turėtų būti nustatytos vaisių ir daržovių sektoriaus pagalbos sistemų taisyklės, susi</w:t>
            </w:r>
            <w:r>
              <w:t xml:space="preserve">jusios su </w:t>
            </w:r>
            <w:r>
              <w:rPr>
                <w:b/>
                <w:i/>
              </w:rPr>
              <w:t>galimybe iš dalies ar visiškai pakeisti veiklos programas</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11</w:t>
      </w:r>
      <w:r>
        <w:rPr>
          <w:rStyle w:val="HideTWBExt"/>
          <w:b w:val="0"/>
        </w:rPr>
        <w:t>&lt;/NumAm&gt;</w:t>
      </w:r>
    </w:p>
    <w:p w:rsidR="006D5E42" w:rsidRPr="008824D6" w:rsidRDefault="00D107CE" w:rsidP="006D5E42">
      <w:pPr>
        <w:pStyle w:val="NormalBold12b"/>
      </w:pPr>
      <w:r>
        <w:rPr>
          <w:rStyle w:val="HideTWBExt"/>
          <w:b w:val="0"/>
        </w:rPr>
        <w:lastRenderedPageBreak/>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18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(18)</w:t>
            </w:r>
            <w:r>
              <w:tab/>
            </w:r>
            <w:r>
              <w:t>siekiant užtikrinti vyno ir bitininkystės sektorių pagalbos sistemų tęstinumą turėtų būti nustatytos taisyklės, pagal kurias būtų tęsiamas šių pagalbos sistemų įgyvendinimas iki jų atitinkamų programavimo laikotarpių pabaigos. Todėl šiuo laikotarpiu turėtų</w:t>
            </w:r>
            <w:r>
              <w:t xml:space="preserve"> būti toliau taikomos tam tikros Reglamento (ES) Nr. 1306/2013 nuostatos, susijusios su patirtomis išlaidomis ir išmokėtomis išmokomis už veiklą, įgyvendintą pagal Reglamentą (ES) Nr. 1308/2013 po 2021 m. gruodžio 31 d. ir iki tų pagalbos sistemų pabaigos;</w:t>
            </w:r>
          </w:p>
        </w:tc>
        <w:tc>
          <w:tcPr>
            <w:tcW w:w="4876" w:type="dxa"/>
            <w:hideMark/>
          </w:tcPr>
          <w:p w:rsidR="006D5E42" w:rsidRPr="008824D6" w:rsidRDefault="00D107CE" w:rsidP="00587FE8">
            <w:pPr>
              <w:pStyle w:val="Normal6"/>
              <w:rPr>
                <w:szCs w:val="24"/>
              </w:rPr>
            </w:pPr>
            <w:r>
              <w:t>(18)</w:t>
            </w:r>
            <w:r>
              <w:tab/>
              <w:t xml:space="preserve">siekiant užtikrinti </w:t>
            </w:r>
            <w:r>
              <w:rPr>
                <w:b/>
                <w:i/>
              </w:rPr>
              <w:t xml:space="preserve">vaisių ir daržovių, </w:t>
            </w:r>
            <w:r>
              <w:t>vyno ir bitininkystės sektorių pagalbos sistemų tęstinumą turėtų būti nustatytos taisyklės, pagal kurias būtų tęsiamas šių pagalbos sistemų įgyvendinimas iki jų atitinkamų programavimo laikotarpių pabaigos. Tod</w:t>
            </w:r>
            <w:r>
              <w:t xml:space="preserve">ėl šiuo laikotarpiu turėtų būti toliau taikomos tam tikros Reglamento (ES) Nr. 1306/2013 nuostatos, susijusios su patirtomis išlaidomis ir išmokėtomis išmokomis už veiklą, įgyvendintą pagal Reglamentą (ES) Nr. 1308/2013 po 2021 m. gruodžio 31 d. </w:t>
            </w:r>
            <w:r>
              <w:rPr>
                <w:b/>
                <w:i/>
              </w:rPr>
              <w:t>arba atiti</w:t>
            </w:r>
            <w:r>
              <w:rPr>
                <w:b/>
                <w:i/>
              </w:rPr>
              <w:t xml:space="preserve">nkamais atvejais po 2023 m. gruodžio 31 d. </w:t>
            </w:r>
            <w:r>
              <w:t>ir iki tų pagalbos sistemų</w:t>
            </w:r>
            <w:r>
              <w:rPr>
                <w:b/>
                <w:i/>
              </w:rPr>
              <w:t xml:space="preserve"> ir veiklos programų</w:t>
            </w:r>
            <w:r>
              <w:t xml:space="preserve"> pabaigos;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20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 xml:space="preserve">Komisijos </w:t>
            </w:r>
            <w:r>
              <w:t>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(20)</w:t>
            </w:r>
            <w:r>
              <w:tab/>
              <w:t>EŽŪFKP lėšomis turėtų būti galima remti bendruomenės inicijuotą vietos plėtrą pagal naujas Reglamento (ES) XXXX/XXXX [Naujas BNR] taisykles. Tačiau siekiant, kad bendruomenės inicijuotos vietos plėtros lėšos neliktų neišle</w:t>
            </w:r>
            <w:r>
              <w:t>istos 2021 programavimo metais, valstybės narės,</w:t>
            </w:r>
            <w:r>
              <w:rPr>
                <w:b/>
                <w:i/>
              </w:rPr>
              <w:t xml:space="preserve"> </w:t>
            </w:r>
            <w:r>
              <w:t>kurios nusprendžia pratęsti savo kaimo plėtros programas iki 2021 m. gruodžio 31 d., be to, naudojasi galimybe tiesioginėms išmokoms skirtas sumas perkelti prie kaimo plėtrai skirtų sumų, turėtų turėti galim</w:t>
            </w:r>
            <w:r>
              <w:t xml:space="preserve">ybę taikyti ne mažesnę kaip 5 % asignavimų sumą, skirtą bendruomenės inicijuotai vietos plėtrai, tik EŽŪFKP įnašui, skiriamam iki 2021 m. gruodžio 31 d. pratęstai kaimo plėtros programai ir apskaičiuotam prieš perkeliant </w:t>
            </w:r>
            <w:r>
              <w:lastRenderedPageBreak/>
              <w:t>tiesioginėms išmokoms skirtas sumas</w:t>
            </w:r>
            <w:r>
              <w:t>;</w:t>
            </w:r>
          </w:p>
        </w:tc>
        <w:tc>
          <w:tcPr>
            <w:tcW w:w="4876" w:type="dxa"/>
            <w:hideMark/>
          </w:tcPr>
          <w:p w:rsidR="006D5E42" w:rsidRPr="008824D6" w:rsidRDefault="00D107CE" w:rsidP="00587FE8">
            <w:pPr>
              <w:pStyle w:val="Normal6"/>
              <w:rPr>
                <w:szCs w:val="24"/>
              </w:rPr>
            </w:pPr>
            <w:r>
              <w:lastRenderedPageBreak/>
              <w:t>(20)</w:t>
            </w:r>
            <w:r>
              <w:tab/>
              <w:t>EŽŪFKP lėšomis turėtų būti galima remti bendruomenės inicijuotą vietos plėtrą pagal naujas Reglamento (ES) XXXX/XXXX [Naujas BNR] taisykles. Tačiau siekiant, kad bendruomenės inicijuotos vietos plėtros lėšos neliktų neišleistos 2021 programavimo met</w:t>
            </w:r>
            <w:r>
              <w:t>ais</w:t>
            </w:r>
            <w:r>
              <w:rPr>
                <w:b/>
                <w:i/>
              </w:rPr>
              <w:t xml:space="preserve"> arba atitinkamais atvejais 2022 programavimo metais</w:t>
            </w:r>
            <w:r>
              <w:t xml:space="preserve">, valstybės narės, kurios nusprendžia pratęsti savo kaimo plėtros programas iki 2021 m. gruodžio 31 d., be to, naudojasi galimybe tiesioginėms išmokoms skirtas sumas perkelti prie kaimo plėtrai skirtų </w:t>
            </w:r>
            <w:r>
              <w:t>sumų, turėtų turėti galimybę taikyti ne mažesnę kaip 5 % asignavimų sumą, skirtą bendruomenės inicijuotai vietos plėtrai, tik EŽŪFKP įnašui, skiriamam iki 2021</w:t>
            </w:r>
            <w:r>
              <w:rPr>
                <w:b/>
                <w:i/>
              </w:rPr>
              <w:t> </w:t>
            </w:r>
            <w:r>
              <w:t xml:space="preserve">m. </w:t>
            </w:r>
            <w:r>
              <w:lastRenderedPageBreak/>
              <w:t xml:space="preserve">gruodžio 31 d. </w:t>
            </w:r>
            <w:r>
              <w:rPr>
                <w:b/>
                <w:i/>
              </w:rPr>
              <w:t>arba atitinkamais atvejais iki 2022</w:t>
            </w:r>
            <w:r>
              <w:t> </w:t>
            </w:r>
            <w:r>
              <w:rPr>
                <w:b/>
                <w:i/>
              </w:rPr>
              <w:t>m. gruodžio 31 d.</w:t>
            </w:r>
            <w:r>
              <w:t xml:space="preserve"> pratęstai kaimo plėtros </w:t>
            </w:r>
            <w:r>
              <w:t>programai ir apskaičiuotam prieš perkeliant tiesioginėms išmokoms skirtas sumas;</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21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(21)</w:t>
            </w:r>
            <w:r>
              <w:tab/>
            </w:r>
            <w:r>
              <w:rPr>
                <w:b/>
                <w:i/>
              </w:rPr>
              <w:t>kad</w:t>
            </w:r>
            <w:r>
              <w:t xml:space="preserve"> pereinamuoju laikotarpiu būtų užtikrintas tęstinumas, 2021 m. turėtų būti išlaikytas žemės ūkio sektoriaus krizių rezervas ir į jį turėtų būti įtraukta atitinkama 2021 m. skirta šio rezervo suma;</w:t>
            </w:r>
          </w:p>
        </w:tc>
        <w:tc>
          <w:tcPr>
            <w:tcW w:w="4876" w:type="dxa"/>
            <w:hideMark/>
          </w:tcPr>
          <w:p w:rsidR="006D5E42" w:rsidRPr="008824D6" w:rsidRDefault="00D107CE" w:rsidP="00587FE8">
            <w:pPr>
              <w:pStyle w:val="Normal6"/>
              <w:rPr>
                <w:szCs w:val="24"/>
              </w:rPr>
            </w:pPr>
            <w:r>
              <w:t>(21)</w:t>
            </w:r>
            <w:r>
              <w:tab/>
            </w:r>
            <w:r>
              <w:rPr>
                <w:b/>
                <w:i/>
              </w:rPr>
              <w:t xml:space="preserve"> kad</w:t>
            </w:r>
            <w:r>
              <w:t xml:space="preserve"> pereinamuoju laikotarpiu būtų</w:t>
            </w:r>
            <w:r>
              <w:t xml:space="preserve"> užtikrintas tęstinumas, 2021 m. </w:t>
            </w:r>
            <w:r>
              <w:rPr>
                <w:b/>
                <w:i/>
              </w:rPr>
              <w:t xml:space="preserve">arba atitinkamais atvejais 2022 m. </w:t>
            </w:r>
            <w:r>
              <w:t>turėtų būti išlaikytas žemės ūkio sektoriaus krizių rezervas ir į jį turėtų būti įtraukta atitinkama 2021 m.</w:t>
            </w:r>
            <w:r>
              <w:rPr>
                <w:b/>
                <w:i/>
              </w:rPr>
              <w:t xml:space="preserve"> ir atitinkamais atvejais 2022</w:t>
            </w:r>
            <w:r>
              <w:t> </w:t>
            </w:r>
            <w:r>
              <w:rPr>
                <w:b/>
                <w:i/>
              </w:rPr>
              <w:t>m.</w:t>
            </w:r>
            <w:r>
              <w:t xml:space="preserve"> skirta šio rezervo suma;</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w:t>
      </w:r>
      <w:r>
        <w:t>itimas</w:t>
      </w:r>
      <w:r>
        <w:tab/>
      </w:r>
      <w:r>
        <w:tab/>
      </w:r>
      <w:r>
        <w:rPr>
          <w:rStyle w:val="HideTWBExt"/>
          <w:b w:val="0"/>
        </w:rPr>
        <w:t>&lt;NumAm&gt;</w:t>
      </w:r>
      <w:r>
        <w:t>14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22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(22)</w:t>
            </w:r>
            <w:r>
              <w:tab/>
              <w:t xml:space="preserve">dėl išankstinio finansavimo iš EŽŪFKP tvarkos turėtų būti aiškiai nustatyta, kad jei </w:t>
            </w:r>
            <w:r>
              <w:t>valstybės narės nusprendžia pratęsti 2014–2020 m. laikotarpį iki 2021 m. gruodžio 31 d., dėl to susijusioms programoms neturėtų būti skirtas papildomas išankstinis finansavimas;</w:t>
            </w:r>
          </w:p>
        </w:tc>
        <w:tc>
          <w:tcPr>
            <w:tcW w:w="4876" w:type="dxa"/>
            <w:hideMark/>
          </w:tcPr>
          <w:p w:rsidR="006D5E42" w:rsidRPr="008824D6" w:rsidRDefault="00D107CE" w:rsidP="00587FE8">
            <w:pPr>
              <w:pStyle w:val="Normal6"/>
              <w:rPr>
                <w:szCs w:val="24"/>
              </w:rPr>
            </w:pPr>
            <w:r>
              <w:t>(22)</w:t>
            </w:r>
            <w:r>
              <w:tab/>
              <w:t>dėl išankstinio finansavimo iš EŽŪFKP tvarkos turėtų būti aiškiai nustaty</w:t>
            </w:r>
            <w:r>
              <w:t>ta, kad jei valstybės narės nusprendžia pratęsti 2014–2020 m. laikotarpį iki 2021 m. gruodžio 31 d.</w:t>
            </w:r>
            <w:r>
              <w:rPr>
                <w:b/>
                <w:i/>
              </w:rPr>
              <w:t xml:space="preserve"> arba atitinkamais atvejais iki 2022 m. gruodžio 31 d.</w:t>
            </w:r>
            <w:r>
              <w:t>, dėl to susijusioms programoms neturėtų būti skirtas papildomas išankstinis finansavimas;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w:t>
      </w:r>
      <w:r>
        <w:rPr>
          <w:rStyle w:val="HideTWBExt"/>
          <w:b w:val="0"/>
        </w:rPr>
        <w:t>mend&gt;</w:t>
      </w:r>
      <w:r>
        <w:t>Pakeitimas</w:t>
      </w:r>
      <w:r>
        <w:tab/>
      </w:r>
      <w:r>
        <w:tab/>
      </w:r>
      <w:r>
        <w:rPr>
          <w:rStyle w:val="HideTWBExt"/>
          <w:b w:val="0"/>
        </w:rPr>
        <w:t>&lt;NumAm&gt;</w:t>
      </w:r>
      <w:r>
        <w:t>15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23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(23)</w:t>
            </w:r>
            <w:r>
              <w:tab/>
              <w:t xml:space="preserve">šiuo metu Reglamento (ES) Nr. 1307/2013 11 straipsnyje numatyta valstybių narių </w:t>
            </w:r>
            <w:r>
              <w:t>pareiga pranešti tik apie sprendimus ir visas numatomas gauti lėšas sumažinus konkrečiais kalendoriniais metais ūkininkui skirtinų tiesioginių išmokų sumos dalį, viršijančią 150 000 EUR 2015–2020 m. Siekiant užtikrinti dabartinės sistemos tęstinumą, valsty</w:t>
            </w:r>
            <w:r>
              <w:t>bės narės taip pat turėtų pranešti apie savo sprendimus ir 2021 kalendoriniais metais sumažinus išmokas numatomas gauti lėšas;</w:t>
            </w:r>
          </w:p>
        </w:tc>
        <w:tc>
          <w:tcPr>
            <w:tcW w:w="4876" w:type="dxa"/>
            <w:hideMark/>
          </w:tcPr>
          <w:p w:rsidR="006D5E42" w:rsidRPr="008824D6" w:rsidRDefault="00D107CE" w:rsidP="00587FE8">
            <w:pPr>
              <w:pStyle w:val="Normal6"/>
              <w:rPr>
                <w:szCs w:val="24"/>
              </w:rPr>
            </w:pPr>
            <w:r>
              <w:t>(23)</w:t>
            </w:r>
            <w:r>
              <w:tab/>
              <w:t>šiuo metu Reglamento (ES) Nr. 1307/2013 11 straipsnyje numatyta valstybių narių pareiga pranešti tik apie sprendimus ir visa</w:t>
            </w:r>
            <w:r>
              <w:t>s numatomas gauti lėšas sumažinus konkrečiais kalendoriniais metais ūkininkui skirtinų tiesioginių išmokų sumos dalį, viršijančią 150 000 EUR 2015–2020 m. Siekiant užtikrinti dabartinės sistemos tęstinumą, valstybės narės taip pat turėtų pranešti apie savo</w:t>
            </w:r>
            <w:r>
              <w:t xml:space="preserve"> sprendimus ir 2021 </w:t>
            </w:r>
            <w:r>
              <w:rPr>
                <w:b/>
                <w:i/>
              </w:rPr>
              <w:t xml:space="preserve">ir atitinkamais atvejais 2022 </w:t>
            </w:r>
            <w:r>
              <w:t>kalendoriniais metais sumažinus išmokas numatomas gauti lėšas;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24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(24)</w:t>
            </w:r>
            <w:r>
              <w:tab/>
              <w:t>remdamosi Reglamento (ES) Nr. 1307/2013 14 straipsniu valstybės narės gali atlikti 2014–2020 kalendoriniais metais tiesioginėms išmokoms ir kaimo plėtrai skirtų lėšų tarpusavio perkėlimus. Siekiant užtikrinti, ka</w:t>
            </w:r>
            <w:r>
              <w:t xml:space="preserve">d valstybės narės galėtų laikytis savo strategijos, turėtų būti galima lanksčiai tarp ramsčių perkelti ir 2021 kalendoriniams metams </w:t>
            </w:r>
            <w:r>
              <w:rPr>
                <w:b/>
                <w:i/>
              </w:rPr>
              <w:t>skirtas lėšas</w:t>
            </w:r>
            <w:r>
              <w:t xml:space="preserve"> (t. y. </w:t>
            </w:r>
            <w:r>
              <w:rPr>
                <w:b/>
                <w:i/>
              </w:rPr>
              <w:t>2022</w:t>
            </w:r>
            <w:r>
              <w:t xml:space="preserve"> finansiniais metais);</w:t>
            </w:r>
          </w:p>
        </w:tc>
        <w:tc>
          <w:tcPr>
            <w:tcW w:w="4876" w:type="dxa"/>
            <w:hideMark/>
          </w:tcPr>
          <w:p w:rsidR="006D5E42" w:rsidRPr="008824D6" w:rsidRDefault="00D107CE" w:rsidP="00587FE8">
            <w:pPr>
              <w:pStyle w:val="Normal6"/>
              <w:rPr>
                <w:szCs w:val="24"/>
              </w:rPr>
            </w:pPr>
            <w:r>
              <w:t>(24)</w:t>
            </w:r>
            <w:r>
              <w:tab/>
              <w:t xml:space="preserve">remdamosi Reglamento (ES) Nr. 1307/2013 14 straipsniu valstybės narės </w:t>
            </w:r>
            <w:r>
              <w:t>gali atlikti 2014–2020 kalendoriniais metais tiesioginėms išmokoms ir kaimo plėtrai skirtų lėšų tarpusavio perkėlimus. Siekiant užtikrinti, kad valstybės narės galėtų laikytis savo strategijos, turėtų būti galima lanksčiai tarp ramsčių perkelti ir 2021 kal</w:t>
            </w:r>
            <w:r>
              <w:t xml:space="preserve">endoriniams metams </w:t>
            </w:r>
            <w:r>
              <w:rPr>
                <w:b/>
                <w:i/>
              </w:rPr>
              <w:t>(t. y. 2022 finansiniais metais) ir atitinkamais atvejais 2022 kalendoriniams metams</w:t>
            </w:r>
            <w:r>
              <w:t xml:space="preserve"> (t. y. </w:t>
            </w:r>
            <w:r>
              <w:rPr>
                <w:b/>
                <w:i/>
              </w:rPr>
              <w:t>2023</w:t>
            </w:r>
            <w:r>
              <w:t xml:space="preserve"> finansiniais metais)</w:t>
            </w:r>
            <w:r>
              <w:rPr>
                <w:b/>
                <w:i/>
              </w:rPr>
              <w:t xml:space="preserve"> skirtas lėšas</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25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(25)</w:t>
            </w:r>
            <w:r>
              <w:tab/>
              <w:t xml:space="preserve">kad Komisija galėtų nustatyti </w:t>
            </w:r>
            <w:r>
              <w:lastRenderedPageBreak/>
              <w:t>biudžeto viršutines ribas pagal Reglamento (ES) Nr. 1307/2013 22 straipsnio 1 dalį, 36 straipsnio 4 dalį, 42 straipsnio 2 dalį, 47 straipsnio 3 d</w:t>
            </w:r>
            <w:r>
              <w:t>alį, 49 straipsnio 2 dalį, 51 straipsnio 4 dalį ir 53 straipsnio 7 dalį, būtina, kad valstybės narės apie sprendimus dėl 2021 kalendorinių metų finansinių asignavimų pagal kiekvieną sistemą praneštų iki 2020 m. rugpjūčio 1 d.;</w:t>
            </w:r>
          </w:p>
        </w:tc>
        <w:tc>
          <w:tcPr>
            <w:tcW w:w="4876" w:type="dxa"/>
            <w:hideMark/>
          </w:tcPr>
          <w:p w:rsidR="006D5E42" w:rsidRPr="008824D6" w:rsidRDefault="00D107CE" w:rsidP="00587FE8">
            <w:pPr>
              <w:pStyle w:val="Normal6"/>
              <w:rPr>
                <w:szCs w:val="24"/>
              </w:rPr>
            </w:pPr>
            <w:r>
              <w:lastRenderedPageBreak/>
              <w:t>(25)</w:t>
            </w:r>
            <w:r>
              <w:tab/>
              <w:t>kad Komisija galėtų nust</w:t>
            </w:r>
            <w:r>
              <w:t xml:space="preserve">atyti </w:t>
            </w:r>
            <w:r>
              <w:lastRenderedPageBreak/>
              <w:t>biudžeto viršutines ribas pagal Reglamento (ES) Nr. 1307/2013 22 straipsnio 1 dalį, 36 straipsnio 4 dalį, 42 straipsnio 2 dalį, 47 straipsnio 3 dalį, 49 straipsnio 2 dalį, 51 straipsnio 4 dalį ir 53 straipsnio 7 dalį, būtina, kad valstybės narės apie</w:t>
            </w:r>
            <w:r>
              <w:t xml:space="preserve"> sprendimus dėl 2021 kalendorinių metų finansinių asignavimų pagal kiekvieną sistemą praneštų iki 2020 m. rugpjūčio 1 d.</w:t>
            </w:r>
            <w:r>
              <w:rPr>
                <w:b/>
                <w:i/>
              </w:rPr>
              <w:t>, ir atitinkamais atvejais apie sprendimus dėl 2022 kalendorinių metų finansinių asignavimų pagal kiekvieną sistemą praneštų iki 2021 m.</w:t>
            </w:r>
            <w:r>
              <w:rPr>
                <w:b/>
                <w:i/>
              </w:rPr>
              <w:t xml:space="preserve"> rugpjūčio 1 d.</w:t>
            </w:r>
            <w:r>
              <w:t>;</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26 a konstatuojamoji dalis (nauja)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(26a)</w:t>
            </w:r>
            <w:r>
              <w:rPr>
                <w:b/>
                <w:i/>
              </w:rPr>
              <w:tab/>
              <w:t xml:space="preserve">valstybėms narėms turėtų būti sudarytos </w:t>
            </w:r>
            <w:r>
              <w:rPr>
                <w:b/>
                <w:i/>
              </w:rPr>
              <w:t>sąlygos toliau naudotis pereinamojo laikotarpio nacionaline pagalba šio reglamento taikymo laikotarpiu;</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19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27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 xml:space="preserve">Komisijos </w:t>
            </w:r>
            <w:r>
              <w:t>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(27)</w:t>
            </w:r>
            <w:r>
              <w:tab/>
              <w:t>pagal dabartinę teisinę sistemą 2014 m. valstybės narės pranešė apie savo sprendimus iki 2020 kalendorinių metų, susijusius su bazinės išmokos sistemos metinių nacionalinių viršutinių ribų paskirstymu tarp regionų, ir apie</w:t>
            </w:r>
            <w:r>
              <w:t xml:space="preserve"> galimus metinius laipsniškus pakeitimus Reglamentu (ES) Nr. 1307/2013 nustatytu laikotarpiu. Būtina, kad valstybės narės taip pat praneštų apie šiuos sprendimus, susijusius su 2021 kalendoriniais metais;</w:t>
            </w:r>
          </w:p>
        </w:tc>
        <w:tc>
          <w:tcPr>
            <w:tcW w:w="4876" w:type="dxa"/>
            <w:hideMark/>
          </w:tcPr>
          <w:p w:rsidR="006D5E42" w:rsidRPr="008824D6" w:rsidRDefault="00D107CE" w:rsidP="00587FE8">
            <w:pPr>
              <w:pStyle w:val="Normal6"/>
              <w:rPr>
                <w:szCs w:val="24"/>
              </w:rPr>
            </w:pPr>
            <w:r>
              <w:t>(27)</w:t>
            </w:r>
            <w:r>
              <w:tab/>
              <w:t>pagal dabartinę teisinę sistemą 2014 m. valsty</w:t>
            </w:r>
            <w:r>
              <w:t>bės narės pranešė apie savo sprendimus iki 2020 kalendorinių metų, susijusius su bazinės išmokos sistemos metinių nacionalinių viršutinių ribų paskirstymu tarp regionų, ir apie galimus metinius laipsniškus pakeitimus Reglamentu (ES) Nr. 1307/2013 nustatytu</w:t>
            </w:r>
            <w:r>
              <w:t xml:space="preserve"> laikotarpiu. Būtina, kad valstybės narės taip pat praneštų apie šiuos sprendimus, susijusius su 2021 kalendoriniais metais </w:t>
            </w:r>
            <w:r>
              <w:rPr>
                <w:b/>
                <w:i/>
              </w:rPr>
              <w:t xml:space="preserve">ir </w:t>
            </w:r>
            <w:r>
              <w:rPr>
                <w:b/>
                <w:i/>
              </w:rPr>
              <w:lastRenderedPageBreak/>
              <w:t>atitinkamais atvejais 2022 kalendoriniais metais</w:t>
            </w:r>
            <w:r>
              <w:t>;</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20</w:t>
      </w:r>
      <w:r>
        <w:rPr>
          <w:rStyle w:val="HideTWBExt"/>
          <w:b w:val="0"/>
        </w:rPr>
        <w:t>&lt;/NumAm&gt;</w:t>
      </w:r>
    </w:p>
    <w:p w:rsidR="006D5E42" w:rsidRPr="008824D6" w:rsidRDefault="00D107CE" w:rsidP="006D5E42">
      <w:pPr>
        <w:pStyle w:val="NormalBold12b"/>
      </w:pPr>
      <w:r>
        <w:rPr>
          <w:rStyle w:val="HideTWBExt"/>
          <w:b w:val="0"/>
        </w:rPr>
        <w:t>&lt;DocAmend&gt;</w:t>
      </w:r>
      <w:r>
        <w:t>Pasiūlymas dėl reglame</w:t>
      </w:r>
      <w:r>
        <w:t>nto</w:t>
      </w:r>
      <w:r>
        <w:rPr>
          <w:rStyle w:val="HideTWBExt"/>
          <w:b w:val="0"/>
        </w:rPr>
        <w:t>&lt;/DocAmend&gt;</w:t>
      </w:r>
    </w:p>
    <w:p w:rsidR="006D5E42" w:rsidRPr="008824D6" w:rsidRDefault="00D107CE" w:rsidP="006D5E42">
      <w:pPr>
        <w:pStyle w:val="NormalBold"/>
      </w:pPr>
      <w:r>
        <w:rPr>
          <w:rStyle w:val="HideTWBExt"/>
          <w:b w:val="0"/>
        </w:rPr>
        <w:t>&lt;Article&gt;</w:t>
      </w:r>
      <w:r>
        <w:t>28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(28)</w:t>
            </w:r>
            <w:r>
              <w:tab/>
              <w:t xml:space="preserve">vidaus konvergencijos mechanizmas – pagrindinis procesas, kuriuo siekiama teisingiau paskirstyti tiesioginę paramą ūkininkų pajamoms. Pavienius </w:t>
            </w:r>
            <w:r>
              <w:t xml:space="preserve">didelius skirtumus, grindžiamus istoriškai susiklosčiusiais referenciniais išmokų dydžiais, vis sunkiau pagrįsti. Pagal Reglamento (ES) Nr. 1307/2013 pagrindinį vidaus konvergencijos modelį nuo 2015 m. nacionaliniu ir regioniniu lygmenimis valstybės narės </w:t>
            </w:r>
            <w:r>
              <w:t>taiko visoms teisėms į išmokas vienodą fiksuotąją normą. Tačiau siekiant užtikrinti, kad perėjimas prie vienodos vertės būtų sklandesnis, buvo nustatyta nukrypti leidžianti nuostata, kuria remdamosi valstybės narės nuo 2015 m. iki 2019 m. galėjo diferencij</w:t>
            </w:r>
            <w:r>
              <w:t xml:space="preserve">uoti teisių į išmokas vertes taikydamos dalinę konvergenciją (vadinamąjį tunelio modelį). Kai kurios valstybės narės šia nukrypti leidžiančia nuostata pasinaudojo. Siekdamos toliau tęsti teisingesnio tiesioginių išmokų paskirstymo procesą, valstybės narės </w:t>
            </w:r>
            <w:r>
              <w:t>gali tęsti artėjimą prie nacionalinio arba regioninio vidurkio po 2019 m., užuot taikiusios vienodą fiksuotąją normą</w:t>
            </w:r>
            <w:r>
              <w:rPr>
                <w:b/>
                <w:i/>
              </w:rPr>
              <w:t xml:space="preserve"> arba išlaikiusios 2019 m. teisių į išmokas vertės lygį</w:t>
            </w:r>
            <w:r>
              <w:t>. Jos turėtų kasmet pranešti apie savo sprendimą dėl kitų metų;</w:t>
            </w:r>
          </w:p>
        </w:tc>
        <w:tc>
          <w:tcPr>
            <w:tcW w:w="4876" w:type="dxa"/>
            <w:hideMark/>
          </w:tcPr>
          <w:p w:rsidR="006D5E42" w:rsidRPr="008824D6" w:rsidRDefault="00D107CE" w:rsidP="00587FE8">
            <w:pPr>
              <w:pStyle w:val="Normal6"/>
              <w:rPr>
                <w:szCs w:val="24"/>
              </w:rPr>
            </w:pPr>
            <w:r>
              <w:t>(28)</w:t>
            </w:r>
            <w:r>
              <w:tab/>
              <w:t>vidaus konvergen</w:t>
            </w:r>
            <w:r>
              <w:t>cijos mechanizmas – pagrindinis procesas, kuriuo siekiama teisingiau paskirstyti tiesioginę paramą ūkininkų pajamoms. Pavienius didelius skirtumus, grindžiamus istoriškai susiklosčiusiais referenciniais išmokų dydžiais, vis sunkiau pagrįsti. Pagal Reglamen</w:t>
            </w:r>
            <w:r>
              <w:t>to (ES) Nr. 1307/2013 pagrindinį vidaus konvergencijos modelį nuo 2015 m. nacionaliniu ir regioniniu lygmenimis valstybės narės taiko visoms teisėms į išmokas vienodą fiksuotąją normą. Tačiau siekiant užtikrinti, kad perėjimas prie vienodos vertės būtų skl</w:t>
            </w:r>
            <w:r>
              <w:t>andesnis, buvo nustatyta nukrypti leidžianti nuostata, kuria remdamosi valstybės narės nuo 2015 m. iki 2019 m. galėjo diferencijuoti teisių į išmokas vertes taikydamos dalinę konvergenciją (vadinamąjį tunelio modelį). Kai kurios valstybės narės šia nukrypt</w:t>
            </w:r>
            <w:r>
              <w:t>i leidžiančia nuostata pasinaudojo. Siekdamos toliau tęsti teisingesnio tiesioginių išmokų paskirstymo procesą, valstybės narės gali tęsti artėjimą prie nacionalinio arba regioninio vidurkio po 2019 m., užuot taikiusios vienodą fiksuotąją normą. Jos turėtų</w:t>
            </w:r>
            <w:r>
              <w:t xml:space="preserve"> kasmet pranešti apie savo sprendimą dėl kitų metų;</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29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(29)</w:t>
            </w:r>
            <w:r>
              <w:tab/>
              <w:t xml:space="preserve">Reglamento (ES) </w:t>
            </w:r>
            <w:r>
              <w:t>Nr. 1307/2013 30 straipsnyje nustatyta, kad iš rezervo paskirtų teisių į išmokas vertė kasmet laipsniškai keičiama atsižvelgiant į to reglamento II priede nustatytų nacionalinių viršutinių ribų metinius etapus pagal daugiamečio rezervo valdymo principą. Ši</w:t>
            </w:r>
            <w:r>
              <w:t xml:space="preserve">os taisyklės turėtų būti pritaikytos taip, kad būtų galima iš dalies pakeisti visų skirtų teisių į išmokas ir rezervo vertę, kad ji būtų pritaikyta prie II priede nurodytos sumos dvejų metų pokyčio. Be to, kai kuriose valstybėse narėse, kurios iki 2019 m. </w:t>
            </w:r>
            <w:r>
              <w:t xml:space="preserve">netaikė fiksuotosios normos, vidaus konvergencija yra įgyvendinama kasmet. Paskirstymo metais turi būti nustatyta tik einamųjų 2020 ir 2021 kalendorinių metų teisių į išmokas vertė. Teisių į išmokas, kurios skiriamos iš rezervo konkrečiais metais, vieneto </w:t>
            </w:r>
            <w:r>
              <w:t>vertė turėtų būti apskaičiuojama atlikus galimą rezervo koregavimą pagal to reglamento 22 straipsnio 5 dalį. Visais vėlesniais metais teisių į išmokas, kurios skiriamos iš rezervo, vertė turėtų būti pritaikoma pagal 22 straipsnio 5 dalį;</w:t>
            </w:r>
          </w:p>
        </w:tc>
        <w:tc>
          <w:tcPr>
            <w:tcW w:w="4876" w:type="dxa"/>
            <w:hideMark/>
          </w:tcPr>
          <w:p w:rsidR="006D5E42" w:rsidRPr="008824D6" w:rsidRDefault="00D107CE" w:rsidP="00587FE8">
            <w:pPr>
              <w:pStyle w:val="Normal6"/>
              <w:rPr>
                <w:szCs w:val="24"/>
              </w:rPr>
            </w:pPr>
            <w:r>
              <w:t>(29)</w:t>
            </w:r>
            <w:r>
              <w:tab/>
              <w:t>Reglamento (E</w:t>
            </w:r>
            <w:r>
              <w:t>S) Nr. 1307/2013 30 straipsnyje nustatyta, kad iš rezervo paskirtų teisių į išmokas vertė kasmet laipsniškai keičiama atsižvelgiant į to reglamento II priede nustatytų nacionalinių viršutinių ribų metinius etapus pagal daugiamečio rezervo valdymo principą.</w:t>
            </w:r>
            <w:r>
              <w:t xml:space="preserve"> Šios taisyklės turėtų būti pritaikytos taip, kad būtų galima iš dalies pakeisti visų skirtų teisių į išmokas ir rezervo vertę, kad ji būtų pritaikyta prie II priede nurodytos sumos dvejų metų pokyčio. Be to, kai kuriose valstybėse narėse, kurios iki 2019 </w:t>
            </w:r>
            <w:r>
              <w:t>m. netaikė fiksuotosios normos, vidaus konvergencija yra įgyvendinama kasmet. Paskirstymo metais turi būti nustatyta tik einamųjų 2020 ir 2021 kalendorinių metų</w:t>
            </w:r>
            <w:r>
              <w:rPr>
                <w:b/>
                <w:i/>
              </w:rPr>
              <w:t>, taip pat atitinkamais atvejais 2022 kalendorinių metų</w:t>
            </w:r>
            <w:r>
              <w:t xml:space="preserve"> teisių į išmokas vertė. Teisių į išmokas</w:t>
            </w:r>
            <w:r>
              <w:t>, kurios skiriamos iš rezervo konkrečiais metais, vieneto vertė turėtų būti apskaičiuojama atlikus galimą rezervo koregavimą pagal to reglamento 22 straipsnio 5 dalį. Visais vėlesniais metais teisių į išmokas, kurios skiriamos iš rezervo, vertė turėtų būti</w:t>
            </w:r>
            <w:r>
              <w:t xml:space="preserve"> pritaikoma pagal 22 straipsnio 5 dalį;</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30 konstatuojamoji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(30)</w:t>
            </w:r>
            <w:r>
              <w:tab/>
              <w:t>Reglamento (ES) Nr. 1307/2013 36</w:t>
            </w:r>
            <w:r>
              <w:t xml:space="preserve"> straipsnyje nustatytas vienkartinės išmokos už plotus sistemos (VIPS) taikymas iki 2020 m. gruodžio 31 d. Reglamentu dėl BŽŪP strateginio plano (ES) .../... [Reglamentas dėl BŽŪP strateginio plano] valstybėms narėms suteikiama galimybė remti pagrindines p</w:t>
            </w:r>
            <w:r>
              <w:t xml:space="preserve">ajamas tomis pačiomis sąlygomis, t. y. neskiriant teisių į išmokas </w:t>
            </w:r>
            <w:r>
              <w:lastRenderedPageBreak/>
              <w:t>remiantis istoriškai susiklosčiusiais referenciniais išmokų dydžiais. Todėl tikslinga leisti pratęsti VIPS 2021 m.;</w:t>
            </w:r>
          </w:p>
        </w:tc>
        <w:tc>
          <w:tcPr>
            <w:tcW w:w="4876" w:type="dxa"/>
            <w:hideMark/>
          </w:tcPr>
          <w:p w:rsidR="006D5E42" w:rsidRPr="008824D6" w:rsidRDefault="00D107CE" w:rsidP="00587FE8">
            <w:pPr>
              <w:pStyle w:val="Normal6"/>
              <w:rPr>
                <w:szCs w:val="24"/>
              </w:rPr>
            </w:pPr>
            <w:r>
              <w:lastRenderedPageBreak/>
              <w:t>(30)</w:t>
            </w:r>
            <w:r>
              <w:tab/>
              <w:t>Reglamento (ES) Nr. 1307/2013 36 straipsnyje nustatytas vienkartinės</w:t>
            </w:r>
            <w:r>
              <w:t xml:space="preserve"> išmokos už plotus sistemos (VIPS) taikymas iki 2020 m. gruodžio 31 d. Reglamentu dėl BŽŪP strateginio plano (ES) .../... [Reglamentas dėl BŽŪP strateginio plano] valstybėms narėms suteikiama galimybė remti pagrindines pajamas tomis pačiomis sąlygomis, t. </w:t>
            </w:r>
            <w:r>
              <w:t xml:space="preserve">y. neskiriant teisių į išmokas </w:t>
            </w:r>
            <w:r>
              <w:lastRenderedPageBreak/>
              <w:t>remiantis istoriškai susiklosčiusiais referenciniais išmokų dydžiais. Todėl tikslinga leisti pratęsti VIPS 2021 m.</w:t>
            </w:r>
            <w:r>
              <w:rPr>
                <w:b/>
                <w:i/>
              </w:rPr>
              <w:t xml:space="preserve"> ir atitinkamais atvejais 2022 m.</w:t>
            </w:r>
            <w:r>
              <w:t>;</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23</w:t>
      </w:r>
      <w:r>
        <w:rPr>
          <w:rStyle w:val="HideTWBExt"/>
          <w:b w:val="0"/>
        </w:rPr>
        <w:t>&lt;/NumAm&gt;</w:t>
      </w:r>
    </w:p>
    <w:p w:rsidR="006D5E42" w:rsidRPr="008824D6" w:rsidRDefault="00D107CE" w:rsidP="006D5E42">
      <w:pPr>
        <w:pStyle w:val="NormalBold12b"/>
      </w:pPr>
      <w:r>
        <w:rPr>
          <w:rStyle w:val="HideTWBExt"/>
          <w:b w:val="0"/>
        </w:rPr>
        <w:t>&lt;DocAmend&gt;</w:t>
      </w:r>
      <w:r>
        <w:t>Pasiūlymas dėl regl</w:t>
      </w:r>
      <w:r>
        <w:t>amento</w:t>
      </w:r>
      <w:r>
        <w:rPr>
          <w:rStyle w:val="HideTWBExt"/>
          <w:b w:val="0"/>
        </w:rPr>
        <w:t>&lt;/DocAmend&gt;</w:t>
      </w:r>
    </w:p>
    <w:p w:rsidR="006D5E42" w:rsidRPr="008824D6" w:rsidRDefault="00D107CE" w:rsidP="006D5E42">
      <w:pPr>
        <w:pStyle w:val="NormalBold"/>
      </w:pPr>
      <w:r>
        <w:rPr>
          <w:rStyle w:val="HideTWBExt"/>
          <w:b w:val="0"/>
        </w:rPr>
        <w:t>&lt;Article&gt;</w:t>
      </w:r>
      <w:r>
        <w:t>33 a konstatuojamoji dalis (nauja)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(33a)</w:t>
            </w:r>
            <w:r>
              <w:rPr>
                <w:b/>
                <w:i/>
              </w:rPr>
              <w:tab/>
              <w:t xml:space="preserve">dėl geografinės padėties (atokumas, izoliuotumas, mažumas, sunkios topografinės ir klimato sąlygos) atokiausi regionai susiduria su </w:t>
            </w:r>
            <w:r>
              <w:rPr>
                <w:b/>
                <w:i/>
              </w:rPr>
              <w:t>konkrečiomis socialinėmis ir ekonominėmis problemomis, susijusiomis su maisto ir žemės ūkio produktų, kurie būtini vartojimo ar žemės ūkio gamybos reikmėms, tiekimu. Tarybos reglamentu (ES) Nr. 228/2013 buvo nustatytos specialios žemės ūkio priemonės, skir</w:t>
            </w:r>
            <w:r>
              <w:rPr>
                <w:b/>
                <w:i/>
              </w:rPr>
              <w:t>tos sunkumams, kylantiems dėl Sutarties dėl Europos Sąjungos veikimo 349 straipsnyje minimų regionų išskirtinės padėties, sumažinti;</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34 konstatuojamoji d</w:t>
      </w:r>
      <w:r>
        <w:t>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(34)</w:t>
            </w:r>
            <w:r>
              <w:tab/>
            </w:r>
            <w:r>
              <w:rPr>
                <w:b/>
                <w:i/>
              </w:rPr>
              <w:t>be to, reglamentų</w:t>
            </w:r>
            <w:r>
              <w:t xml:space="preserve"> (ES) Nr. 228/2013 ir (ES) Nr. 229/2013 </w:t>
            </w:r>
            <w:r>
              <w:rPr>
                <w:b/>
                <w:i/>
              </w:rPr>
              <w:t>daliniai pakeitimai</w:t>
            </w:r>
            <w:r>
              <w:t xml:space="preserve"> turėtų būti taikomi nuo 2021 m. sausio 1 d. pagal Reglamentą (ES) .../... [Reglamentas, kuriuo nustatoma 2021–2027 m. daugiametė finansinė programa],</w:t>
            </w:r>
          </w:p>
        </w:tc>
        <w:tc>
          <w:tcPr>
            <w:tcW w:w="4876" w:type="dxa"/>
            <w:hideMark/>
          </w:tcPr>
          <w:p w:rsidR="006D5E42" w:rsidRPr="008824D6" w:rsidRDefault="00D107CE" w:rsidP="00587FE8">
            <w:pPr>
              <w:pStyle w:val="Normal6"/>
              <w:rPr>
                <w:szCs w:val="24"/>
              </w:rPr>
            </w:pPr>
            <w:r>
              <w:t>(34)</w:t>
            </w:r>
            <w:r>
              <w:tab/>
            </w:r>
            <w:r>
              <w:rPr>
                <w:b/>
                <w:i/>
              </w:rPr>
              <w:t>Reglamente</w:t>
            </w:r>
            <w:r>
              <w:t xml:space="preserve"> (ES) Nr. 228/2013 ir </w:t>
            </w:r>
            <w:r>
              <w:rPr>
                <w:b/>
                <w:i/>
              </w:rPr>
              <w:t xml:space="preserve">Reglamente </w:t>
            </w:r>
            <w:r>
              <w:t xml:space="preserve">(ES) Nr. 229/2013 </w:t>
            </w:r>
            <w:r>
              <w:rPr>
                <w:b/>
                <w:i/>
              </w:rPr>
              <w:t>numatyti finansiniai asignavimai</w:t>
            </w:r>
            <w:r>
              <w:t xml:space="preserve"> turėtų</w:t>
            </w:r>
            <w:r>
              <w:t xml:space="preserve"> būti taikomi nuo 2021 m. sausio 1 d. pagal Reglamentą (ES) .../... [Reglamentas, kuriuo nustatoma 2021–2027 m. daugiametė finansinė programa],</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25</w:t>
      </w:r>
      <w:r>
        <w:rPr>
          <w:rStyle w:val="HideTWBExt"/>
          <w:b w:val="0"/>
        </w:rPr>
        <w:t>&lt;/NumAm&gt;</w:t>
      </w:r>
    </w:p>
    <w:p w:rsidR="006D5E42" w:rsidRPr="008824D6" w:rsidRDefault="00D107CE" w:rsidP="006D5E42">
      <w:pPr>
        <w:pStyle w:val="NormalBold12b"/>
      </w:pPr>
      <w:r>
        <w:rPr>
          <w:rStyle w:val="HideTWBExt"/>
          <w:b w:val="0"/>
        </w:rPr>
        <w:lastRenderedPageBreak/>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34 a kons</w:t>
      </w:r>
      <w:r>
        <w:t>tatuojamoji dalis (nauja)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(34a)</w:t>
            </w:r>
            <w:r>
              <w:rPr>
                <w:b/>
                <w:i/>
              </w:rPr>
              <w:tab/>
              <w:t xml:space="preserve">tarpšakinės organizacijos, pripažintos pagal Reglamento (ES) Nr. 1308/2013 157 straipsnį, yra veiklos vykdytojos, atliekančios labai svarbų vaidmenį užtikrinant atokiausių </w:t>
            </w:r>
            <w:r>
              <w:rPr>
                <w:b/>
                <w:i/>
              </w:rPr>
              <w:t>regionų žemės ūkio sektorių, skirtų produkcijai įvairinti, vystymąsi, visų pirma gyvulininkystės sektoriaus vystymąsi. Dėl mažo dydžio ir izoliuotumo vietos rinkos atokiausiuose regionuose ypač jautriai reaguoja į kainų svyravimus, susijusius su importo iš</w:t>
            </w:r>
            <w:r>
              <w:rPr>
                <w:b/>
                <w:i/>
              </w:rPr>
              <w:t xml:space="preserve"> likusios Sąjungos dalies ar trečiųjų šalių srautais. Šios tarpšakinės organizacijos apima visus pradinės ir galutinės grandies veiklos vykdytojus, veikiančius rinkoje, todėl jos, visų pirma taikydamos duomenų rinkimo ar informacijos platinimo priemones, i</w:t>
            </w:r>
            <w:r>
              <w:rPr>
                <w:b/>
                <w:i/>
              </w:rPr>
              <w:t>masi kolektyvinių veiksmų, kad vietos produkcija išliktų konkurencinga atitinkamoje vietos rinkoje. Tuo tikslu, neatsižvelgiant į SESV 28, 29 ir 110 straipsnius ir nepažeidžiant Reglamento (ES) Nr. 1308/2013 164 ir 165 straipsnių, reikėtų suteikti galimybę</w:t>
            </w:r>
            <w:r>
              <w:rPr>
                <w:b/>
                <w:i/>
              </w:rPr>
              <w:t xml:space="preserve"> atitinkamai valstybei narei, pasikonsultavus su atitinkamais subjektais, pagal išplėstus tarpšakinius susitarimus įpareigoti vietos rinkoje veikiančius atskirus veiklos vykdytojus arba organizacijai nepriklausančių veiklos vykdytojų grupes, neatsižvelgian</w:t>
            </w:r>
            <w:r>
              <w:rPr>
                <w:b/>
                <w:i/>
              </w:rPr>
              <w:t>t į jų kilmę, mokėti įmokas, taip pat ir tuo atveju, jeigu šių įmokų pajamomis finansuojamos priemonės, kuriomis siekiama išlaikyti vietos gamybą, arba jeigu šios įmokos renkamos skirtingais prekybos etapais;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 straipsnis (naujas)</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jc w:val="center"/>
              <w:rPr>
                <w:szCs w:val="24"/>
              </w:rPr>
            </w:pPr>
            <w:r>
              <w:rPr>
                <w:b/>
                <w:i/>
              </w:rPr>
              <w:t>-1 straipsnis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1.</w:t>
            </w:r>
            <w:r>
              <w:rPr>
                <w:b/>
                <w:i/>
              </w:rPr>
              <w:tab/>
              <w:t>Šiame reglamente sąvoka „pereinamasis laikotarpis“ reiškia laikotarpį, prasidedantį 2021 m. sausio 1 d. ir</w:t>
            </w:r>
            <w:r>
              <w:rPr>
                <w:b/>
                <w:i/>
              </w:rPr>
              <w:t xml:space="preserve"> besibaigiantį 2021 m. gruodžio 31 d.</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2.</w:t>
            </w:r>
            <w:r>
              <w:rPr>
                <w:b/>
                <w:i/>
              </w:rPr>
              <w:tab/>
              <w:t>Nukrypstant nuo šio straipsnio 1 dalies ir tik tuo atveju, jei pasiūlymas dėl Tarybos reglamento, kuriuo nustatoma 2021–2027 m. daugiametė finansinė programa, ir pasiūlymas dėl Europos Parlamento ir Tarybos reglam</w:t>
            </w:r>
            <w:r>
              <w:rPr>
                <w:b/>
                <w:i/>
              </w:rPr>
              <w:t>ento, kuriuo nustatomos valstybių narių pagal bendrą žemės ūkio politiką rengtinų strateginių planų (BŽŪP strateginių planų), finansuotinų iš Europos žemės ūkio garantijų fondo (EŽŪGF) ir iš Europos žemės ūkio fondo kaimo plėtrai (EŽŪFKP), rėmimo taisyklės</w:t>
            </w:r>
            <w:r>
              <w:rPr>
                <w:b/>
                <w:i/>
              </w:rPr>
              <w:t xml:space="preserve"> ir panaikinami Europos Parlamento ir Tarybos reglamentas (ES) Nr. 1305/2013 ir Europos Parlamento ir Tarybos reglamentas (ES) Nr. 1307/2013, nebus priimti ir paskelbti Europos Sąjungos oficialiajame leidinyje iki 2020 m. spalio 30 d., pereinamasis laikota</w:t>
            </w:r>
            <w:r>
              <w:rPr>
                <w:b/>
                <w:i/>
              </w:rPr>
              <w:t>rpis, kaip nustatyta šiame reglamente, pratęsiamas iki 2022 m. gruodžio 31 d.</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1 dalies 1 pastraipa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kurios dėl finansinių išteklių trūkumo gali neturėti galimybės prisiimti naujų teisinių įsipareigojimų pagal Reglamentą (ES) Nr. 1305/2013, gali pratęsti Europos žemės ūkio fondo kaimo plėtrai (EŽŪFKP) lėšomis remiamų programų </w:t>
            </w:r>
            <w:r>
              <w:t xml:space="preserve">laikotarpį, nustatytą Reglamento </w:t>
            </w:r>
            <w:r>
              <w:lastRenderedPageBreak/>
              <w:t>(ES) Nr. 1303/2013 26 straipsnio 1 dalyje, iki 2021 m. gruodžio 31 d.</w:t>
            </w:r>
          </w:p>
        </w:tc>
        <w:tc>
          <w:tcPr>
            <w:tcW w:w="4876" w:type="dxa"/>
            <w:hideMark/>
          </w:tcPr>
          <w:p w:rsidR="006D5E42" w:rsidRPr="008824D6" w:rsidRDefault="00D107CE" w:rsidP="00587FE8">
            <w:pPr>
              <w:pStyle w:val="Normal6"/>
              <w:rPr>
                <w:szCs w:val="24"/>
              </w:rPr>
            </w:pPr>
            <w:r>
              <w:rPr>
                <w:szCs w:val="24"/>
              </w:rPr>
              <w:lastRenderedPageBreak/>
              <w:t>Valstybės narės, kurios dėl finansinių išteklių trūkumo gali neturėti galimybės prisiimti naujų teisinių įsipareigojimų pagal Reglamentą (ES) Nr. 1305/20</w:t>
            </w:r>
            <w:r>
              <w:rPr>
                <w:szCs w:val="24"/>
              </w:rPr>
              <w:t xml:space="preserve">13, gali pratęsti Europos žemės ūkio fondo kaimo plėtrai (EŽŪFKP) lėšomis remiamų programų laikotarpį, nustatytą Reglamento </w:t>
            </w:r>
            <w:r>
              <w:rPr>
                <w:szCs w:val="24"/>
              </w:rPr>
              <w:lastRenderedPageBreak/>
              <w:t>(ES) Nr. 1303/2013 26 straipsnio 1 dalyje, iki 2021 m. gruodžio 31 d.</w:t>
            </w:r>
            <w:r>
              <w:rPr>
                <w:b/>
                <w:i/>
                <w:szCs w:val="24"/>
              </w:rPr>
              <w:t xml:space="preserve"> ir atitinkamais atvejais iki 2022 m. gruodžio 31 d.</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1 dalies 2 pastraipa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nusprendusios pasinaudoti pirmoje pastraipoje nustatyta galimybe, apie savo sprendimą praneša Komisijai per </w:t>
            </w:r>
            <w:r>
              <w:rPr>
                <w:b/>
                <w:i/>
              </w:rPr>
              <w:t>10</w:t>
            </w:r>
            <w:r>
              <w:t xml:space="preserve"> dienų nuo šio reglamento įsigaliojimo. Jeigu valstybės narės pateikė regioninių programų rinkinį pagal Reglamento (ES) Nr. 1305/</w:t>
            </w:r>
            <w:r>
              <w:t xml:space="preserve">2013 6 straipsnį, į tą pranešimą taip pat įtraukiama informacija apie tai, kurios regioninės programos bus pratęsiamos, ir informacija apie atitinkamas iš biudžeto skiriamas lėšas pagal </w:t>
            </w:r>
            <w:r>
              <w:rPr>
                <w:b/>
                <w:i/>
              </w:rPr>
              <w:t>2021 m.</w:t>
            </w:r>
            <w:r>
              <w:t xml:space="preserve"> metinį paskirstymą, kaip nustatyta Reglamento (ES) Nr. 1305/20</w:t>
            </w:r>
            <w:r>
              <w:t>13 I priede.</w:t>
            </w:r>
          </w:p>
        </w:tc>
        <w:tc>
          <w:tcPr>
            <w:tcW w:w="4876" w:type="dxa"/>
            <w:hideMark/>
          </w:tcPr>
          <w:p w:rsidR="006D5E42" w:rsidRPr="008824D6" w:rsidRDefault="00D107CE" w:rsidP="00587FE8">
            <w:pPr>
              <w:pStyle w:val="Normal6"/>
              <w:rPr>
                <w:szCs w:val="24"/>
              </w:rPr>
            </w:pPr>
            <w:r>
              <w:t xml:space="preserve">Valstybės narės, nusprendusios pasinaudoti pirmoje pastraipoje nustatyta galimybe, apie savo sprendimą praneša Komisijai per </w:t>
            </w:r>
            <w:r>
              <w:rPr>
                <w:b/>
                <w:i/>
              </w:rPr>
              <w:t>20</w:t>
            </w:r>
            <w:r>
              <w:t xml:space="preserve"> dienų nuo šio reglamento įsigaliojimo. Jeigu valstybės narės pateikė regioninių programų rinkinį pagal Reglamento (</w:t>
            </w:r>
            <w:r>
              <w:t xml:space="preserve">ES) Nr. 1305/2013 6 straipsnį, į tą pranešimą taip pat įtraukiama informacija apie tai, kurios regioninės programos bus pratęsiamos, ir informacija apie atitinkamas iš biudžeto skiriamas lėšas pagal </w:t>
            </w:r>
            <w:r>
              <w:rPr>
                <w:b/>
                <w:i/>
              </w:rPr>
              <w:t>pereinamojo laikotarpio</w:t>
            </w:r>
            <w:r>
              <w:t xml:space="preserve"> metinį paskirstymą, kaip nustatyt</w:t>
            </w:r>
            <w:r>
              <w:t>a Reglamento (ES) Nr. 1305/2013 I priede.</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29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1 dalies 3 pastraipa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Jeigu Komisija mano, kad </w:t>
            </w:r>
            <w:r>
              <w:t>pirmoje pastraipoje numatytas laikotarpio pratęsimas yra nepagrįstas, apie tai ji informuoja valstybę narę per šešias savaites nuo antroje pastraipoje nurodyto pranešimo gavimo.</w:t>
            </w:r>
          </w:p>
        </w:tc>
        <w:tc>
          <w:tcPr>
            <w:tcW w:w="4876" w:type="dxa"/>
            <w:hideMark/>
          </w:tcPr>
          <w:p w:rsidR="006D5E42" w:rsidRPr="008824D6" w:rsidRDefault="00D107CE" w:rsidP="00587FE8">
            <w:pPr>
              <w:pStyle w:val="Normal6"/>
              <w:rPr>
                <w:szCs w:val="24"/>
              </w:rPr>
            </w:pPr>
            <w:r>
              <w:rPr>
                <w:szCs w:val="24"/>
              </w:rPr>
              <w:t>Jeigu Komisija</w:t>
            </w:r>
            <w:r>
              <w:rPr>
                <w:b/>
                <w:i/>
                <w:szCs w:val="24"/>
              </w:rPr>
              <w:t>, remdamasi aiškiais ir objektyviais kriterijais,</w:t>
            </w:r>
            <w:r>
              <w:rPr>
                <w:szCs w:val="24"/>
              </w:rPr>
              <w:t xml:space="preserve"> mano, kad pirm</w:t>
            </w:r>
            <w:r>
              <w:rPr>
                <w:szCs w:val="24"/>
              </w:rPr>
              <w:t>oje pastraipoje numatytas laikotarpio pratęsimas yra nepagrįstas, apie tai ji informuoja valstybę narę per šešias savaites nuo antroje pastraipoje nurodyto pranešimo gavimo.</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1 dalies 4 pastraipa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Antroje pastraipoje nurodytas pranešimas nedaro poveikio poreikiui pateikti prašymą iš dalies pakeisti 2021 m. kaimo plėtros programą pagal Reglamento</w:t>
            </w:r>
            <w:r>
              <w:t xml:space="preserve"> (ES) Nr. 1305/2013 11 straipsnio pirmos pastraipos a punktą. Tokio dalinio pakeitimo tikslas – išlaikyti bent tokį patį bendrą EŽŪFKP išlaidų, skirtų to reglamento 59 straipsnio 6 dalyje nurodytoms priemonėms, lygį.</w:t>
            </w:r>
          </w:p>
        </w:tc>
        <w:tc>
          <w:tcPr>
            <w:tcW w:w="4876" w:type="dxa"/>
            <w:hideMark/>
          </w:tcPr>
          <w:p w:rsidR="006D5E42" w:rsidRPr="008824D6" w:rsidRDefault="00D107CE" w:rsidP="00587FE8">
            <w:pPr>
              <w:pStyle w:val="Normal6"/>
              <w:rPr>
                <w:szCs w:val="24"/>
              </w:rPr>
            </w:pPr>
            <w:r>
              <w:rPr>
                <w:szCs w:val="24"/>
              </w:rPr>
              <w:t>Antroje pastraipoje nurodytas pranešima</w:t>
            </w:r>
            <w:r>
              <w:rPr>
                <w:szCs w:val="24"/>
              </w:rPr>
              <w:t xml:space="preserve">s nedaro poveikio poreikiui pateikti prašymą iš dalies pakeisti 2021 m. </w:t>
            </w:r>
            <w:r>
              <w:rPr>
                <w:b/>
                <w:i/>
                <w:szCs w:val="24"/>
              </w:rPr>
              <w:t xml:space="preserve">ir, kai taikomas šio reglamento -1 straipsnis, 2022 m. </w:t>
            </w:r>
            <w:r>
              <w:rPr>
                <w:szCs w:val="24"/>
              </w:rPr>
              <w:t>kaimo plėtros programą pagal Reglamento (ES) Nr. 1305/2013 11 straipsnio pirmos pastraipos a punktą. Tokio dalinio pakeitimo tiks</w:t>
            </w:r>
            <w:r>
              <w:rPr>
                <w:szCs w:val="24"/>
              </w:rPr>
              <w:t>las – išlaikyti bent tokį patį bendrą EŽŪFKP išlaidų, skirtų to reglamento 59 straipsnio 6 dalyje nurodytoms priemonėms, lygį.</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2 dalies 1 pa</w:t>
      </w:r>
      <w:r>
        <w:t>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Jeigu valstybės narės nusprendžia nesinaudoti šio straipsnio 1 dalyje nustatyta galimybe, 2021 m. nepanaudotoms lėšoms, kurios joms skiriamos pagal Reglamento (ES) Nr. 1305/2013 I priedą, taikomas </w:t>
            </w:r>
            <w:r>
              <w:t>Reglamento (ES) .../... [Reglamento, kuriuo nustatoma 2021–2027 m. daugiametė finansinė programa] [8] straipsnis.</w:t>
            </w:r>
          </w:p>
        </w:tc>
        <w:tc>
          <w:tcPr>
            <w:tcW w:w="4876" w:type="dxa"/>
            <w:hideMark/>
          </w:tcPr>
          <w:p w:rsidR="006D5E42" w:rsidRPr="008824D6" w:rsidRDefault="00D107CE" w:rsidP="00587FE8">
            <w:pPr>
              <w:pStyle w:val="Normal6"/>
              <w:rPr>
                <w:szCs w:val="24"/>
              </w:rPr>
            </w:pPr>
            <w:r>
              <w:rPr>
                <w:szCs w:val="24"/>
              </w:rPr>
              <w:t xml:space="preserve">Jeigu valstybės narės nusprendžia nesinaudoti šio straipsnio 1 dalyje nustatyta galimybe, 2021 m. </w:t>
            </w:r>
            <w:r>
              <w:rPr>
                <w:b/>
                <w:i/>
                <w:szCs w:val="24"/>
              </w:rPr>
              <w:t>ir, kai taikomas šio reglamento -1 straipsni</w:t>
            </w:r>
            <w:r>
              <w:rPr>
                <w:b/>
                <w:i/>
                <w:szCs w:val="24"/>
              </w:rPr>
              <w:t xml:space="preserve">s, 2022 m. </w:t>
            </w:r>
            <w:r>
              <w:rPr>
                <w:szCs w:val="24"/>
              </w:rPr>
              <w:t>nepanaudotoms lėšoms, kurios joms skiriamos pagal Reglamento (ES) Nr. 1305/2013 I priedą, taikomas Reglamento (ES) .../... [Reglamento, kuriuo nustatoma 2021–2027 m. daugiametė finansinė programa] [8] straipsnis.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w:t>
      </w:r>
      <w:r>
        <w:rPr>
          <w:rStyle w:val="HideTWBExt"/>
          <w:b w:val="0"/>
        </w:rPr>
        <w:t>mAm&gt;</w:t>
      </w:r>
      <w:r>
        <w:t>32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 straipsnio 2 dalies 2 pastraipa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Jeigu valstybė narė nusprendžia pasinaudoti 1 dalyje nustatyta galimybe tik tam tikrų regioninių </w:t>
            </w:r>
            <w:r>
              <w:t xml:space="preserve">programų atveju, šios dalies pirmoje pastraipoje nurodytų skiriamų lėšų suma yra tai valstybei narei 2021 m. Reglamento (ES) Nr. 1305/2013 I </w:t>
            </w:r>
            <w:r>
              <w:lastRenderedPageBreak/>
              <w:t>priede nustatyta suma, iš kurios išskaičiuojamos pratęsiamoms regioninėms programoms iš biudžeto skiriamos lėšos, a</w:t>
            </w:r>
            <w:r>
              <w:t>pie kurias pranešta pagal 2 dalies pirmą pastraipą.</w:t>
            </w:r>
          </w:p>
        </w:tc>
        <w:tc>
          <w:tcPr>
            <w:tcW w:w="4876" w:type="dxa"/>
            <w:hideMark/>
          </w:tcPr>
          <w:p w:rsidR="006D5E42" w:rsidRPr="008824D6" w:rsidRDefault="00D107CE" w:rsidP="00587FE8">
            <w:pPr>
              <w:pStyle w:val="Normal6"/>
              <w:rPr>
                <w:szCs w:val="24"/>
              </w:rPr>
            </w:pPr>
            <w:r>
              <w:rPr>
                <w:szCs w:val="24"/>
              </w:rPr>
              <w:lastRenderedPageBreak/>
              <w:t>Jeigu valstybė narė nusprendžia pasinaudoti 1 dalyje nustatyta galimybe tik tam tikrų regioninių programų atveju, šios dalies pirmoje pastraipoje nurodytų skiriamų lėšų suma yra tai valstybei narei 2021 m</w:t>
            </w:r>
            <w:r>
              <w:rPr>
                <w:szCs w:val="24"/>
              </w:rPr>
              <w:t xml:space="preserve">. </w:t>
            </w:r>
            <w:r>
              <w:rPr>
                <w:b/>
                <w:i/>
                <w:szCs w:val="24"/>
              </w:rPr>
              <w:t xml:space="preserve">ir, kai taikomas šio reglamento 1 </w:t>
            </w:r>
            <w:r>
              <w:rPr>
                <w:b/>
                <w:i/>
                <w:szCs w:val="24"/>
              </w:rPr>
              <w:lastRenderedPageBreak/>
              <w:t xml:space="preserve">straipsnis, 2022 m. </w:t>
            </w:r>
            <w:r>
              <w:rPr>
                <w:szCs w:val="24"/>
              </w:rPr>
              <w:t>Reglamento (ES) Nr. 1305/2013 I priede nustatyta suma, iš kurios išskaičiuojamos pratęsiamoms regioninėms programoms iš biudžeto skiriamos lėšos, apie kurias pranešta pagal 2 dalies pirmą pastraipą.</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 straipsnio 2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w:t>
            </w:r>
            <w:r>
              <w:tab/>
            </w:r>
            <w:r>
              <w:t>Nuorodos į programų, kurių 2014–2020 m. laikotarpį valstybės narės nusprendė pratęsti pagal šio reglamento 1 straipsnio 1 dalį, laikotarpius arba terminus, nurodytus Reglamento (ES) Nr. 1303/2013 50 straipsnio 1 dalyje, 51 straipsnio 1 dalyje, 57 straipsni</w:t>
            </w:r>
            <w:r>
              <w:t xml:space="preserve">o 2 dalyje, 65 straipsnio 2 ir 4 dalyse ir 76 straipsnio pirmoje pastraipoje, pratęsiamos </w:t>
            </w:r>
            <w:r>
              <w:rPr>
                <w:b/>
                <w:i/>
              </w:rPr>
              <w:t>vienais metais</w:t>
            </w:r>
            <w:r>
              <w:t>.</w:t>
            </w:r>
          </w:p>
        </w:tc>
        <w:tc>
          <w:tcPr>
            <w:tcW w:w="4876" w:type="dxa"/>
            <w:hideMark/>
          </w:tcPr>
          <w:p w:rsidR="006D5E42" w:rsidRPr="008824D6" w:rsidRDefault="00D107CE" w:rsidP="00587FE8">
            <w:pPr>
              <w:pStyle w:val="Normal6"/>
              <w:rPr>
                <w:szCs w:val="24"/>
              </w:rPr>
            </w:pPr>
            <w:r>
              <w:rPr>
                <w:szCs w:val="24"/>
              </w:rPr>
              <w:t>2.</w:t>
            </w:r>
            <w:r>
              <w:rPr>
                <w:szCs w:val="24"/>
              </w:rPr>
              <w:tab/>
              <w:t>Nuorodos į programų, kurių 2014–2020 m. laikotarpį valstybės narės nusprendė pratęsti pagal šio reglamento 1 straipsnio 1 dalį, laikotarpius arba t</w:t>
            </w:r>
            <w:r>
              <w:rPr>
                <w:szCs w:val="24"/>
              </w:rPr>
              <w:t xml:space="preserve">erminus, nurodytus Reglamento (ES) Nr. 1303/2013 50 straipsnio 1 dalyje, 51 straipsnio 1 dalyje, 57 straipsnio 2 dalyje, 65 straipsnio 2 ir 4 dalyse ir 76 straipsnio pirmoje pastraipoje, pratęsiamos </w:t>
            </w:r>
            <w:r>
              <w:rPr>
                <w:b/>
                <w:i/>
                <w:szCs w:val="24"/>
              </w:rPr>
              <w:t>pereinamojo laikotarpio trukmei</w:t>
            </w:r>
            <w:r>
              <w:rPr>
                <w:szCs w:val="24"/>
              </w:rP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w:t>
      </w:r>
      <w:r>
        <w:t>mas</w:t>
      </w:r>
      <w:r>
        <w:tab/>
      </w:r>
      <w:r>
        <w:tab/>
      </w:r>
      <w:r>
        <w:rPr>
          <w:rStyle w:val="HideTWBExt"/>
          <w:b w:val="0"/>
        </w:rPr>
        <w:t>&lt;NumAm&gt;</w:t>
      </w:r>
      <w:r>
        <w:t>34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2 straipsnio 3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3.</w:t>
            </w:r>
            <w:r>
              <w:tab/>
            </w:r>
            <w:r>
              <w:t>Valstybės narės, kurios nusprendė pratęsti 2014–2020 m. laikotarpį pagal šio reglamento 1 straipsnio 1 dalį, partnerystės sutartį, sudarytą 2014 m. sausio 1 d.–2020 m. gruodžio 31 d. laikotarpiui pagal Reglamentą (ES) Nr. 1303/2013, toliau naudoja kaip val</w:t>
            </w:r>
            <w:r>
              <w:t xml:space="preserve">stybių narių ir Komisijos strateginį dokumentą, įgyvendindamos iš EŽŪFKP </w:t>
            </w:r>
            <w:r>
              <w:rPr>
                <w:b/>
                <w:i/>
              </w:rPr>
              <w:t>2021 m. skirtą</w:t>
            </w:r>
            <w:r>
              <w:t xml:space="preserve"> paramą.</w:t>
            </w:r>
          </w:p>
        </w:tc>
        <w:tc>
          <w:tcPr>
            <w:tcW w:w="4876" w:type="dxa"/>
            <w:hideMark/>
          </w:tcPr>
          <w:p w:rsidR="006D5E42" w:rsidRPr="008824D6" w:rsidRDefault="00D107CE" w:rsidP="00587FE8">
            <w:pPr>
              <w:pStyle w:val="Normal6"/>
              <w:rPr>
                <w:szCs w:val="24"/>
              </w:rPr>
            </w:pPr>
            <w:r>
              <w:rPr>
                <w:szCs w:val="24"/>
              </w:rPr>
              <w:t>3.</w:t>
            </w:r>
            <w:r>
              <w:rPr>
                <w:szCs w:val="24"/>
              </w:rPr>
              <w:tab/>
              <w:t>Valstybės narės, kurios nusprendė pratęsti 2014–2020 m. laikotarpį pagal šio reglamento 1 straipsnio 1 dalį, partnerystės sutartį, sudarytą 2014 m. sausio 1 </w:t>
            </w:r>
            <w:r>
              <w:rPr>
                <w:szCs w:val="24"/>
              </w:rPr>
              <w:t xml:space="preserve">d.–2020 m. gruodžio 31 d. laikotarpiui pagal Reglamentą (ES) Nr. 1303/2013, toliau naudoja kaip valstybių narių ir Komisijos strateginį dokumentą, įgyvendindamos iš EŽŪFKP </w:t>
            </w:r>
            <w:r>
              <w:rPr>
                <w:b/>
                <w:i/>
                <w:szCs w:val="24"/>
              </w:rPr>
              <w:t xml:space="preserve"> pereinamajam laikotarpiui skirtą</w:t>
            </w:r>
            <w:r>
              <w:rPr>
                <w:szCs w:val="24"/>
              </w:rPr>
              <w:t xml:space="preserve"> paramą.</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35</w:t>
      </w:r>
      <w:r>
        <w:rPr>
          <w:rStyle w:val="HideTWBExt"/>
          <w:b w:val="0"/>
        </w:rPr>
        <w:t>&lt;/Nu</w:t>
      </w:r>
      <w:r>
        <w:rPr>
          <w:rStyle w:val="HideTWBExt"/>
          <w:b w:val="0"/>
        </w:rPr>
        <w:t>mAm&gt;</w:t>
      </w:r>
    </w:p>
    <w:p w:rsidR="006D5E42" w:rsidRPr="008824D6" w:rsidRDefault="00D107CE" w:rsidP="006D5E42">
      <w:pPr>
        <w:pStyle w:val="NormalBold12b"/>
      </w:pPr>
      <w:r>
        <w:rPr>
          <w:rStyle w:val="HideTWBExt"/>
          <w:b w:val="0"/>
        </w:rPr>
        <w:lastRenderedPageBreak/>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3 straipsnio antraštinė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Tam tikrų išlaidų rūšių atitiktis finansavimo reikalavimams </w:t>
            </w:r>
            <w:r>
              <w:rPr>
                <w:b/>
                <w:i/>
              </w:rPr>
              <w:t>2021 m.</w:t>
            </w:r>
          </w:p>
        </w:tc>
        <w:tc>
          <w:tcPr>
            <w:tcW w:w="4876" w:type="dxa"/>
            <w:hideMark/>
          </w:tcPr>
          <w:p w:rsidR="006D5E42" w:rsidRPr="008824D6" w:rsidRDefault="00D107CE" w:rsidP="00587FE8">
            <w:pPr>
              <w:pStyle w:val="Normal6"/>
              <w:rPr>
                <w:szCs w:val="24"/>
              </w:rPr>
            </w:pPr>
            <w:r>
              <w:t xml:space="preserve">Tam tikrų išlaidų rūšių atitiktis finansavimo reikalavimams </w:t>
            </w:r>
            <w:r>
              <w:rPr>
                <w:b/>
                <w:i/>
              </w:rPr>
              <w:t>pereinamuoju laikotarpiu</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3 straipsnio 1 pastraipos įžanginė dalis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 xml:space="preserve">Komisijos </w:t>
            </w:r>
            <w:r>
              <w:t>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Nedarant poveikio Reglamento (ES) Nr. 1303/2013 65 straipsnio 2 daliai, šio reglamento 2 straipsnio 2 daliai ir Reglamento (ES) Nr. 1306/2013 38 straipsniui, Reglamento (ES) Nr. 1310/2013 3 straipsnio 1 dalyje ir Deleguotojo re</w:t>
            </w:r>
            <w:r>
              <w:t xml:space="preserve">glamento (ES) Nr. 807/2014 16 straipsnyje nurodytos išlaidos yra tinkamos finansuoti skiriant EŽŪFKP įnašą iš lėšų, skirtų </w:t>
            </w:r>
            <w:r>
              <w:rPr>
                <w:b/>
                <w:i/>
              </w:rPr>
              <w:t>2021 m.</w:t>
            </w:r>
            <w:r>
              <w:t xml:space="preserve"> finansuoti EŽŪFKP lėšomis remiamoms programoms, kurių 2014–2020 m. laikotarpį valstybės narės nusprendė pratęsti pagal šio re</w:t>
            </w:r>
            <w:r>
              <w:t>glamento 1 straipsnio 1 dalį, jeigu laikomasi toliau išvardytų sąlygų:</w:t>
            </w:r>
          </w:p>
        </w:tc>
        <w:tc>
          <w:tcPr>
            <w:tcW w:w="4876" w:type="dxa"/>
            <w:hideMark/>
          </w:tcPr>
          <w:p w:rsidR="006D5E42" w:rsidRPr="008824D6" w:rsidRDefault="00D107CE" w:rsidP="00587FE8">
            <w:pPr>
              <w:pStyle w:val="Normal6"/>
            </w:pPr>
            <w:r>
              <w:t>Nedarant poveikio Reglamento (ES) Nr. 1303/2013 65 straipsnio 2 daliai, šio reglamento 2 straipsnio 2 daliai ir Reglamento (ES) Nr. 1306/2013 38 straipsniui, Reglamento (ES) Nr. 1310/20</w:t>
            </w:r>
            <w:r>
              <w:t xml:space="preserve">13 3 straipsnio 1 dalyje ir Deleguotojo reglamento (ES) Nr. 807/2014 16 straipsnyje nurodytos išlaidos yra tinkamos finansuoti skiriant EŽŪFKP įnašą iš lėšų, skirtų </w:t>
            </w:r>
            <w:r>
              <w:rPr>
                <w:b/>
                <w:i/>
              </w:rPr>
              <w:t xml:space="preserve"> pereinamuoju laikotarpiu</w:t>
            </w:r>
            <w:r>
              <w:t xml:space="preserve"> finansuoti EŽŪFKP lėšomis remiamoms programoms, kurių 2014–2020 m</w:t>
            </w:r>
            <w:r>
              <w:t>. laikotarpį valstybės narės nusprendė pratęsti pagal šio reglamento 1 straipsnio 1 dalį, jeigu laikomasi toliau išvardytų sąlygų:</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3 straipsnio 1 pastrai</w:t>
      </w:r>
      <w:r>
        <w:t>pos a punktas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w:t>
            </w:r>
            <w:r>
              <w:tab/>
              <w:t xml:space="preserve">tokios išlaidos numatytos atitinkamoje </w:t>
            </w:r>
            <w:r>
              <w:rPr>
                <w:b/>
                <w:i/>
              </w:rPr>
              <w:t>2021 m.</w:t>
            </w:r>
            <w:r>
              <w:t xml:space="preserve"> kaimo plėtros programoje;</w:t>
            </w:r>
          </w:p>
        </w:tc>
        <w:tc>
          <w:tcPr>
            <w:tcW w:w="4876" w:type="dxa"/>
            <w:hideMark/>
          </w:tcPr>
          <w:p w:rsidR="006D5E42" w:rsidRPr="008824D6" w:rsidRDefault="00D107CE" w:rsidP="00587FE8">
            <w:pPr>
              <w:pStyle w:val="Normal6"/>
              <w:rPr>
                <w:szCs w:val="24"/>
              </w:rPr>
            </w:pPr>
            <w:r>
              <w:t>a)</w:t>
            </w:r>
            <w:r>
              <w:tab/>
              <w:t xml:space="preserve">tokios išlaidos numatytos atitinkamoje </w:t>
            </w:r>
            <w:r>
              <w:rPr>
                <w:b/>
                <w:i/>
              </w:rPr>
              <w:t>pereinamojo laikotarpio</w:t>
            </w:r>
            <w:r>
              <w:t xml:space="preserve"> kaimo plėtros programoje;</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38</w:t>
      </w:r>
      <w:r>
        <w:rPr>
          <w:rStyle w:val="HideTWBExt"/>
          <w:b w:val="0"/>
        </w:rPr>
        <w:t>&lt;/NumAm&gt;</w:t>
      </w:r>
    </w:p>
    <w:p w:rsidR="006D5E42" w:rsidRPr="008824D6" w:rsidRDefault="00D107CE" w:rsidP="006D5E42">
      <w:pPr>
        <w:pStyle w:val="NormalBold12b"/>
      </w:pPr>
      <w:r>
        <w:rPr>
          <w:rStyle w:val="HideTWBExt"/>
          <w:b w:val="0"/>
        </w:rPr>
        <w:lastRenderedPageBreak/>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6 straipsnio 1 dalies įžanginė dalis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w:t>
            </w:r>
            <w:r>
              <w:tab/>
              <w:t xml:space="preserve">Su teisiniais įsipareigojimais paramos gavėjams susijusios išlaidos, patirtos </w:t>
            </w:r>
            <w:r>
              <w:t>įgyvendinant Tarybos reglamento (EB) Nr. 1698/2005</w:t>
            </w:r>
            <w:r>
              <w:rPr>
                <w:vertAlign w:val="superscript"/>
              </w:rPr>
              <w:t>19</w:t>
            </w:r>
            <w:r>
              <w:t xml:space="preserve"> 23, 39 ir 43 straipsniuose nurodytas priemones, kurioms skiriama parama pagal Reglamentą (ES) Nr. 1305/2013, yra toliau tinkamos finansuoti skiriant EŽŪFKP įnašą 2022–2027 m. laikotarpiu, kurį apima BŽŪP</w:t>
            </w:r>
            <w:r>
              <w:t xml:space="preserve"> strateginis planas, jeigu laikomasi toliau išvardytų sąlygų:</w:t>
            </w:r>
          </w:p>
        </w:tc>
        <w:tc>
          <w:tcPr>
            <w:tcW w:w="4876" w:type="dxa"/>
            <w:hideMark/>
          </w:tcPr>
          <w:p w:rsidR="006D5E42" w:rsidRPr="008824D6" w:rsidRDefault="00D107CE" w:rsidP="00587FE8">
            <w:pPr>
              <w:pStyle w:val="Normal6"/>
              <w:rPr>
                <w:szCs w:val="24"/>
              </w:rPr>
            </w:pPr>
            <w:r>
              <w:rPr>
                <w:szCs w:val="24"/>
              </w:rPr>
              <w:t>1.</w:t>
            </w:r>
            <w:r>
              <w:rPr>
                <w:szCs w:val="24"/>
              </w:rPr>
              <w:tab/>
              <w:t>Su teisiniais įsipareigojimais paramos gavėjams susijusios išlaidos, patirtos įgyvendinant Tarybos reglamento (EB) Nr. 1698/2005</w:t>
            </w:r>
            <w:r>
              <w:rPr>
                <w:szCs w:val="24"/>
                <w:vertAlign w:val="superscript"/>
              </w:rPr>
              <w:t>19</w:t>
            </w:r>
            <w:r>
              <w:rPr>
                <w:szCs w:val="24"/>
              </w:rPr>
              <w:t xml:space="preserve"> 23, 39 ir 43 straipsniuose nurodytas priemones, kurioms skir</w:t>
            </w:r>
            <w:r>
              <w:rPr>
                <w:szCs w:val="24"/>
              </w:rPr>
              <w:t xml:space="preserve">iama parama pagal Reglamentą (ES) Nr. 1305/2013, yra toliau tinkamos finansuoti skiriant EŽŪFKP įnašą 2022–2027 m. </w:t>
            </w:r>
            <w:r>
              <w:rPr>
                <w:b/>
                <w:i/>
                <w:szCs w:val="24"/>
              </w:rPr>
              <w:t xml:space="preserve">arba, kai taikomas šio reglamento -1 straipsnis, 2023–2027 m. </w:t>
            </w:r>
            <w:r>
              <w:rPr>
                <w:szCs w:val="24"/>
              </w:rPr>
              <w:t>laikotarpiu, kurį apima BŽŪP strateginis planas, jeigu laikomasi toliau išvardy</w:t>
            </w:r>
            <w:r>
              <w:rPr>
                <w:szCs w:val="24"/>
              </w:rPr>
              <w:t>tų sąlygų:</w:t>
            </w:r>
          </w:p>
        </w:tc>
      </w:tr>
      <w:tr w:rsidR="00BE5522" w:rsidTr="00587FE8">
        <w:trPr>
          <w:jc w:val="center"/>
        </w:trPr>
        <w:tc>
          <w:tcPr>
            <w:tcW w:w="4876" w:type="dxa"/>
            <w:hideMark/>
          </w:tcPr>
          <w:p w:rsidR="006D5E42" w:rsidRPr="008824D6" w:rsidRDefault="00D107CE" w:rsidP="00587FE8">
            <w:pPr>
              <w:pStyle w:val="Normal6"/>
            </w:pPr>
            <w:r>
              <w:t>__________________</w:t>
            </w:r>
          </w:p>
        </w:tc>
        <w:tc>
          <w:tcPr>
            <w:tcW w:w="4876" w:type="dxa"/>
            <w:hideMark/>
          </w:tcPr>
          <w:p w:rsidR="006D5E42" w:rsidRPr="008824D6" w:rsidRDefault="00D107CE" w:rsidP="00587FE8">
            <w:pPr>
              <w:pStyle w:val="Normal6"/>
              <w:rPr>
                <w:szCs w:val="24"/>
              </w:rPr>
            </w:pPr>
            <w:r>
              <w:t>__________________</w:t>
            </w:r>
          </w:p>
        </w:tc>
      </w:tr>
      <w:tr w:rsidR="00BE5522" w:rsidTr="00587FE8">
        <w:trPr>
          <w:jc w:val="center"/>
        </w:trPr>
        <w:tc>
          <w:tcPr>
            <w:tcW w:w="4876" w:type="dxa"/>
            <w:hideMark/>
          </w:tcPr>
          <w:p w:rsidR="006D5E42" w:rsidRPr="008824D6" w:rsidRDefault="00D107CE" w:rsidP="00587FE8">
            <w:pPr>
              <w:pStyle w:val="Normal6"/>
            </w:pPr>
            <w:r>
              <w:rPr>
                <w:vertAlign w:val="superscript"/>
              </w:rPr>
              <w:t>19</w:t>
            </w:r>
            <w:r>
              <w:t xml:space="preserve"> 2005 m. rugsėjo 20 d. Tarybos reglamentas (EB) Nr. 1698/2005 dėl Europos žemės ūkio fondo kaimo plėtrai (EŽŪFKP) paramos kaimo plėtrai (OL L 277, 2005 10 21, p. 1).</w:t>
            </w:r>
          </w:p>
        </w:tc>
        <w:tc>
          <w:tcPr>
            <w:tcW w:w="4876" w:type="dxa"/>
            <w:hideMark/>
          </w:tcPr>
          <w:p w:rsidR="006D5E42" w:rsidRPr="008824D6" w:rsidRDefault="00D107CE" w:rsidP="00587FE8">
            <w:pPr>
              <w:pStyle w:val="Normal6"/>
              <w:rPr>
                <w:szCs w:val="24"/>
              </w:rPr>
            </w:pPr>
            <w:r>
              <w:rPr>
                <w:vertAlign w:val="superscript"/>
              </w:rPr>
              <w:t>19</w:t>
            </w:r>
            <w:r>
              <w:t xml:space="preserve"> 2005 m. rugsėjo 20 d. Tarybos regl</w:t>
            </w:r>
            <w:r>
              <w:t>amentas (EB) Nr. 1698/2005 dėl Europos žemės ūkio fondo kaimo plėtrai (EŽŪFKP) paramos kaimo plėtrai (OL L 277, 2005 10 21, p. 1).</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39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 xml:space="preserve">6 straipsnio 1 dalies </w:t>
      </w:r>
      <w:r>
        <w:t>a punktas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w:t>
            </w:r>
            <w:r>
              <w:tab/>
              <w:t>tokios išlaidos numatytos atitinkamame 2022–2027 m. BŽŪP strateginiame plane pagal Reglamentą (ES) [Reglamentas dėl BŽŪP plano] ir atitinka Reglamentą (ES) [Horizontalusis reglamentas];</w:t>
            </w:r>
          </w:p>
        </w:tc>
        <w:tc>
          <w:tcPr>
            <w:tcW w:w="4876" w:type="dxa"/>
            <w:hideMark/>
          </w:tcPr>
          <w:p w:rsidR="006D5E42" w:rsidRPr="008824D6" w:rsidRDefault="00D107CE" w:rsidP="00587FE8">
            <w:pPr>
              <w:pStyle w:val="Normal6"/>
              <w:rPr>
                <w:szCs w:val="24"/>
              </w:rPr>
            </w:pPr>
            <w:r>
              <w:rPr>
                <w:szCs w:val="24"/>
              </w:rPr>
              <w:t>a)</w:t>
            </w:r>
            <w:r>
              <w:rPr>
                <w:szCs w:val="24"/>
              </w:rPr>
              <w:tab/>
            </w:r>
            <w:r>
              <w:rPr>
                <w:szCs w:val="24"/>
              </w:rPr>
              <w:t xml:space="preserve">tokios išlaidos numatytos atitinkamame 2022–2027 m. </w:t>
            </w:r>
            <w:r>
              <w:rPr>
                <w:b/>
                <w:i/>
                <w:szCs w:val="24"/>
              </w:rPr>
              <w:t xml:space="preserve">arba, kai taikomas šio reglamento -1 straipsnis, 2023–2027 m. </w:t>
            </w:r>
            <w:r>
              <w:rPr>
                <w:szCs w:val="24"/>
              </w:rPr>
              <w:t>BŽŪP strateginiame plane pagal Reglamentą (ES) [Reglamentas dėl BŽŪP plano] ir atitinka Reglamentą (ES) [Horizontalusis reglamentas];</w:t>
            </w:r>
          </w:p>
        </w:tc>
      </w:tr>
    </w:tbl>
    <w:p w:rsidR="006D5E42" w:rsidRPr="008824D6" w:rsidRDefault="00D107CE" w:rsidP="006D5E42">
      <w:r>
        <w:rPr>
          <w:rStyle w:val="HideTWBExt"/>
        </w:rPr>
        <w:t>&lt;/Amend</w:t>
      </w:r>
      <w:r>
        <w:rPr>
          <w:rStyle w:val="HideTWBExt"/>
        </w:rPr>
        <w:t>&gt;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6 straipsnio 2 dalies įžanginė dalis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rPr>
                <w:szCs w:val="24"/>
              </w:rPr>
            </w:pPr>
            <w:r>
              <w:rPr>
                <w:szCs w:val="24"/>
              </w:rPr>
              <w:t>2.</w:t>
            </w:r>
            <w:r>
              <w:rPr>
                <w:szCs w:val="24"/>
              </w:rPr>
              <w:tab/>
              <w:t xml:space="preserve">Su teisiniais įsipareigojimais paramos gavėjams susijusios išlaidos, </w:t>
            </w:r>
            <w:r>
              <w:rPr>
                <w:szCs w:val="24"/>
              </w:rPr>
              <w:t>patirtos įgyvendinant Reglamento (ES) Nr. 1305/2013 28, 29, 33 ir 34 straipsniuose nurodytas daugiametes priemones, ir išlaidos, susijusios su valstybių narių, nusprendusių pratęsti 2014–2020 m. laikotarpį pagal šio reglamento 1 straipsnio 1 dalį, teisinia</w:t>
            </w:r>
            <w:r>
              <w:rPr>
                <w:szCs w:val="24"/>
              </w:rPr>
              <w:t xml:space="preserve">is įsipareigojimais, susijusiais su laikotarpiais po 2024 m. sausio 1 d. arba po 2025 m. sausio 1 d., patirtos pagal Reglamento (ES) Nr. 1305/2013 14–18 straipsnius, 19 straipsnio 1 dalies a ir b punktus, 20 straipsnį, 22–27 straipsnius, 35, 38, 39 ir 39a </w:t>
            </w:r>
            <w:r>
              <w:rPr>
                <w:szCs w:val="24"/>
              </w:rPr>
              <w:t>straipsnius ir Reglamento (ES) Nr. 1303/2013 35 straipsnį, yra tinkamos finansuoti skiriant EŽŪFKP įnašą 2022–2027 m. laikotarpiu, kurį apima BŽŪP strateginis planas, jeigu laikomasi toliau išvardytų sąlygų:</w:t>
            </w:r>
          </w:p>
        </w:tc>
        <w:tc>
          <w:tcPr>
            <w:tcW w:w="4876" w:type="dxa"/>
            <w:hideMark/>
          </w:tcPr>
          <w:p w:rsidR="006D5E42" w:rsidRPr="008824D6" w:rsidRDefault="00D107CE" w:rsidP="00587FE8">
            <w:pPr>
              <w:pStyle w:val="Normal6"/>
              <w:rPr>
                <w:szCs w:val="24"/>
              </w:rPr>
            </w:pPr>
            <w:r>
              <w:rPr>
                <w:szCs w:val="24"/>
              </w:rPr>
              <w:t>2.</w:t>
            </w:r>
            <w:r>
              <w:rPr>
                <w:szCs w:val="24"/>
              </w:rPr>
              <w:tab/>
              <w:t>Su teisiniais įsipareigojimais paramos gavėja</w:t>
            </w:r>
            <w:r>
              <w:rPr>
                <w:szCs w:val="24"/>
              </w:rPr>
              <w:t>ms susijusios išlaidos, patirtos įgyvendinant Reglamento (ES) Nr. 1305/2013 28, 29, 33 ir 34 straipsniuose nurodytas daugiametes priemones, ir išlaidos, susijusios su valstybių narių, nusprendusių pratęsti 2014–2020 m. laikotarpį pagal šio reglamento 1 str</w:t>
            </w:r>
            <w:r>
              <w:rPr>
                <w:szCs w:val="24"/>
              </w:rPr>
              <w:t>aipsnio 1 dalį, teisiniais įsipareigojimais, susijusiais su laikotarpiais po 2024 m. sausio 1 d. arba po 2025 m. sausio 1 d., patirtos pagal Reglamento (ES) Nr. 1305/2013 14–18 straipsnius, 19 straipsnio 1 dalies a ir b punktus, 20 straipsnį, 22–27 straips</w:t>
            </w:r>
            <w:r>
              <w:rPr>
                <w:szCs w:val="24"/>
              </w:rPr>
              <w:t xml:space="preserve">nius, 35, 38, 39 ir 39a straipsnius ir Reglamento (ES) Nr. 1303/2013 35 straipsnį, yra tinkamos finansuoti skiriant EŽŪFKP įnašą 2022–2027 m. </w:t>
            </w:r>
            <w:r>
              <w:rPr>
                <w:b/>
                <w:i/>
                <w:szCs w:val="24"/>
              </w:rPr>
              <w:t xml:space="preserve"> arba, kai taikomas šio reglamento -1 straipsnis, 2023–2027 m. </w:t>
            </w:r>
            <w:r>
              <w:rPr>
                <w:szCs w:val="24"/>
              </w:rPr>
              <w:t>laikotarpiu, kurį apima BŽŪP strateginis planas, je</w:t>
            </w:r>
            <w:r>
              <w:rPr>
                <w:szCs w:val="24"/>
              </w:rPr>
              <w:t>igu laikomasi toliau išvardytų sąlygų:</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6 straipsnio 2 dalies a punktas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w:t>
            </w:r>
            <w:r>
              <w:tab/>
              <w:t xml:space="preserve">tokios išlaidos numatytos </w:t>
            </w:r>
            <w:r>
              <w:t>atitinkamame 2022–2027 m. BŽŪP strateginiame plane pagal Reglamentą (ES) [Reglamentas dėl BŽŪP</w:t>
            </w:r>
            <w:r>
              <w:rPr>
                <w:b/>
                <w:i/>
              </w:rPr>
              <w:t xml:space="preserve"> strateginio</w:t>
            </w:r>
            <w:r>
              <w:t xml:space="preserve"> plano] ir atitinka Reglamentą (ES) [Horizontalusis reglamentas];</w:t>
            </w:r>
          </w:p>
        </w:tc>
        <w:tc>
          <w:tcPr>
            <w:tcW w:w="4876" w:type="dxa"/>
            <w:hideMark/>
          </w:tcPr>
          <w:p w:rsidR="006D5E42" w:rsidRPr="008824D6" w:rsidRDefault="00D107CE" w:rsidP="00587FE8">
            <w:pPr>
              <w:pStyle w:val="Normal6"/>
              <w:rPr>
                <w:szCs w:val="24"/>
              </w:rPr>
            </w:pPr>
            <w:r>
              <w:rPr>
                <w:szCs w:val="24"/>
              </w:rPr>
              <w:t>a)</w:t>
            </w:r>
            <w:r>
              <w:rPr>
                <w:szCs w:val="24"/>
              </w:rPr>
              <w:tab/>
              <w:t xml:space="preserve">tokios išlaidos numatytos atitinkamame 2022–2027 m. </w:t>
            </w:r>
            <w:r>
              <w:rPr>
                <w:b/>
                <w:i/>
                <w:szCs w:val="24"/>
              </w:rPr>
              <w:t>arba, kai taikomas šio reglam</w:t>
            </w:r>
            <w:r>
              <w:rPr>
                <w:b/>
                <w:i/>
                <w:szCs w:val="24"/>
              </w:rPr>
              <w:t xml:space="preserve">ento -1 straipsnis, 2023–2027 m. </w:t>
            </w:r>
            <w:r>
              <w:rPr>
                <w:szCs w:val="24"/>
              </w:rPr>
              <w:t>BŽŪP strateginiame plane pagal Reglamentą (ES) [Reglamentas dėl BŽŪP plano] ir atitinka Reglamentą (ES) [Horizontalusis reglamentas];</w:t>
            </w:r>
          </w:p>
        </w:tc>
      </w:tr>
    </w:tbl>
    <w:p w:rsidR="006D5E42" w:rsidRPr="008824D6" w:rsidRDefault="00D107CE" w:rsidP="006D5E42">
      <w:r>
        <w:rPr>
          <w:rStyle w:val="HideTWBExt"/>
        </w:rPr>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42</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w:t>
      </w:r>
      <w:r>
        <w:rPr>
          <w:rStyle w:val="HideTWBExt"/>
          <w:b w:val="0"/>
        </w:rPr>
        <w:t>/DocAmend&gt;</w:t>
      </w:r>
    </w:p>
    <w:p w:rsidR="006D5E42" w:rsidRPr="008824D6" w:rsidRDefault="00D107CE" w:rsidP="006D5E42">
      <w:pPr>
        <w:pStyle w:val="NormalBold"/>
      </w:pPr>
      <w:r>
        <w:rPr>
          <w:rStyle w:val="HideTWBExt"/>
          <w:b w:val="0"/>
          <w:lang w:val="fr-FR"/>
        </w:rPr>
        <w:t>&lt;Article&gt;</w:t>
      </w:r>
      <w:r>
        <w:t>6 straipsnio 2 a dalis (nauja)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2a.</w:t>
            </w:r>
            <w:r>
              <w:rPr>
                <w:b/>
                <w:i/>
              </w:rPr>
              <w:tab/>
              <w:t xml:space="preserve">Su teisiniais įsipareigojimais paramos gavėjams susijusios išlaidos, patirtos įgyvendinant Reglamente (ES) Nr. 1305/2013 nurodytas priemones, gali </w:t>
            </w:r>
            <w:r>
              <w:rPr>
                <w:b/>
                <w:i/>
              </w:rPr>
              <w:t>būti tinkamos finansuoti EŽŪFKP lėšomis 2022–2027 m. arba, jei taikoma, 2023–2027 m. laikotarpiu šiais atvejais: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a) mokėjimų, atliekamų nuo 2022 m. sausio 1 d. iki 2023 m. gruodžio 31 d. arba 2024 m. gruodžio 31 d. valstybėse narėse, kurios nusprendė pra</w:t>
            </w:r>
            <w:r>
              <w:rPr>
                <w:b/>
                <w:i/>
              </w:rPr>
              <w:t>tęsti 2014–2020 m. laikotarpį pagal šio reglamento 1 straipsnio 1 dalį, jei pagal Reglamentą (ES) Nr. 1305/2013 patvirtintos atitinkamos programos atitinkamai priemonei ir, jei taikoma, šio reglamento 1 straipsnio 1 dalį, skirtas finansinis asignavimas jau</w:t>
            </w:r>
            <w:r>
              <w:rPr>
                <w:b/>
                <w:i/>
              </w:rPr>
              <w:t xml:space="preserve"> išnaudotas;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b) mokėjimų, atliekamų po 2023 m. gruodžio 31 d. arba 2024 m. gruodžio 31 d. valstybėse narėse, kurios nusprendė pratęsti 2014–2020 m. laikotarpį pagal šio reglamento 1 straipsnio 1 dalį.</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43</w:t>
      </w:r>
      <w:r>
        <w:rPr>
          <w:rStyle w:val="HideTWBExt"/>
          <w:b w:val="0"/>
        </w:rPr>
        <w:t>&lt;/NumAm&gt;</w:t>
      </w:r>
    </w:p>
    <w:p w:rsidR="006D5E42" w:rsidRPr="008824D6" w:rsidRDefault="00D107CE" w:rsidP="006D5E42">
      <w:pPr>
        <w:pStyle w:val="NormalBold12b"/>
      </w:pPr>
      <w:r>
        <w:rPr>
          <w:rStyle w:val="HideTWBExt"/>
          <w:b w:val="0"/>
        </w:rPr>
        <w:t>&lt;</w:t>
      </w:r>
      <w:r>
        <w:rPr>
          <w:rStyle w:val="HideTWBExt"/>
          <w:b w:val="0"/>
        </w:rPr>
        <w: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7 straipsnio 1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w:t>
            </w:r>
            <w:r>
              <w:tab/>
            </w:r>
            <w:r>
              <w:t xml:space="preserve">Reglamento (ES) Nr. 1308/2013 29 straipsnyje nurodytos alyvuogių aliejaus ir valgomųjų alyvuogių sektoriaus paramos darbo programos, parengtos 2018 m. balandžio 1 d.–2021 m. kovo 31 d. laikotarpiui, pratęsiamos ir baigiasi </w:t>
            </w:r>
            <w:r>
              <w:rPr>
                <w:b/>
                <w:i/>
              </w:rPr>
              <w:t>2021 m. gruodžio 31 d</w:t>
            </w:r>
            <w:r>
              <w:t>. Pagal Regl</w:t>
            </w:r>
            <w:r>
              <w:t xml:space="preserve">amento (ES) Nr. 1308/2013 152 straipsnį pripažintos atitinkamos gamintojų organizacijos, pagal to reglamento 156 straipsnį pripažintos atitinkamos gamintojų organizacijų asociacijos ar pagal to </w:t>
            </w:r>
            <w:r>
              <w:lastRenderedPageBreak/>
              <w:t>reglamento 157 straipsnį pripažintos atitinkamos tarpšakinės o</w:t>
            </w:r>
            <w:r>
              <w:t xml:space="preserve">rganizacijos </w:t>
            </w:r>
            <w:bookmarkStart w:id="1" w:name="_GoBack"/>
            <w:bookmarkEnd w:id="1"/>
            <w:r>
              <w:t>atsižvelgdamos į šį pratęsimą pakeičia savo darbo programas. Pakeistos darbo programos pateikiamos Komisijai iki 2020 m. gruodžio 31 d.</w:t>
            </w:r>
          </w:p>
        </w:tc>
        <w:tc>
          <w:tcPr>
            <w:tcW w:w="4876" w:type="dxa"/>
            <w:hideMark/>
          </w:tcPr>
          <w:p w:rsidR="006D5E42" w:rsidRPr="008824D6" w:rsidRDefault="00D107CE" w:rsidP="00587FE8">
            <w:pPr>
              <w:pStyle w:val="Normal6"/>
              <w:rPr>
                <w:szCs w:val="24"/>
              </w:rPr>
            </w:pPr>
            <w:r>
              <w:lastRenderedPageBreak/>
              <w:t>1.</w:t>
            </w:r>
            <w:r>
              <w:tab/>
              <w:t>Reglamento (ES) Nr. 1308/2013 29 straipsnyje nurodytos alyvuogių aliejaus ir valgomųjų alyvuogių sektori</w:t>
            </w:r>
            <w:r>
              <w:t xml:space="preserve">aus paramos darbo programos, parengtos 2018 m. balandžio 1 d.–2021 m. kovo 31 d. laikotarpiui, pratęsiamos ir baigiasi </w:t>
            </w:r>
            <w:r>
              <w:rPr>
                <w:b/>
                <w:i/>
              </w:rPr>
              <w:t>pereinamojo laikotarpio pabaigoje</w:t>
            </w:r>
            <w:r>
              <w:t>.</w:t>
            </w:r>
            <w:r>
              <w:rPr>
                <w:b/>
                <w:i/>
              </w:rPr>
              <w:t xml:space="preserve"> </w:t>
            </w:r>
            <w:r>
              <w:t>Pagal Reglamento (ES) Nr. 1308/2013 152 straipsnį pripažintos atitinkamos gamintojų organizacijos, pag</w:t>
            </w:r>
            <w:r>
              <w:t xml:space="preserve">al to reglamento 156 straipsnį pripažintos atitinkamos gamintojų organizacijų asociacijos ar pagal to </w:t>
            </w:r>
            <w:r>
              <w:lastRenderedPageBreak/>
              <w:t>reglamento 157 straipsnį pripažintos atitinkamos tarpšakinės organizacijos atsižvelgdamos į šį pratęsimą pakeičia savo darbo programas. Pakeistos darbo pr</w:t>
            </w:r>
            <w:r>
              <w:t>ogramos pateikiamos Komisijai iki 2020 m. gruodžio 31 d.</w:t>
            </w:r>
            <w:r>
              <w:rPr>
                <w:b/>
                <w:i/>
              </w:rPr>
              <w:t xml:space="preserve"> arba, kai taikomas šio reglamento -1 straipsnis, iki 2021 m. gruodžio 31 d.</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 xml:space="preserve">7 straipsnio 2 </w:t>
      </w:r>
      <w:r>
        <w:t>dalies 1 pastraipos įžanginė dalis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Pripažintos vaisių ir daržovių sektoriaus gamintojų organizacijos, kurių Reglamento (ES) 1308/2013 33 straipsnyje nurodytas veiklos programas valstybė narė patvirtino laikotarpiui </w:t>
            </w:r>
            <w:r>
              <w:rPr>
                <w:b/>
                <w:i/>
              </w:rPr>
              <w:t>po 2021 m. gruodžio 31 d.</w:t>
            </w:r>
            <w:r>
              <w:t xml:space="preserve">, </w:t>
            </w:r>
            <w:r>
              <w:rPr>
                <w:b/>
                <w:i/>
              </w:rPr>
              <w:t>iki 2021 m. rugsėjo 15 d. pateikia</w:t>
            </w:r>
            <w:r>
              <w:t xml:space="preserve"> prašymą tai va</w:t>
            </w:r>
            <w:r>
              <w:t>lstybei narei, kad ši veiklos programa:</w:t>
            </w:r>
          </w:p>
        </w:tc>
        <w:tc>
          <w:tcPr>
            <w:tcW w:w="4876" w:type="dxa"/>
            <w:hideMark/>
          </w:tcPr>
          <w:p w:rsidR="006D5E42" w:rsidRPr="008824D6" w:rsidRDefault="00D107CE" w:rsidP="00587FE8">
            <w:pPr>
              <w:pStyle w:val="Normal6"/>
              <w:rPr>
                <w:szCs w:val="24"/>
              </w:rPr>
            </w:pPr>
            <w:r>
              <w:t xml:space="preserve">Pripažintos vaisių ir daržovių sektoriaus gamintojų organizacijos, kurių Reglamento (ES) 1308/2013 33 straipsnyje nurodytas veiklos programas valstybė narė patvirtino laikotarpiui </w:t>
            </w:r>
            <w:r>
              <w:rPr>
                <w:b/>
                <w:i/>
              </w:rPr>
              <w:t>po pereinamajam laikotarpio</w:t>
            </w:r>
            <w:r>
              <w:t xml:space="preserve">, </w:t>
            </w:r>
            <w:r>
              <w:rPr>
                <w:b/>
                <w:i/>
              </w:rPr>
              <w:t>gali pa</w:t>
            </w:r>
            <w:r>
              <w:rPr>
                <w:b/>
                <w:i/>
              </w:rPr>
              <w:t>teikti</w:t>
            </w:r>
            <w:r>
              <w:t xml:space="preserve"> prašymą tai valstybei narei, kad ši veiklos programa:</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7 straipsnio 2 dalies 2 pastraipa</w:t>
      </w:r>
      <w:r>
        <w:rPr>
          <w:rStyle w:val="HideTWBExt"/>
          <w:b w:val="0"/>
          <w:lang w:val="fr-FR"/>
        </w:rPr>
        <w:t>&lt;/Article&gt;</w:t>
      </w:r>
    </w:p>
    <w:p w:rsidR="006D5E42" w:rsidRPr="008824D6" w:rsidRDefault="006D5E42" w:rsidP="006D5E42">
      <w:pPr>
        <w:rPr>
          <w:lang w:val="fr-FR"/>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rPr>
                <w:b/>
                <w:i/>
                <w:szCs w:val="24"/>
              </w:rPr>
            </w:pPr>
            <w:r>
              <w:rPr>
                <w:szCs w:val="24"/>
              </w:rPr>
              <w:t xml:space="preserve">Jeigu pripažinta gamintojų organizacija tokio prašymo </w:t>
            </w:r>
            <w:r>
              <w:rPr>
                <w:b/>
                <w:i/>
                <w:szCs w:val="24"/>
              </w:rPr>
              <w:t xml:space="preserve">iki 2021 m. rugsėjo 15 d. </w:t>
            </w:r>
            <w:r>
              <w:rPr>
                <w:szCs w:val="24"/>
              </w:rPr>
              <w:t xml:space="preserve">nepateikia, jos veiklos programa, patvirtinta pagal Reglamentą (ES) Nr. 1308/2013, </w:t>
            </w:r>
            <w:r>
              <w:rPr>
                <w:b/>
                <w:i/>
                <w:szCs w:val="24"/>
              </w:rPr>
              <w:t>baigiasi 2021 m. gruodžio 31 d</w:t>
            </w:r>
            <w:r>
              <w:rPr>
                <w:szCs w:val="24"/>
              </w:rPr>
              <w:t>.</w:t>
            </w:r>
          </w:p>
        </w:tc>
        <w:tc>
          <w:tcPr>
            <w:tcW w:w="4876" w:type="dxa"/>
            <w:hideMark/>
          </w:tcPr>
          <w:p w:rsidR="006D5E42" w:rsidRPr="008824D6" w:rsidRDefault="00D107CE" w:rsidP="00587FE8">
            <w:pPr>
              <w:pStyle w:val="Normal6"/>
              <w:rPr>
                <w:szCs w:val="24"/>
              </w:rPr>
            </w:pPr>
            <w:r>
              <w:rPr>
                <w:szCs w:val="24"/>
              </w:rPr>
              <w:t>Jeigu pripažinta gamintojų organizacija tokio prašymo nepatei</w:t>
            </w:r>
            <w:r>
              <w:rPr>
                <w:szCs w:val="24"/>
              </w:rPr>
              <w:t>kia, jos veiklos programa, patvirtinta pagal Reglamentą (ES) Nr. 1308/2013,</w:t>
            </w:r>
            <w:r>
              <w:rPr>
                <w:b/>
                <w:i/>
                <w:szCs w:val="24"/>
              </w:rPr>
              <w:t xml:space="preserve"> toliau vykdoma laikantis atitinkamų reglamento nuostatų</w:t>
            </w:r>
            <w:r>
              <w:rPr>
                <w:szCs w:val="24"/>
              </w:rPr>
              <w:t xml:space="preserve">, </w:t>
            </w:r>
            <w:r>
              <w:rPr>
                <w:b/>
                <w:i/>
                <w:szCs w:val="24"/>
              </w:rPr>
              <w:t>kol bus baigta įgyvendinti</w:t>
            </w:r>
            <w:r>
              <w:rPr>
                <w:szCs w:val="24"/>
              </w:rP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w:t>
      </w:r>
      <w:r>
        <w:rPr>
          <w:rStyle w:val="HideTWBExt"/>
          <w:b w:val="0"/>
        </w:rPr>
        <w:t>Article&gt;</w:t>
      </w:r>
      <w:r>
        <w:t>7 straipsnio 3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3.</w:t>
            </w:r>
            <w:r>
              <w:tab/>
            </w:r>
            <w:r>
              <w:t xml:space="preserve">Reglamento (ES) Nr. 1308/2013 40 straipsnyje nurodytos paramos programos vyno sektoriuje baigiasi 2023 m. spalio 15 d. Reglamento (ES) Nr. 1308/2013 39–54 straipsniai toliau taikomi </w:t>
            </w:r>
            <w:r>
              <w:rPr>
                <w:b/>
                <w:i/>
              </w:rPr>
              <w:t>po 2021 m. gruodžio 31 d.</w:t>
            </w:r>
            <w:r>
              <w:t xml:space="preserve"> tiek, kiek tai susiję su patirtomis išlaidomis i</w:t>
            </w:r>
            <w:r>
              <w:t>r išmokėtomis išmokomis už remiantis tuo reglamentu iki 2023 m. spalio 16 d. įgyvendintą veiklą pagal pagalbos sistemą, nustatytą to reglamento 39–52 straipsniuose.</w:t>
            </w:r>
          </w:p>
        </w:tc>
        <w:tc>
          <w:tcPr>
            <w:tcW w:w="4876" w:type="dxa"/>
            <w:hideMark/>
          </w:tcPr>
          <w:p w:rsidR="006D5E42" w:rsidRPr="008824D6" w:rsidRDefault="00D107CE" w:rsidP="00587FE8">
            <w:pPr>
              <w:pStyle w:val="Normal6"/>
              <w:rPr>
                <w:szCs w:val="24"/>
              </w:rPr>
            </w:pPr>
            <w:r>
              <w:t>3.</w:t>
            </w:r>
            <w:r>
              <w:tab/>
              <w:t>Reglamento (ES) Nr. 1308/2013 40 straipsnyje nurodytos paramos programos vyno sektoriuje</w:t>
            </w:r>
            <w:r>
              <w:t xml:space="preserve"> baigiasi 2023 m. spalio 15 d. Reglamento (ES) Nr. 1308/2013 39–54 straipsniai toliau taikomi </w:t>
            </w:r>
            <w:r>
              <w:rPr>
                <w:b/>
                <w:i/>
              </w:rPr>
              <w:t>pasibaigus pereinamajam laikotarpiui</w:t>
            </w:r>
            <w:r>
              <w:t xml:space="preserve"> tiek, kiek tai susiję su patirtomis išlaidomis ir išmokėtomis išmokomis už remiantis tuo reglamentu iki 2023 m. spalio 16 d. </w:t>
            </w:r>
            <w:r>
              <w:t>įgyvendintą veiklą pagal pagalbos sistemą, nustatytą to reglamento 39–52 straipsniuose.</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7 straipsnio 4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4.</w:t>
            </w:r>
            <w:r>
              <w:tab/>
              <w:t xml:space="preserve">Reglamento (ES) Nr. 1308/2013 55 straipsnyje nurodytos bitininkystės sektoriui skirtos nacionalinės programos baigiasi 2022 m. liepos 31 d. Reglamento (ES) Nr. 1308/2013 55, 56 ir 57 straipsniai toliau taikomi </w:t>
            </w:r>
            <w:r>
              <w:rPr>
                <w:b/>
                <w:i/>
              </w:rPr>
              <w:t>po 2021 m. gruodžio 31 d.</w:t>
            </w:r>
            <w:r>
              <w:t xml:space="preserve"> tiek,</w:t>
            </w:r>
            <w:r>
              <w:t xml:space="preserve"> kiek tai susiję su patirtomis išlaidomis ir išmokėtomis išmokomis už remiantis tuo reglamentu iki 2022 m. rugpjūčio 1 d. įgyvendintą veiklą pagal pagalbos sistemą, nustatytą to reglamento 55 straipsnyje.</w:t>
            </w:r>
          </w:p>
        </w:tc>
        <w:tc>
          <w:tcPr>
            <w:tcW w:w="4876" w:type="dxa"/>
            <w:hideMark/>
          </w:tcPr>
          <w:p w:rsidR="006D5E42" w:rsidRPr="008824D6" w:rsidRDefault="00D107CE" w:rsidP="00587FE8">
            <w:pPr>
              <w:pStyle w:val="Normal6"/>
              <w:rPr>
                <w:szCs w:val="24"/>
              </w:rPr>
            </w:pPr>
            <w:r>
              <w:rPr>
                <w:szCs w:val="24"/>
              </w:rPr>
              <w:t>4.</w:t>
            </w:r>
            <w:r>
              <w:rPr>
                <w:szCs w:val="24"/>
              </w:rPr>
              <w:tab/>
              <w:t>Reglamento (ES) Nr. 1308/2013 55 straipsnyje nur</w:t>
            </w:r>
            <w:r>
              <w:rPr>
                <w:szCs w:val="24"/>
              </w:rPr>
              <w:t xml:space="preserve">odytos bitininkystės sektoriui skirtos nacionalinės programos baigiasi 2022 m. liepos 31 d. Reglamento (ES) Nr. 1308/2013 55, 56 ir 57 straipsniai toliau taikomi </w:t>
            </w:r>
            <w:r>
              <w:rPr>
                <w:b/>
                <w:i/>
                <w:szCs w:val="24"/>
              </w:rPr>
              <w:t>pasibaigus pereinamajam laikotarpiui</w:t>
            </w:r>
            <w:r>
              <w:rPr>
                <w:szCs w:val="24"/>
              </w:rPr>
              <w:t xml:space="preserve"> tiek, kiek tai susiję su patirtomis išlaidomis ir išmokėt</w:t>
            </w:r>
            <w:r>
              <w:rPr>
                <w:szCs w:val="24"/>
              </w:rPr>
              <w:t xml:space="preserve">omis išmokomis už remiantis tuo reglamentu iki 2022 m. rugpjūčio 1 d. </w:t>
            </w:r>
            <w:r>
              <w:rPr>
                <w:b/>
                <w:i/>
                <w:szCs w:val="24"/>
              </w:rPr>
              <w:t xml:space="preserve">arba, kai taikomas šio reglamento 1 straipsnis, 2023 m. rugpjūčio 1 d. </w:t>
            </w:r>
            <w:r>
              <w:rPr>
                <w:szCs w:val="24"/>
              </w:rPr>
              <w:t>įgyvendintą veiklą pagal pagalbos sistemą,</w:t>
            </w:r>
            <w:r>
              <w:rPr>
                <w:b/>
                <w:i/>
                <w:szCs w:val="24"/>
              </w:rPr>
              <w:t xml:space="preserve">  </w:t>
            </w:r>
            <w:r>
              <w:rPr>
                <w:szCs w:val="24"/>
              </w:rPr>
              <w:t xml:space="preserve"> nustatytą to reglamento 55 straipsnyje.</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w:t>
      </w:r>
      <w:r>
        <w:rPr>
          <w:rStyle w:val="HideTWBExt"/>
          <w:b w:val="0"/>
        </w:rPr>
        <w:t>NumAm&gt;</w:t>
      </w:r>
      <w:r>
        <w:t>48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7 straipsnio 6 dalis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6.</w:t>
            </w:r>
            <w:r>
              <w:tab/>
            </w:r>
            <w:r>
              <w:t xml:space="preserve">Kiek tai susiję su šio straipsnio 3 ir </w:t>
            </w:r>
            <w:r>
              <w:lastRenderedPageBreak/>
              <w:t>4 dalyse nurodytomis pagalbos sistemomis, Reglamento (ES) Nr. 1306/2013 7 straipsnio 3 dalis, 9, 21, 43, 51, 52, 54, 59, 67, 68, 70–75, 77, 91–97, 99, 100 straipsniai, 102 straipsnio 2 dalis, 110 ir 111 straipsniai ir</w:t>
            </w:r>
            <w:r>
              <w:t xml:space="preserve"> su šiais straipsniais susijusios atitinkamos deleguotųjų ir įgyvendinimo aktų nuostatos toliau taikomi </w:t>
            </w:r>
            <w:r>
              <w:rPr>
                <w:b/>
                <w:i/>
              </w:rPr>
              <w:t>po 2021 m. gruodžio 31 d.</w:t>
            </w:r>
            <w:r>
              <w:t xml:space="preserve"> tiek, kiek tai susiję su patirtomis išlaidomis ir išmokėtomis išmokomis už veiklą, įgyvendintą pagal Reglamentą (ES) Nr. 1308/</w:t>
            </w:r>
            <w:r>
              <w:t>2013 po tos dienos ir iki pagalbos sistemų, nurodytų šio straipsnio 3 ir 4 dalyse, pabaigos.</w:t>
            </w:r>
          </w:p>
        </w:tc>
        <w:tc>
          <w:tcPr>
            <w:tcW w:w="4876" w:type="dxa"/>
            <w:hideMark/>
          </w:tcPr>
          <w:p w:rsidR="006D5E42" w:rsidRPr="008824D6" w:rsidRDefault="00D107CE" w:rsidP="00587FE8">
            <w:pPr>
              <w:pStyle w:val="Normal6"/>
              <w:rPr>
                <w:szCs w:val="24"/>
              </w:rPr>
            </w:pPr>
            <w:r>
              <w:lastRenderedPageBreak/>
              <w:t>6.</w:t>
            </w:r>
            <w:r>
              <w:tab/>
              <w:t xml:space="preserve">Kiek tai susiję su šio straipsnio 3 ir </w:t>
            </w:r>
            <w:r>
              <w:lastRenderedPageBreak/>
              <w:t xml:space="preserve">4 dalyse nurodytomis pagalbos sistemomis, Reglamento (ES) Nr. 1306/2013 7 straipsnio 3 dalis, 9, 21, 43, 51, 52, 54, 59, </w:t>
            </w:r>
            <w:r>
              <w:t xml:space="preserve">67, 68, 70–75, 77, 91–97, 99, 100 straipsniai, 102 straipsnio 2 dalis, 110 ir 111 straipsniai ir su šiais straipsniais susijusios atitinkamos deleguotųjų ir įgyvendinimo aktų nuostatos toliau taikomi </w:t>
            </w:r>
            <w:r>
              <w:rPr>
                <w:b/>
                <w:i/>
              </w:rPr>
              <w:t>pasibaigus pereinamajam laikotarpiui</w:t>
            </w:r>
            <w:r>
              <w:t xml:space="preserve"> tiek, kiek tai susi</w:t>
            </w:r>
            <w:r>
              <w:t>ję su patirtomis išlaidomis ir išmokėtomis išmokomis už veiklą, įgyvendintą pagal Reglamentą (ES) Nr. 1308/2013 po tos dienos ir iki pagalbos sistemų, nurodytų šio straipsnio 3 ir 4 dalyse, pabaigos.</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49</w:t>
      </w:r>
      <w:r>
        <w:rPr>
          <w:rStyle w:val="HideTWBExt"/>
          <w:b w:val="0"/>
        </w:rPr>
        <w:t>&lt;/NumAm&gt;</w:t>
      </w:r>
    </w:p>
    <w:p w:rsidR="006D5E42" w:rsidRPr="008824D6" w:rsidRDefault="00D107CE" w:rsidP="006D5E42">
      <w:pPr>
        <w:pStyle w:val="NormalBold12b"/>
      </w:pPr>
      <w:r>
        <w:rPr>
          <w:rStyle w:val="HideTWBExt"/>
          <w:b w:val="0"/>
        </w:rPr>
        <w:t>&lt;DocAmend</w:t>
      </w:r>
      <w:r>
        <w:rPr>
          <w:rStyle w:val="HideTWBExt"/>
          <w:b w:val="0"/>
        </w:rPr>
        <w:t>&gt;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8 straipsnio 1 pastraipos a punktas</w:t>
      </w:r>
      <w:r>
        <w:rPr>
          <w:rStyle w:val="HideTWBExt"/>
          <w:b w:val="0"/>
          <w:lang w:val="fr-FR"/>
        </w:rPr>
        <w:t>&lt;/Article&gt;</w:t>
      </w:r>
    </w:p>
    <w:p w:rsidR="006D5E42" w:rsidRPr="008824D6" w:rsidRDefault="00D107CE" w:rsidP="006D5E42">
      <w:pPr>
        <w:keepNext/>
      </w:pPr>
      <w:r>
        <w:rPr>
          <w:rStyle w:val="HideTWBExt"/>
          <w:lang w:val="pt-PT"/>
        </w:rPr>
        <w:t>&lt;DocAmend2&gt;</w:t>
      </w:r>
      <w:r>
        <w:t xml:space="preserve"> Reglamentas (ES) Nr. 1305/2013</w:t>
      </w:r>
      <w:r>
        <w:rPr>
          <w:rStyle w:val="HideTWBExt"/>
          <w:lang w:val="pt-PT"/>
        </w:rPr>
        <w:t>&lt;/DocAmend2&gt;</w:t>
      </w:r>
    </w:p>
    <w:p w:rsidR="006D5E42" w:rsidRPr="008824D6" w:rsidRDefault="00D107CE" w:rsidP="006D5E42">
      <w:r>
        <w:rPr>
          <w:rStyle w:val="HideTWBExt"/>
          <w:lang w:val="fr-FR"/>
        </w:rPr>
        <w:t>&lt;Article2&gt;</w:t>
      </w:r>
      <w:r>
        <w:t>28 straipsnio 5 dalies 1a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savo kaimo plėtros programose nustato </w:t>
            </w:r>
            <w:r>
              <w:rPr>
                <w:b/>
                <w:i/>
              </w:rPr>
              <w:t xml:space="preserve">trumpesnį, t. y. </w:t>
            </w:r>
            <w:r>
              <w:t>1–</w:t>
            </w:r>
            <w:r>
              <w:rPr>
                <w:b/>
                <w:i/>
              </w:rPr>
              <w:t>3</w:t>
            </w:r>
            <w:r>
              <w:t xml:space="preserve"> metų</w:t>
            </w:r>
            <w:r>
              <w:rPr>
                <w:b/>
                <w:i/>
              </w:rPr>
              <w:t>,</w:t>
            </w:r>
            <w:r>
              <w:t xml:space="preserve"> laikotarpį, taikomą naujiems įsipareigojimams, kurie bus prisiimti nuo 2021 m. Jeigu valstybės narės numato kasmet pratęsti įsipareigojimus pasibaigus pirmoje pastraipoje nust</w:t>
            </w:r>
            <w:r>
              <w:t>atytam pradiniam laikotarpiui, nuo 2021 m. pratęsimas negali būti ilgesnis nei vieni metai. Nuo 2021 m. valstybės narės savo kaimo plėtros programose nustato vienų metų laikotarpį, taikomą naujiems įsipareigojimams, prisiimtiems iš karto po pradiniu laikot</w:t>
            </w:r>
            <w:r>
              <w:t>arpiu įvykdytų įsipareigojimų.</w:t>
            </w:r>
          </w:p>
        </w:tc>
        <w:tc>
          <w:tcPr>
            <w:tcW w:w="4876" w:type="dxa"/>
            <w:hideMark/>
          </w:tcPr>
          <w:p w:rsidR="006D5E42" w:rsidRPr="008824D6" w:rsidRDefault="00D107CE" w:rsidP="00587FE8">
            <w:pPr>
              <w:pStyle w:val="Normal6"/>
              <w:rPr>
                <w:szCs w:val="24"/>
              </w:rPr>
            </w:pPr>
            <w:r>
              <w:t>Valstybės narės savo kaimo plėtros programose nustato 1–</w:t>
            </w:r>
            <w:r>
              <w:rPr>
                <w:b/>
                <w:i/>
              </w:rPr>
              <w:t>4</w:t>
            </w:r>
            <w:r>
              <w:t xml:space="preserve"> metų laikotarpį, taikomą naujiems įsipareigojimams, kurie bus prisiimti nuo 2021 m.</w:t>
            </w:r>
            <w:r>
              <w:rPr>
                <w:b/>
                <w:i/>
              </w:rPr>
              <w:t xml:space="preserve"> ir, kai taikomas Reglamento (ES) .../... [BŽŪP pereinamojo laikotarpio reglamentas]</w:t>
            </w:r>
            <w:r>
              <w:rPr>
                <w:b/>
                <w:i/>
              </w:rPr>
              <w:t xml:space="preserve"> -1 straipsnis, nuo 2022 m.</w:t>
            </w:r>
            <w:r>
              <w:rPr>
                <w:szCs w:val="24"/>
              </w:rPr>
              <w:t xml:space="preserve"> Jeigu valstybės narės numato kasmet pratęsti įsipareigojimus pasibaigus pirmoje pastraipoje nustatytam pradiniam laikotarpiui, nuo 2021 m. pratęsimas negali būti ilgesnis nei vieni metai. </w:t>
            </w:r>
            <w:r>
              <w:t>Nuo 2021 m. valstybės narės savo kaimo p</w:t>
            </w:r>
            <w:r>
              <w:t>lėtros programose nustato vienų metų laikotarpį, taikomą naujiems įsipareigojimams, prisiimtiems iš karto po pradiniu laikotarpiu įvykdytų įsipareigojimų.</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lastRenderedPageBreak/>
        <w:t>&lt;</w:t>
      </w:r>
      <w:r>
        <w:rPr>
          <w:rStyle w:val="HideTWBExt"/>
          <w:b w:val="0"/>
          <w:lang w:val="fr-FR"/>
        </w:rPr>
        <w:t>Article&gt;</w:t>
      </w:r>
      <w:r>
        <w:t>8 straipsnio 1 pastraipos 2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lang w:val="fr-FR"/>
        </w:rPr>
        <w:t>&lt;Article2&gt;</w:t>
      </w:r>
      <w:r>
        <w:t>29 straipsnio 3 dalies 1a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savo kaimo plėtros programose nustato </w:t>
            </w:r>
            <w:r>
              <w:rPr>
                <w:b/>
                <w:i/>
              </w:rPr>
              <w:t xml:space="preserve">trumpesnį, t. y. </w:t>
            </w:r>
            <w:r>
              <w:t>1–</w:t>
            </w:r>
            <w:r>
              <w:rPr>
                <w:b/>
                <w:i/>
              </w:rPr>
              <w:t>3</w:t>
            </w:r>
            <w:r>
              <w:t xml:space="preserve"> metų, laikotarpį, taikomą naujiems įsipareigojimams, kurie bus prisiimti nuo 2021 m. Jeigu valstybės narės numato kasmet pratęsti ekologinio ūkininkavimo išlaikymą pasibaigus pirmoj</w:t>
            </w:r>
            <w:r>
              <w:t>e pastraipoje nustatytam pradiniam laikotarpiui, nuo 2021 m. pratęsimas negali būti ilgesnis nei vieni metai.</w:t>
            </w:r>
            <w:r>
              <w:rPr>
                <w:b/>
                <w:i/>
              </w:rPr>
              <w:t xml:space="preserve"> </w:t>
            </w:r>
            <w:r>
              <w:t xml:space="preserve"> Nuo 2021 m. valstybės narės savo kaimo plėtros programose nustato vienų metų laikotarpį, taikomą naujiems įsipareigojimams, susijusiems su ekolog</w:t>
            </w:r>
            <w:r>
              <w:t>inio ūkininkavimo išlaikymu, prisiimtiems iš karto po pradiniu laikotarpiu įvykdytų įsipareigojimų.</w:t>
            </w:r>
          </w:p>
        </w:tc>
        <w:tc>
          <w:tcPr>
            <w:tcW w:w="4876" w:type="dxa"/>
            <w:hideMark/>
          </w:tcPr>
          <w:p w:rsidR="006D5E42" w:rsidRPr="008824D6" w:rsidRDefault="00D107CE" w:rsidP="00587FE8">
            <w:pPr>
              <w:pStyle w:val="Normal6"/>
              <w:rPr>
                <w:szCs w:val="24"/>
              </w:rPr>
            </w:pPr>
            <w:r>
              <w:rPr>
                <w:szCs w:val="24"/>
              </w:rPr>
              <w:t>Valstybės narės savo kaimo plėtros programose nustato 1–</w:t>
            </w:r>
            <w:r>
              <w:rPr>
                <w:b/>
                <w:i/>
                <w:szCs w:val="24"/>
              </w:rPr>
              <w:t>4</w:t>
            </w:r>
            <w:r>
              <w:rPr>
                <w:szCs w:val="24"/>
              </w:rPr>
              <w:t xml:space="preserve"> metų, laikotarpį, taikomą naujiems įsipareigojimams, kurie bus prisiimti nuo 2021 m. Jeigu valstyb</w:t>
            </w:r>
            <w:r>
              <w:rPr>
                <w:szCs w:val="24"/>
              </w:rPr>
              <w:t xml:space="preserve">ės narės numato kasmet pratęsti ekologinio ūkininkavimo išlaikymą pasibaigus pirmoje pastraipoje nustatytam pradiniam laikotarpiui, nuo 2021 m. pratęsimas negali būti ilgesnis nei vieni metai. </w:t>
            </w:r>
            <w:r>
              <w:t>Nuo 2021 m. valstybės narės savo kaimo plėtros programose nusta</w:t>
            </w:r>
            <w:r>
              <w:t>to vienų metų laikotarpį, taikomą naujiems įsipareigojimams, susijusiems su ekologinio ūkininkavimo išlaikymu, prisiimtiems iš karto po pradiniu laikotarpiu įvykdytų įsipareigojimų.</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51</w:t>
      </w:r>
      <w:r>
        <w:rPr>
          <w:rStyle w:val="HideTWBExt"/>
          <w:b w:val="0"/>
        </w:rPr>
        <w:t>&lt;/NumAm&gt;</w:t>
      </w:r>
    </w:p>
    <w:p w:rsidR="006D5E42" w:rsidRPr="008824D6" w:rsidRDefault="00D107CE" w:rsidP="006D5E42">
      <w:pPr>
        <w:pStyle w:val="NormalBold12b"/>
      </w:pPr>
      <w:r>
        <w:rPr>
          <w:rStyle w:val="HideTWBExt"/>
          <w:b w:val="0"/>
        </w:rPr>
        <w:t>&lt;DocAmend&gt;</w:t>
      </w:r>
      <w:r>
        <w:t>Pasiūlymas dėl re</w:t>
      </w:r>
      <w:r>
        <w:t>glamento</w:t>
      </w:r>
      <w:r>
        <w:rPr>
          <w:rStyle w:val="HideTWBExt"/>
          <w:b w:val="0"/>
        </w:rPr>
        <w:t>&lt;/DocAmend&gt;</w:t>
      </w:r>
    </w:p>
    <w:p w:rsidR="006D5E42" w:rsidRPr="008824D6" w:rsidRDefault="00D107CE" w:rsidP="006D5E42">
      <w:pPr>
        <w:pStyle w:val="NormalBold"/>
      </w:pPr>
      <w:r>
        <w:rPr>
          <w:rStyle w:val="HideTWBExt"/>
          <w:b w:val="0"/>
          <w:lang w:val="fr-FR"/>
        </w:rPr>
        <w:t>&lt;Article&gt;</w:t>
      </w:r>
      <w:r>
        <w:t>8 straipsnio 1 pastraipos 3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lang w:val="fr-FR"/>
        </w:rPr>
        <w:t>&lt;Article2&gt;</w:t>
      </w:r>
      <w:r>
        <w:t>33 straipsnio 2 dalies 2a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savo kaimo </w:t>
            </w:r>
            <w:r>
              <w:t>plėtros programose nustato trumpesnį, t. y. 1–</w:t>
            </w:r>
            <w:r>
              <w:rPr>
                <w:b/>
                <w:i/>
              </w:rPr>
              <w:t>3</w:t>
            </w:r>
            <w:r>
              <w:t xml:space="preserve"> metų, laikotarpį, taikomą naujiems įsipareigojimams, kurie bus prisiimti nuo 2021 m.</w:t>
            </w:r>
            <w:r>
              <w:rPr>
                <w:b/>
                <w:i/>
              </w:rPr>
              <w:t xml:space="preserve"> </w:t>
            </w:r>
            <w:r>
              <w:t xml:space="preserve"> Jeigu valstybės narės numato kasmet atnaujinti įsipareigojimus pasibaigus pirmoje pastraipoje nustatytam pradiniam laikota</w:t>
            </w:r>
            <w:r>
              <w:t xml:space="preserve">rpiui, nuo 2021 m. atnaujinimas negali būti ilgesnis nei </w:t>
            </w:r>
            <w:r>
              <w:rPr>
                <w:b/>
                <w:i/>
              </w:rPr>
              <w:t>vieni metai.</w:t>
            </w:r>
            <w:r>
              <w:t>“;</w:t>
            </w:r>
          </w:p>
        </w:tc>
        <w:tc>
          <w:tcPr>
            <w:tcW w:w="4876" w:type="dxa"/>
            <w:hideMark/>
          </w:tcPr>
          <w:p w:rsidR="006D5E42" w:rsidRPr="008824D6" w:rsidRDefault="00D107CE" w:rsidP="00587FE8">
            <w:pPr>
              <w:pStyle w:val="Normal6"/>
              <w:rPr>
                <w:szCs w:val="24"/>
              </w:rPr>
            </w:pPr>
            <w:r>
              <w:t>Valstybės narės savo kaimo plėtros programose nustato trumpesnį, t. y. 1–</w:t>
            </w:r>
            <w:r>
              <w:rPr>
                <w:b/>
                <w:i/>
              </w:rPr>
              <w:t>4</w:t>
            </w:r>
            <w:r>
              <w:t xml:space="preserve"> metų, laikotarpį, taikomą naujiems įsipareigojimams, kurie bus prisiimti nuo 2021 m.</w:t>
            </w:r>
            <w:r>
              <w:rPr>
                <w:szCs w:val="24"/>
              </w:rPr>
              <w:t xml:space="preserve"> </w:t>
            </w:r>
            <w:r>
              <w:t>Jeigu valstybės narės nu</w:t>
            </w:r>
            <w:r>
              <w:t xml:space="preserve">mato kasmet atnaujinti įsipareigojimus pasibaigus pirmoje pastraipoje nustatytam pradiniam laikotarpiui, nuo 2021 m. atnaujinimas negali būti ilgesnis nei </w:t>
            </w:r>
            <w:r>
              <w:rPr>
                <w:b/>
                <w:i/>
              </w:rPr>
              <w:t>pereinamasis laikotarpis,</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52</w:t>
      </w:r>
      <w:r>
        <w:rPr>
          <w:rStyle w:val="HideTWBExt"/>
          <w:b w:val="0"/>
        </w:rPr>
        <w:t>&lt;/NumAm&gt;</w:t>
      </w:r>
    </w:p>
    <w:p w:rsidR="006D5E42" w:rsidRPr="008824D6" w:rsidRDefault="00D107CE" w:rsidP="006D5E42">
      <w:pPr>
        <w:pStyle w:val="NormalBold12b"/>
      </w:pPr>
      <w:r>
        <w:rPr>
          <w:rStyle w:val="HideTWBExt"/>
          <w:b w:val="0"/>
        </w:rPr>
        <w:t>&lt;DocAmend&gt;</w:t>
      </w:r>
      <w:r>
        <w:t xml:space="preserve">Pasiūlymas dėl </w:t>
      </w:r>
      <w:r>
        <w:t>reglamento</w:t>
      </w:r>
      <w:r>
        <w:rPr>
          <w:rStyle w:val="HideTWBExt"/>
          <w:b w:val="0"/>
        </w:rPr>
        <w:t>&lt;/DocAmend&gt;</w:t>
      </w:r>
    </w:p>
    <w:p w:rsidR="006D5E42" w:rsidRPr="008824D6" w:rsidRDefault="00D107CE" w:rsidP="006D5E42">
      <w:pPr>
        <w:pStyle w:val="NormalBold"/>
      </w:pPr>
      <w:r>
        <w:rPr>
          <w:rStyle w:val="HideTWBExt"/>
          <w:b w:val="0"/>
          <w:lang w:val="fr-FR"/>
        </w:rPr>
        <w:lastRenderedPageBreak/>
        <w:t>&lt;Article&gt;</w:t>
      </w:r>
      <w:r>
        <w:t>8 straipsnio 1 pastraipos 6 punkto a papunktis</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lang w:val="fr-FR"/>
        </w:rPr>
        <w:t>&lt;Article2&gt;</w:t>
      </w:r>
      <w:r>
        <w:t>58 straipsnio 1 dalies 1a pastraipa</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Nedarant poveiki</w:t>
            </w:r>
            <w:r>
              <w:t xml:space="preserve">o 5, 6 ir 7 dalims bendra Sąjungos paramos kaimo plėtrai pagal šį reglamentą skiriama suma laikotarpiui nuo 2021 m. sausio 1 d. iki 2021 m. gruodžio 31 d. yra ne didesnė kaip </w:t>
            </w:r>
            <w:r>
              <w:rPr>
                <w:b/>
                <w:i/>
              </w:rPr>
              <w:t>11 258 707 816 </w:t>
            </w:r>
            <w:r>
              <w:t xml:space="preserve">EUR dabartinėmis kainomis pagal 2021–2027 m. daugiametę finansinę </w:t>
            </w:r>
            <w:r>
              <w:t>programą.</w:t>
            </w:r>
          </w:p>
        </w:tc>
        <w:tc>
          <w:tcPr>
            <w:tcW w:w="4876" w:type="dxa"/>
            <w:hideMark/>
          </w:tcPr>
          <w:p w:rsidR="006D5E42" w:rsidRPr="008824D6" w:rsidRDefault="00D107CE" w:rsidP="00587FE8">
            <w:pPr>
              <w:pStyle w:val="Normal6"/>
              <w:rPr>
                <w:szCs w:val="24"/>
              </w:rPr>
            </w:pPr>
            <w:r>
              <w:t xml:space="preserve">Nedarant poveikio 5, 6 ir 7 dalims bendra Sąjungos paramos kaimo plėtrai pagal šį reglamentą skiriama suma laikotarpiui nuo 2021 m. sausio 1 d. iki 2021 m. gruodžio 31 d. </w:t>
            </w:r>
            <w:r>
              <w:rPr>
                <w:b/>
                <w:i/>
              </w:rPr>
              <w:t>ir, kai taikomas Reglamento (ES) .../... [BŽŪP pereinamojo laikotarpio regl</w:t>
            </w:r>
            <w:r>
              <w:rPr>
                <w:b/>
                <w:i/>
              </w:rPr>
              <w:t xml:space="preserve">amentas] -1 straipsnis, nuo 2022 m. sausio 1 d. iki 2022 m. gruodžio 31 d. </w:t>
            </w:r>
            <w:r>
              <w:t xml:space="preserve">yra ne didesnė kaip </w:t>
            </w:r>
            <w:r>
              <w:rPr>
                <w:b/>
                <w:i/>
                <w:szCs w:val="24"/>
              </w:rPr>
              <w:t>XXX</w:t>
            </w:r>
            <w:r>
              <w:rPr>
                <w:b/>
                <w:i/>
              </w:rPr>
              <w:t xml:space="preserve">* </w:t>
            </w:r>
            <w:r>
              <w:t>EUR dabartinėmis kainomis pagal 2021–2027 m. daugiametę finansinę programą.</w:t>
            </w:r>
            <w:r>
              <w:rPr>
                <w:b/>
                <w:i/>
              </w:rPr>
              <w:t>;</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pPr>
            <w:r>
              <w:t>__________________</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pPr>
            <w:r>
              <w:rPr>
                <w:b/>
                <w:bCs/>
                <w:i/>
                <w:iCs/>
              </w:rPr>
              <w:t>2018 m. lapkričio 14 d. Europos Parlamento rezoliucijoje</w:t>
            </w:r>
            <w:r>
              <w:rPr>
                <w:b/>
                <w:bCs/>
                <w:i/>
                <w:iCs/>
              </w:rPr>
              <w:t xml:space="preserve"> „2021–2027 m. daugiametė finansinė programa. Parlamento pozicija siekiant susitarimo“ (P8_TA(2018)0449) Europos Parlamentas pristato savo poziciją – 27 ES valstybių narių bendros žemės ūkio politikos finansavimą realiąja verte išlaikyti tokio lygio, koks </w:t>
            </w:r>
            <w:r>
              <w:rPr>
                <w:b/>
                <w:bCs/>
                <w:i/>
                <w:iCs/>
              </w:rPr>
              <w:t>buvo 2014–2020 m. biudžete (kartu į biudžetą įtraukiant pradinę žemės ūkio rezervo sumą), t. y. 383 255 mln. EUR 2018 m. kainomis (431 946 mln. EUR dabartinėmis kainomis). Todėl sumos, dėl kurių reikia susitarti šiame reglamente, turėtų būti apskaičiuojamo</w:t>
            </w:r>
            <w:r>
              <w:rPr>
                <w:b/>
                <w:bCs/>
                <w:i/>
                <w:iCs/>
              </w:rPr>
              <w:t>s remiantis sumomis, dėl kurių susitarta 2021–2027 m. DFP, arba, jei dokumentas nebus priimtas laiku, remiantis 2020 m. pratęstomis viršutinėmis ribomis ir nuostatomis pagal SESV 312 straipsnio 4 dalį.</w:t>
            </w:r>
          </w:p>
        </w:tc>
      </w:tr>
    </w:tbl>
    <w:p w:rsidR="006D5E42" w:rsidRPr="008824D6" w:rsidRDefault="00D107CE" w:rsidP="006D5E42">
      <w:pPr>
        <w:rPr>
          <w:rStyle w:val="HideTWBExt"/>
          <w:noProof w:val="0"/>
        </w:rPr>
      </w:pPr>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53</w:t>
      </w:r>
      <w:r>
        <w:rPr>
          <w:rStyle w:val="HideTWBExt"/>
          <w:b w:val="0"/>
        </w:rPr>
        <w:t>&lt;/NumAm&gt;</w:t>
      </w:r>
    </w:p>
    <w:p w:rsidR="006D5E42" w:rsidRPr="008824D6" w:rsidRDefault="00D107CE" w:rsidP="006D5E42">
      <w:pPr>
        <w:pStyle w:val="NormalBold12b"/>
      </w:pPr>
      <w:r>
        <w:rPr>
          <w:rStyle w:val="HideTWBExt"/>
          <w:b w:val="0"/>
        </w:rPr>
        <w:t>&lt;DocAme</w:t>
      </w:r>
      <w:r>
        <w:rPr>
          <w:rStyle w:val="HideTWBExt"/>
          <w:b w:val="0"/>
        </w:rPr>
        <w:t>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9 straipsnio 1 pastraipos 1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1306/2013</w:t>
      </w:r>
      <w:r>
        <w:rPr>
          <w:rStyle w:val="HideTWBExt"/>
          <w:lang w:val="pt-PT"/>
        </w:rPr>
        <w:t>&lt;/DocAmend2&gt;</w:t>
      </w:r>
    </w:p>
    <w:p w:rsidR="006D5E42" w:rsidRPr="008824D6" w:rsidRDefault="00D107CE" w:rsidP="006D5E42">
      <w:r>
        <w:rPr>
          <w:rStyle w:val="HideTWBExt"/>
          <w:lang w:val="fr-FR"/>
        </w:rPr>
        <w:t>&lt;Article2&gt;</w:t>
      </w:r>
      <w:r>
        <w:t>25 straipsnio 2a dalis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b/>
                <w:i/>
              </w:rPr>
              <w:t>2021 m</w:t>
            </w:r>
            <w:r>
              <w:t xml:space="preserve">. rezervo suma </w:t>
            </w:r>
            <w:r>
              <w:t>yra 400 mln. EUR (2011 m. kainomis), ji įtraukiama į daugiametės finansinės programos 3 išlaidų kategoriją, kaip nustatyta Tarybos reglamento (ES) [xxxx/xxxx]* [DFP] priede.</w:t>
            </w:r>
          </w:p>
        </w:tc>
        <w:tc>
          <w:tcPr>
            <w:tcW w:w="4876" w:type="dxa"/>
            <w:hideMark/>
          </w:tcPr>
          <w:p w:rsidR="006D5E42" w:rsidRPr="008824D6" w:rsidRDefault="00D107CE" w:rsidP="00587FE8">
            <w:pPr>
              <w:pStyle w:val="Normal6"/>
              <w:rPr>
                <w:szCs w:val="24"/>
              </w:rPr>
            </w:pPr>
            <w:r>
              <w:rPr>
                <w:b/>
                <w:i/>
              </w:rPr>
              <w:t>Kiekvienų pereinamojo laikotarpio, nurodyto Europos Parlamento ir Tarybos reglamen</w:t>
            </w:r>
            <w:r>
              <w:rPr>
                <w:b/>
                <w:i/>
              </w:rPr>
              <w:t xml:space="preserve">to (ES) </w:t>
            </w:r>
            <w:r>
              <w:t>.</w:t>
            </w:r>
            <w:r>
              <w:rPr>
                <w:b/>
                <w:i/>
              </w:rPr>
              <w:t>../... [BŽŪP pereinamojo laikotarpio reglamentas] -1 straipsnyje, metų</w:t>
            </w:r>
            <w:r>
              <w:t xml:space="preserve"> rezervo suma yra 400 mln. EUR (2011 m. kainomis), ji įtraukiama į daugiametės finansinės programos 3 išlaidų kategoriją, kaip nustatyta Tarybos reglamento (ES) [xxxx/xxxx]* [DF</w:t>
            </w:r>
            <w:r>
              <w:t>P] priede.</w:t>
            </w:r>
          </w:p>
        </w:tc>
      </w:tr>
    </w:tbl>
    <w:p w:rsidR="006D5E42" w:rsidRPr="008824D6" w:rsidRDefault="00D107CE" w:rsidP="006D5E42">
      <w:r>
        <w:rPr>
          <w:rStyle w:val="HideTWBExt"/>
        </w:rPr>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54</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9 straipsnio 1 pastraipos 1 a punktas (naujas)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1306/2013</w:t>
      </w:r>
      <w:r>
        <w:rPr>
          <w:rStyle w:val="HideTWBExt"/>
          <w:lang w:val="pt-PT"/>
        </w:rPr>
        <w:t>&lt;/DocAmend2&gt;</w:t>
      </w:r>
    </w:p>
    <w:p w:rsidR="006D5E42" w:rsidRPr="008824D6" w:rsidRDefault="00D107CE" w:rsidP="006D5E42">
      <w:r>
        <w:rPr>
          <w:rStyle w:val="HideTWBExt"/>
          <w:lang w:val="fr-FR"/>
        </w:rPr>
        <w:t>&lt;Article2&gt;</w:t>
      </w:r>
      <w:r>
        <w:t xml:space="preserve">25 straipsnio 3 a </w:t>
      </w:r>
      <w:r>
        <w:t>dalis (nauja)</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szCs w:val="24"/>
              </w:rPr>
              <w:t>1a)</w:t>
            </w:r>
            <w:r>
              <w:rPr>
                <w:b/>
                <w:i/>
                <w:szCs w:val="24"/>
              </w:rPr>
              <w:tab/>
              <w:t>25 straipsnis papildomas šia dalimi:</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t xml:space="preserve"> </w:t>
            </w:r>
            <w:r>
              <w:rPr>
                <w:b/>
                <w:i/>
              </w:rPr>
              <w:t xml:space="preserve">„Nukrypstant nuo Europos Parlamento ir Tarybos reglamento (ES, Euratomas) 2018/1046* 12 straipsnio 2 dalies d punkto, įsipareigojimams </w:t>
            </w:r>
            <w:r>
              <w:rPr>
                <w:b/>
                <w:i/>
              </w:rPr>
              <w:t>nepriskirti rezervo asignavimai perkeliami neribotam laikui siekiant kitais finansiniais metais finansuoti rezervą.</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b/>
                <w:i/>
              </w:rPr>
            </w:pPr>
            <w:r>
              <w:rPr>
                <w:b/>
                <w:i/>
              </w:rPr>
              <w:t>___________________</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b/>
                <w:i/>
              </w:rPr>
            </w:pPr>
            <w:r>
              <w:rPr>
                <w:b/>
                <w:i/>
              </w:rPr>
              <w:t xml:space="preserve">* 2018 m. liepos 18 d. Europos Parlamento ir Tarybos reglamentas (ES, Euratomas) 2018/1046 dėl Sąjungos bendrajam </w:t>
            </w:r>
            <w:r>
              <w:rPr>
                <w:b/>
                <w:i/>
              </w:rPr>
              <w:t>biudžetui taikomų finansinių taisyklių, kuriuo iš dalies keičiami reglamentai (ES) Nr. 1296/2013, (ES) Nr. 1301/2013, (ES) Nr. 1303/2013, (ES) Nr. 1304/2013, (ES) Nr. 1309/2013, (ES) Nr. 1316/2013, (ES) Nr. 223/2014, (ES) Nr. 283/2014 ir Sprendimas Nr. 541</w:t>
            </w:r>
            <w:r>
              <w:rPr>
                <w:b/>
                <w:i/>
              </w:rPr>
              <w:t xml:space="preserve">/2014/ES, bei panaikinamas Reglamentas (ES, Euratomas) Nr. 966/2012 (OL L 193, 2018 7 30, p. </w:t>
            </w:r>
            <w:r>
              <w:rPr>
                <w:b/>
                <w:i/>
              </w:rPr>
              <w:lastRenderedPageBreak/>
              <w:t>1).“;</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9 straipsnio 1 pastraipos 3 punktas</w:t>
      </w:r>
      <w:r>
        <w:rPr>
          <w:rStyle w:val="HideTWBExt"/>
          <w:b w:val="0"/>
          <w:lang w:val="fr-FR"/>
        </w:rPr>
        <w:t>&lt;/Article&gt;</w:t>
      </w:r>
    </w:p>
    <w:p w:rsidR="006D5E42" w:rsidRPr="008824D6" w:rsidRDefault="00D107CE" w:rsidP="006D5E42">
      <w:pPr>
        <w:keepNext/>
      </w:pPr>
      <w:r>
        <w:rPr>
          <w:rStyle w:val="HideTWBExt"/>
          <w:lang w:val="pt-PT"/>
        </w:rPr>
        <w:t>&lt;DocAmen</w:t>
      </w:r>
      <w:r>
        <w:rPr>
          <w:rStyle w:val="HideTWBExt"/>
          <w:lang w:val="pt-PT"/>
        </w:rPr>
        <w:t>d2&gt;</w:t>
      </w:r>
      <w:r>
        <w:t>Reglamentas (ES) Nr. 1306/2013</w:t>
      </w:r>
      <w:r>
        <w:rPr>
          <w:rStyle w:val="HideTWBExt"/>
          <w:lang w:val="pt-PT"/>
        </w:rPr>
        <w:t>&lt;/DocAmend2&gt;</w:t>
      </w:r>
    </w:p>
    <w:p w:rsidR="006D5E42" w:rsidRPr="008824D6" w:rsidRDefault="00D107CE" w:rsidP="006D5E42">
      <w:r>
        <w:rPr>
          <w:rStyle w:val="HideTWBExt"/>
        </w:rPr>
        <w:t>&lt;Article2&gt;</w:t>
      </w:r>
      <w:r>
        <w:t>35 straipsnio 5 dalis</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5.</w:t>
            </w:r>
            <w:r>
              <w:tab/>
            </w:r>
            <w:r>
              <w:t xml:space="preserve">Programoms, kurių 2014–2020 m. laikotarpį valstybė narė nusprendė pratęsti pagal Reglamento (ES) [XXXX/XXXX] [Šis reglamentas] 1 straipsnio 1 dalį, nebus skiriamas išankstinis finansavimas, susijęs su </w:t>
            </w:r>
            <w:r>
              <w:rPr>
                <w:b/>
                <w:i/>
              </w:rPr>
              <w:t>2021 m. asignavimu</w:t>
            </w:r>
            <w:r>
              <w:t>.</w:t>
            </w:r>
          </w:p>
        </w:tc>
        <w:tc>
          <w:tcPr>
            <w:tcW w:w="4876" w:type="dxa"/>
            <w:hideMark/>
          </w:tcPr>
          <w:p w:rsidR="006D5E42" w:rsidRPr="008824D6" w:rsidRDefault="00D107CE" w:rsidP="00587FE8">
            <w:pPr>
              <w:pStyle w:val="Normal6"/>
              <w:rPr>
                <w:szCs w:val="24"/>
              </w:rPr>
            </w:pPr>
            <w:r>
              <w:t>5.</w:t>
            </w:r>
            <w:r>
              <w:tab/>
              <w:t>Programoms, kurių 2014–2020 m. l</w:t>
            </w:r>
            <w:r>
              <w:t xml:space="preserve">aikotarpį valstybė narė nusprendė pratęsti pagal Reglamento (ES) [XXXX/XXXX] [Šis reglamentas] 1 straipsnio 1 dalį, nebus skiriamas išankstinis finansavimas, susijęs su </w:t>
            </w:r>
            <w:r>
              <w:rPr>
                <w:b/>
                <w:i/>
              </w:rPr>
              <w:t>pereinamojo laikotarpio asignavimais</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56</w:t>
      </w:r>
      <w:r>
        <w:rPr>
          <w:rStyle w:val="HideTWBExt"/>
          <w:b w:val="0"/>
        </w:rPr>
        <w:t>&lt;/NumAm&gt;</w:t>
      </w:r>
    </w:p>
    <w:p w:rsidR="006D5E42" w:rsidRPr="008824D6" w:rsidRDefault="00D107CE" w:rsidP="006D5E42">
      <w:pPr>
        <w:pStyle w:val="NormalBold12b"/>
      </w:pPr>
      <w:r>
        <w:rPr>
          <w:rStyle w:val="HideTWBExt"/>
          <w:b w:val="0"/>
        </w:rPr>
        <w:t>&lt;D</w:t>
      </w:r>
      <w:r>
        <w:rPr>
          <w:rStyle w:val="HideTWBExt"/>
          <w:b w:val="0"/>
        </w:rPr>
        <w:t>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antraštinė dalis</w:t>
      </w:r>
      <w:r>
        <w:rPr>
          <w:rStyle w:val="HideTWBExt"/>
          <w:b w:val="0"/>
          <w:lang w:val="fr-FR"/>
        </w:rPr>
        <w:t>&lt;/Article&gt;</w:t>
      </w:r>
    </w:p>
    <w:p w:rsidR="006D5E42" w:rsidRPr="008824D6" w:rsidRDefault="00D107CE" w:rsidP="006D5E42">
      <w:pPr>
        <w:keepNext/>
      </w:pPr>
      <w:r>
        <w:rPr>
          <w:rStyle w:val="HideTWBExt"/>
          <w:lang w:val="fr-FR"/>
        </w:rPr>
        <w:t>&lt;DocAmend2&gt;</w:t>
      </w:r>
      <w:r>
        <w:t>Reglamentas (ES) Nr. 1307/2013</w:t>
      </w:r>
      <w:r>
        <w:rPr>
          <w:rStyle w:val="HideTWBExt"/>
          <w:lang w:val="fr-FR"/>
        </w:rPr>
        <w:t>&lt;/DocAmend2&gt;</w:t>
      </w:r>
    </w:p>
    <w:p w:rsidR="006D5E42" w:rsidRPr="008824D6" w:rsidRDefault="00D107CE" w:rsidP="006D5E42">
      <w:r>
        <w:rPr>
          <w:rStyle w:val="HideTWBExt"/>
          <w:lang w:val="fr-FR"/>
        </w:rPr>
        <w:t>&lt;Article2&gt;</w:t>
      </w:r>
      <w:r>
        <w:t>10 straipsnis</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iCs/>
                <w:szCs w:val="24"/>
              </w:rPr>
              <w:t xml:space="preserve">Reglamento (ES) Nr. 1307/2013 </w:t>
            </w:r>
            <w:r>
              <w:rPr>
                <w:iCs/>
                <w:szCs w:val="24"/>
              </w:rPr>
              <w:t>daliniai pakeitimai</w:t>
            </w:r>
          </w:p>
        </w:tc>
        <w:tc>
          <w:tcPr>
            <w:tcW w:w="4876" w:type="dxa"/>
            <w:hideMark/>
          </w:tcPr>
          <w:p w:rsidR="006D5E42" w:rsidRPr="008824D6" w:rsidRDefault="00D107CE" w:rsidP="00587FE8">
            <w:pPr>
              <w:pStyle w:val="Normal6"/>
              <w:rPr>
                <w:szCs w:val="24"/>
              </w:rPr>
            </w:pPr>
            <w:r>
              <w:rPr>
                <w:iCs/>
                <w:szCs w:val="24"/>
              </w:rPr>
              <w:t>Reglamento (ES) Nr. 1307/2013 daliniai pakeitimai</w:t>
            </w:r>
            <w:r>
              <w:rPr>
                <w:b/>
                <w:i/>
                <w:iCs/>
                <w:szCs w:val="24"/>
                <w:vertAlign w:val="superscript"/>
              </w:rPr>
              <w:t>1a</w:t>
            </w:r>
          </w:p>
        </w:tc>
      </w:tr>
      <w:tr w:rsidR="00BE5522" w:rsidTr="00587FE8">
        <w:trPr>
          <w:jc w:val="center"/>
        </w:trPr>
        <w:tc>
          <w:tcPr>
            <w:tcW w:w="4876" w:type="dxa"/>
          </w:tcPr>
          <w:p w:rsidR="006D5E42" w:rsidRPr="008824D6" w:rsidRDefault="006D5E42" w:rsidP="00587FE8">
            <w:pPr>
              <w:pStyle w:val="Normal6"/>
              <w:rPr>
                <w:iCs/>
                <w:szCs w:val="24"/>
                <w:lang w:val="en-GB"/>
              </w:rPr>
            </w:pPr>
          </w:p>
        </w:tc>
        <w:tc>
          <w:tcPr>
            <w:tcW w:w="4876" w:type="dxa"/>
          </w:tcPr>
          <w:p w:rsidR="006D5E42" w:rsidRPr="008824D6" w:rsidRDefault="00D107CE" w:rsidP="00587FE8">
            <w:pPr>
              <w:pStyle w:val="Normal6"/>
              <w:rPr>
                <w:iCs/>
                <w:szCs w:val="24"/>
              </w:rPr>
            </w:pPr>
            <w:r>
              <w:rPr>
                <w:b/>
                <w:i/>
              </w:rPr>
              <w:t>___________________</w:t>
            </w:r>
          </w:p>
        </w:tc>
      </w:tr>
      <w:tr w:rsidR="00BE5522" w:rsidTr="00587FE8">
        <w:trPr>
          <w:jc w:val="center"/>
        </w:trPr>
        <w:tc>
          <w:tcPr>
            <w:tcW w:w="4876" w:type="dxa"/>
          </w:tcPr>
          <w:p w:rsidR="006D5E42" w:rsidRPr="008824D6" w:rsidRDefault="006D5E42" w:rsidP="00587FE8">
            <w:pPr>
              <w:pStyle w:val="Default"/>
            </w:pPr>
          </w:p>
        </w:tc>
        <w:tc>
          <w:tcPr>
            <w:tcW w:w="4876" w:type="dxa"/>
          </w:tcPr>
          <w:p w:rsidR="006D5E42" w:rsidRPr="008824D6" w:rsidRDefault="00D107CE" w:rsidP="00587FE8">
            <w:pPr>
              <w:pStyle w:val="Normal6"/>
              <w:rPr>
                <w:i/>
                <w:iCs/>
                <w:szCs w:val="24"/>
              </w:rPr>
            </w:pPr>
            <w:r>
              <w:rPr>
                <w:b/>
                <w:i/>
                <w:szCs w:val="24"/>
                <w:vertAlign w:val="superscript"/>
              </w:rPr>
              <w:t>1a</w:t>
            </w:r>
            <w:r>
              <w:rPr>
                <w:b/>
                <w:i/>
                <w:szCs w:val="24"/>
              </w:rPr>
              <w:t xml:space="preserve">Visi skaičiai bus atnaujinti atsižvelgiant į EP poziciją dėl DFP.. </w:t>
            </w:r>
            <w:r>
              <w:rPr>
                <w:b/>
                <w:bCs/>
                <w:i/>
                <w:iCs/>
              </w:rPr>
              <w:t>2018 m. lapkričio 14 d. Europos Parlamento rezoliucijoje „2021–2027 m. daugiametė finansinė</w:t>
            </w:r>
            <w:r>
              <w:rPr>
                <w:b/>
                <w:bCs/>
                <w:i/>
                <w:iCs/>
              </w:rPr>
              <w:t xml:space="preserve"> programa. Parlamento pozicija siekiant susitarimo“ (P8_TA(2018)0449) Europos Parlamentas pristato savo poziciją – 27 ES valstybių narių bendros žemės ūkio politikos finansavimą realiąja verte išlaikyti tokio lygio, koks buvo 2014–2020 m. biudžete (kartu į</w:t>
            </w:r>
            <w:r>
              <w:rPr>
                <w:b/>
                <w:bCs/>
                <w:i/>
                <w:iCs/>
              </w:rPr>
              <w:t xml:space="preserve"> biudžetą įtraukiant pradinę žemės ūkio rezervo sumą), t. y. 383 255 mln. EUR 2018 m. kainomis (431 946 mln. EUR dabartinėmis kainomis). Todėl sumos, dėl </w:t>
            </w:r>
            <w:r>
              <w:rPr>
                <w:b/>
                <w:bCs/>
                <w:i/>
                <w:iCs/>
              </w:rPr>
              <w:lastRenderedPageBreak/>
              <w:t>kurių reikia susitarti šiame reglamente, turėtų būti apskaičiuojamos remiantis sumomis, dėl kurių susi</w:t>
            </w:r>
            <w:r>
              <w:rPr>
                <w:b/>
                <w:bCs/>
                <w:i/>
                <w:iCs/>
              </w:rPr>
              <w:t>tarta 2021–2027 m. DFP, arba, jei dokumentas nebus priimtas laiku, remiantis 2020 m. pratęstomis viršutinėmis ribomis ir nuostatomis pagal SESV 312 straipsnio 4 dalį.</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w:t>
      </w:r>
      <w:r>
        <w:rPr>
          <w:rStyle w:val="HideTWBExt"/>
          <w:b w:val="0"/>
        </w:rPr>
        <w:t>end&gt;</w:t>
      </w:r>
    </w:p>
    <w:p w:rsidR="006D5E42" w:rsidRPr="008824D6" w:rsidRDefault="00D107CE" w:rsidP="006D5E42">
      <w:pPr>
        <w:pStyle w:val="NormalBold"/>
      </w:pPr>
      <w:r>
        <w:rPr>
          <w:rStyle w:val="HideTWBExt"/>
          <w:b w:val="0"/>
          <w:lang w:val="fr-FR"/>
        </w:rPr>
        <w:t>&lt;Article&gt;</w:t>
      </w:r>
      <w:r>
        <w:t>10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1307/2013</w:t>
      </w:r>
      <w:r>
        <w:rPr>
          <w:rStyle w:val="HideTWBExt"/>
          <w:lang w:val="fr-FR"/>
        </w:rPr>
        <w:t>&lt;/DocAmend2&gt;</w:t>
      </w:r>
    </w:p>
    <w:p w:rsidR="006D5E42" w:rsidRPr="008824D6" w:rsidRDefault="00D107CE" w:rsidP="006D5E42">
      <w:r>
        <w:rPr>
          <w:rStyle w:val="HideTWBExt"/>
          <w:lang w:val="fr-FR"/>
        </w:rPr>
        <w:t>&lt;Article2&gt;</w:t>
      </w:r>
      <w:r>
        <w:t>11 straipsnio 6 dalies 4a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Valstybės narės</w:t>
            </w:r>
            <w:r>
              <w:rPr>
                <w:b/>
                <w:i/>
              </w:rPr>
              <w:t xml:space="preserve">, taikydamos 1 dalies pirmą pastraipą, </w:t>
            </w:r>
            <w:r>
              <w:rPr>
                <w:b/>
                <w:i/>
              </w:rPr>
              <w:t>iki 2020 m.</w:t>
            </w:r>
            <w:r>
              <w:t xml:space="preserve"> rugpjūčio 1 d. praneša Komisijai apie su </w:t>
            </w:r>
            <w:r>
              <w:rPr>
                <w:b/>
                <w:i/>
              </w:rPr>
              <w:t>2021 kalendoriniais metais susijusius sprendimus</w:t>
            </w:r>
            <w:r>
              <w:t xml:space="preserve">, </w:t>
            </w:r>
            <w:r>
              <w:rPr>
                <w:b/>
                <w:i/>
              </w:rPr>
              <w:t>nurodytus 2</w:t>
            </w:r>
            <w:r>
              <w:t xml:space="preserve"> ir </w:t>
            </w:r>
            <w:r>
              <w:rPr>
                <w:b/>
                <w:i/>
              </w:rPr>
              <w:t>3 dalyse</w:t>
            </w:r>
            <w:r>
              <w:t>.</w:t>
            </w:r>
          </w:p>
        </w:tc>
        <w:tc>
          <w:tcPr>
            <w:tcW w:w="4876" w:type="dxa"/>
            <w:hideMark/>
          </w:tcPr>
          <w:p w:rsidR="006D5E42" w:rsidRPr="008824D6" w:rsidRDefault="00D107CE" w:rsidP="00587FE8">
            <w:pPr>
              <w:pStyle w:val="Normal6"/>
              <w:rPr>
                <w:szCs w:val="24"/>
              </w:rPr>
            </w:pPr>
            <w:r>
              <w:t>Valstybės narės</w:t>
            </w:r>
            <w:r>
              <w:rPr>
                <w:b/>
                <w:i/>
              </w:rPr>
              <w:t xml:space="preserve"> iki prieš tai einančių metų</w:t>
            </w:r>
            <w:r>
              <w:t xml:space="preserve"> rugpjūčio 1 d. praneša Komisijai apie su </w:t>
            </w:r>
            <w:r>
              <w:rPr>
                <w:b/>
                <w:i/>
              </w:rPr>
              <w:t>kiekvienais pereinamojo laikotarpio, nurody</w:t>
            </w:r>
            <w:r>
              <w:rPr>
                <w:b/>
                <w:i/>
              </w:rPr>
              <w:t>to Europos Parlamento ir Tarybos reglamento (ES) .../2020 [BŽŪP pereinamojo laikotarpio reglamentas] -1 straipsnyje</w:t>
            </w:r>
            <w:r>
              <w:t xml:space="preserve">, </w:t>
            </w:r>
            <w:r>
              <w:rPr>
                <w:b/>
                <w:i/>
              </w:rPr>
              <w:t>metais susijusius, pagal šį straipsnį priimtus sprendimus</w:t>
            </w:r>
            <w:r>
              <w:t xml:space="preserve"> ir </w:t>
            </w:r>
            <w:r>
              <w:rPr>
                <w:b/>
                <w:i/>
              </w:rPr>
              <w:t>visas sumažinus išmokas numatomas gauti lėšas</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w:t>
      </w:r>
      <w:r>
        <w:rPr>
          <w:rStyle w:val="HideTWBExt"/>
          <w:b w:val="0"/>
        </w:rPr>
        <w:t>NumAm&gt;</w:t>
      </w:r>
      <w:r>
        <w:t>58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3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rPr>
        <w:t>&lt;Article2&gt;</w:t>
      </w:r>
      <w:r>
        <w:t>15a straipsnis</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D107CE" w:rsidP="00587FE8">
            <w:pPr>
              <w:pStyle w:val="Normal6"/>
              <w:jc w:val="center"/>
            </w:pPr>
            <w:r>
              <w:t xml:space="preserve">15a </w:t>
            </w:r>
            <w:r>
              <w:t>straipsnis</w:t>
            </w:r>
          </w:p>
        </w:tc>
        <w:tc>
          <w:tcPr>
            <w:tcW w:w="4876" w:type="dxa"/>
          </w:tcPr>
          <w:p w:rsidR="006D5E42" w:rsidRPr="008824D6" w:rsidRDefault="00D107CE" w:rsidP="00587FE8">
            <w:pPr>
              <w:pStyle w:val="Normal6"/>
              <w:jc w:val="center"/>
            </w:pPr>
            <w:r>
              <w:t>15a straipsnis</w:t>
            </w:r>
          </w:p>
        </w:tc>
      </w:tr>
      <w:tr w:rsidR="00BE5522" w:rsidTr="00587FE8">
        <w:trPr>
          <w:jc w:val="center"/>
        </w:trPr>
        <w:tc>
          <w:tcPr>
            <w:tcW w:w="4876" w:type="dxa"/>
          </w:tcPr>
          <w:p w:rsidR="006D5E42" w:rsidRPr="008824D6" w:rsidRDefault="00D107CE" w:rsidP="00587FE8">
            <w:pPr>
              <w:pStyle w:val="Normal6"/>
              <w:jc w:val="center"/>
            </w:pPr>
            <w:r>
              <w:t xml:space="preserve">Su </w:t>
            </w:r>
            <w:r>
              <w:rPr>
                <w:b/>
                <w:i/>
              </w:rPr>
              <w:t>2021</w:t>
            </w:r>
            <w:r>
              <w:t xml:space="preserve"> kalendoriniais metais susiję pranešimai</w:t>
            </w:r>
          </w:p>
        </w:tc>
        <w:tc>
          <w:tcPr>
            <w:tcW w:w="4876" w:type="dxa"/>
          </w:tcPr>
          <w:p w:rsidR="006D5E42" w:rsidRPr="008824D6" w:rsidRDefault="00D107CE" w:rsidP="00587FE8">
            <w:pPr>
              <w:pStyle w:val="Normal6"/>
              <w:jc w:val="center"/>
            </w:pPr>
            <w:r>
              <w:t xml:space="preserve">Su </w:t>
            </w:r>
            <w:r>
              <w:rPr>
                <w:b/>
                <w:i/>
              </w:rPr>
              <w:t>pereinamojo laikotarpio</w:t>
            </w:r>
            <w:r>
              <w:t xml:space="preserve"> kalendoriniais metais susiję pranešimai</w:t>
            </w:r>
          </w:p>
        </w:tc>
      </w:tr>
      <w:tr w:rsidR="00BE5522" w:rsidTr="00587FE8">
        <w:trPr>
          <w:jc w:val="center"/>
        </w:trPr>
        <w:tc>
          <w:tcPr>
            <w:tcW w:w="4876" w:type="dxa"/>
            <w:hideMark/>
          </w:tcPr>
          <w:p w:rsidR="006D5E42" w:rsidRPr="008824D6" w:rsidRDefault="00D107CE" w:rsidP="00587FE8">
            <w:pPr>
              <w:pStyle w:val="Normal6"/>
            </w:pPr>
            <w:r>
              <w:t xml:space="preserve">Valstybės narės praneša apie </w:t>
            </w:r>
            <w:r>
              <w:rPr>
                <w:b/>
                <w:i/>
              </w:rPr>
              <w:t>2021</w:t>
            </w:r>
            <w:r>
              <w:t xml:space="preserve"> kalendorinių metų metinės nacionalinės viršutinės ribos procentines dalis, nurodytas 22 straipsnio 2 dalyje, 42 </w:t>
            </w:r>
            <w:r>
              <w:lastRenderedPageBreak/>
              <w:t xml:space="preserve">straipsnio 1 dalyje, 49 straipsnio 1 dalyje, 51 straipsnio 1 dalyje ir 53 straipsnio 6 dalyje, iki </w:t>
            </w:r>
            <w:r>
              <w:rPr>
                <w:b/>
                <w:i/>
              </w:rPr>
              <w:t>2020 m.</w:t>
            </w:r>
            <w:r>
              <w:t xml:space="preserve"> rugpjūčio 1 d.</w:t>
            </w:r>
          </w:p>
        </w:tc>
        <w:tc>
          <w:tcPr>
            <w:tcW w:w="4876" w:type="dxa"/>
            <w:hideMark/>
          </w:tcPr>
          <w:p w:rsidR="006D5E42" w:rsidRPr="008824D6" w:rsidRDefault="00D107CE" w:rsidP="00587FE8">
            <w:pPr>
              <w:pStyle w:val="Normal6"/>
              <w:rPr>
                <w:szCs w:val="24"/>
              </w:rPr>
            </w:pPr>
            <w:r>
              <w:lastRenderedPageBreak/>
              <w:t>Valstybės narės prane</w:t>
            </w:r>
            <w:r>
              <w:t xml:space="preserve">ša apie </w:t>
            </w:r>
            <w:r>
              <w:rPr>
                <w:b/>
                <w:i/>
              </w:rPr>
              <w:t xml:space="preserve">kiekvienų pereinamojo laikotarpio, nurodyto Europos Parlamento ir Tarybos reglamento (ES) .../2020 [BŽŪP </w:t>
            </w:r>
            <w:r>
              <w:rPr>
                <w:b/>
                <w:i/>
              </w:rPr>
              <w:lastRenderedPageBreak/>
              <w:t xml:space="preserve">pereinamojo laikotarpio reglamentas] -1 straipsnyje, </w:t>
            </w:r>
            <w:r>
              <w:t xml:space="preserve"> kalendorinių metų metinės nacionalinės viršutinės ribos procentines dalis, nurodytas 22 s</w:t>
            </w:r>
            <w:r>
              <w:t xml:space="preserve">traipsnio 2 dalyje, 42 straipsnio 1 dalyje, 49 straipsnio 1 dalyje, 51 straipsnio 1 dalyje ir 53 straipsnio 6 dalyje, iki </w:t>
            </w:r>
            <w:r>
              <w:rPr>
                <w:b/>
                <w:i/>
              </w:rPr>
              <w:t>prieš tai einančių metų</w:t>
            </w:r>
            <w:r>
              <w:t xml:space="preserve"> rugpjūčio 1 d.</w:t>
            </w:r>
            <w:r>
              <w:rPr>
                <w:b/>
                <w:i/>
              </w:rPr>
              <w:t>;</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59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4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22 straipsnio 5 dalies 1a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Jei Komisijos pagal šio straipsnio 1 dalį valstybei narei </w:t>
            </w:r>
            <w:r>
              <w:rPr>
                <w:b/>
                <w:i/>
              </w:rPr>
              <w:t>2021</w:t>
            </w:r>
            <w:r>
              <w:t xml:space="preserve"> kalendoriniams metams nustatyta viršutinė riba skiriasi nuo ankstesniais metais nustatytos viršutinės ribos dėl II priede nustatytos sumos pasikeitimo arba bet kurio tos valstybės narės sprendi</w:t>
            </w:r>
            <w:r>
              <w:t>mo, priimto remiantis šio straipsnio 3 dalimi, 14 straipsnio 1 arba 2 dalimis, 42 straipsnio 1 dalimi, 49 straipsnio 1 dalimi, 51 straipsnio 1 dalimi arba 53 straipsniu, ta valstybė narė linijiniu būdu sumažina arba padidina visų teisių į išmokas vertę ir</w:t>
            </w:r>
            <w:r>
              <w:rPr>
                <w:b/>
                <w:i/>
              </w:rPr>
              <w:t> </w:t>
            </w:r>
            <w:r>
              <w:t>(arba) sumažina arba padidina nacionalinį rezervą arba regioninius rezervus, kad užtikrintų, jog būtų laikomasi šio straipsnio 4 dalies.</w:t>
            </w:r>
          </w:p>
        </w:tc>
        <w:tc>
          <w:tcPr>
            <w:tcW w:w="4876" w:type="dxa"/>
            <w:hideMark/>
          </w:tcPr>
          <w:p w:rsidR="006D5E42" w:rsidRPr="008824D6" w:rsidRDefault="00D107CE" w:rsidP="00587FE8">
            <w:pPr>
              <w:pStyle w:val="Normal6"/>
              <w:rPr>
                <w:szCs w:val="24"/>
              </w:rPr>
            </w:pPr>
            <w:r>
              <w:t xml:space="preserve">Jei Komisijos pagal šio straipsnio 1 dalį valstybei narei </w:t>
            </w:r>
            <w:r>
              <w:rPr>
                <w:b/>
                <w:i/>
              </w:rPr>
              <w:t>kiekvieniems pereinamojo laikotarpio, nurodyto Europos Parlam</w:t>
            </w:r>
            <w:r>
              <w:rPr>
                <w:b/>
                <w:i/>
              </w:rPr>
              <w:t xml:space="preserve">ento ir Tarybos reglamento (ES) .../2020 [BŽŪP pereinamojo laikotarpio reglamentas] -1 straipsnyje, </w:t>
            </w:r>
            <w:r>
              <w:t xml:space="preserve"> kalendoriniams metams nustatyta viršutinė riba skiriasi nuo ankstesniais metais nustatytos viršutinės ribos dėl II priede nustatytos sumos pasikeitimo arba</w:t>
            </w:r>
            <w:r>
              <w:t xml:space="preserve"> bet kurio tos valstybės narės sprendimo, priimto remiantis šio straipsnio 3 dalimi, 14 straipsnio 1 arba 2 dalimis, 42 straipsnio 1 dalimi, 49 straipsnio 1 dalimi, 51 straipsnio 1 dalimi arba 53 straipsniu, ta valstybė narė linijiniu būdu sumažina arba pa</w:t>
            </w:r>
            <w:r>
              <w:t>didina visų teisių į išmokas vertę ir</w:t>
            </w:r>
            <w:r>
              <w:rPr>
                <w:b/>
                <w:i/>
              </w:rPr>
              <w:t xml:space="preserve"> </w:t>
            </w:r>
            <w:r>
              <w:t>(arba) sumažina arba padidina nacionalinį rezervą arba regioninius rezervus, kad užtikrintų, jog būtų laikomasi šio straipsnio 4 dalies.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60</w:t>
      </w:r>
      <w:r>
        <w:rPr>
          <w:rStyle w:val="HideTWBExt"/>
          <w:b w:val="0"/>
        </w:rPr>
        <w:t>&lt;/NumAm&gt;</w:t>
      </w:r>
    </w:p>
    <w:p w:rsidR="006D5E42" w:rsidRPr="008824D6" w:rsidRDefault="00D107CE" w:rsidP="006D5E42">
      <w:pPr>
        <w:pStyle w:val="NormalBold12b"/>
      </w:pPr>
      <w:r>
        <w:rPr>
          <w:rStyle w:val="HideTWBExt"/>
          <w:b w:val="0"/>
        </w:rPr>
        <w:t>&lt;DocAmend&gt;</w:t>
      </w:r>
      <w:r>
        <w:t>Pasiūlymas dėl reglament</w:t>
      </w:r>
      <w:r>
        <w: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5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23 straipsnio 6 dalies 3a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Valstybės narės, taikydamos 1 dalies pirmą pastraipą, iki </w:t>
            </w:r>
            <w:r>
              <w:rPr>
                <w:b/>
                <w:i/>
              </w:rPr>
              <w:t>2020 m.</w:t>
            </w:r>
            <w:r>
              <w:t xml:space="preserve"> rugpjūčio 1 d. praneša Komisijai apie su </w:t>
            </w:r>
            <w:r>
              <w:rPr>
                <w:b/>
                <w:i/>
              </w:rPr>
              <w:t>2021</w:t>
            </w:r>
            <w:r>
              <w:t xml:space="preserve"> kalendoriniais metais susijusius sprendimus, nurodytus 2 ir 3 dalyse.</w:t>
            </w:r>
          </w:p>
        </w:tc>
        <w:tc>
          <w:tcPr>
            <w:tcW w:w="4876" w:type="dxa"/>
            <w:hideMark/>
          </w:tcPr>
          <w:p w:rsidR="006D5E42" w:rsidRPr="008824D6" w:rsidRDefault="00D107CE" w:rsidP="00587FE8">
            <w:pPr>
              <w:pStyle w:val="Normal6"/>
              <w:rPr>
                <w:szCs w:val="24"/>
              </w:rPr>
            </w:pPr>
            <w:r>
              <w:t xml:space="preserve">Valstybės narės, taikydamos 1 dalies pirmą pastraipą, iki </w:t>
            </w:r>
            <w:r>
              <w:rPr>
                <w:b/>
                <w:i/>
              </w:rPr>
              <w:t>prieš tai einanč</w:t>
            </w:r>
            <w:r>
              <w:rPr>
                <w:b/>
                <w:i/>
              </w:rPr>
              <w:t>ių metų</w:t>
            </w:r>
            <w:r>
              <w:t xml:space="preserve"> rugpjūčio 1 d. praneša Komisijai apie su </w:t>
            </w:r>
            <w:r>
              <w:rPr>
                <w:b/>
                <w:i/>
              </w:rPr>
              <w:t>kiekvienais pereinamojo laikotarpio</w:t>
            </w:r>
            <w:r>
              <w:t xml:space="preserve"> kalendoriniais metais susijusius sprendimus, nurodytus 2 ir 3 dalyse.</w:t>
            </w:r>
            <w:r>
              <w:rPr>
                <w:b/>
                <w:i/>
              </w:rP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w:t>
      </w:r>
      <w:r>
        <w:rPr>
          <w:rStyle w:val="HideTWBExt"/>
          <w:b w:val="0"/>
          <w:lang w:val="fr-FR"/>
        </w:rPr>
        <w:t>Article&gt;</w:t>
      </w:r>
      <w:r>
        <w:t>10 straipsnio 1 pastraipos 6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25 straipsnio 11 dalies 1 pastraipos įžanginė dalis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Pritaikiusios 22 straipsnio 5 dalyje nurodytą koregavimą, valstybės narės, kurios pasinaudojo šio straipsnio 4 dalyje nustatyta nukrypti leidžiančia nuostata, gali nuspręsti, kad teisių į išmokas, kurias ūkininkai turėjo 2019 m. gruodžio 31 d. ir kurių ver</w:t>
            </w:r>
            <w:r>
              <w:t xml:space="preserve">tė yra mažesnė už nacionalinę arba regioninę vieneto vertę </w:t>
            </w:r>
            <w:r>
              <w:rPr>
                <w:b/>
                <w:i/>
              </w:rPr>
              <w:t>2020 m.</w:t>
            </w:r>
            <w:r>
              <w:t xml:space="preserve">, apskaičiuotą pagal šios dalies antrą pastraipą, vieneto vertė būtų padidinta iki nacionalinės arba regioninės vieneto vertės </w:t>
            </w:r>
            <w:r>
              <w:rPr>
                <w:b/>
                <w:i/>
              </w:rPr>
              <w:t>2020 m</w:t>
            </w:r>
            <w:r>
              <w:t>. Šis padidinimas apskaičiuojamas pagal toliau išvardytas</w:t>
            </w:r>
            <w:r>
              <w:t xml:space="preserve"> sąlygas:</w:t>
            </w:r>
          </w:p>
        </w:tc>
        <w:tc>
          <w:tcPr>
            <w:tcW w:w="4876" w:type="dxa"/>
            <w:hideMark/>
          </w:tcPr>
          <w:p w:rsidR="006D5E42" w:rsidRPr="008824D6" w:rsidRDefault="00D107CE" w:rsidP="00587FE8">
            <w:pPr>
              <w:pStyle w:val="Normal6"/>
              <w:rPr>
                <w:szCs w:val="24"/>
              </w:rPr>
            </w:pPr>
            <w:r>
              <w:t>Pritaikiusios 22 straipsnio 5 dalyje nurodytą koregavimą, valstybės narės, kurios pasinaudojo šio straipsnio 4 dalyje nustatyta nukrypti leidžiančia nuostata, gali nuspręsti, kad teisių į išmokas, kurias ūkininkai turėjo 2019 m. gruodžio 31 d.</w:t>
            </w:r>
            <w:r>
              <w:rPr>
                <w:b/>
                <w:i/>
              </w:rPr>
              <w:t xml:space="preserve"> ir</w:t>
            </w:r>
            <w:r>
              <w:rPr>
                <w:b/>
                <w:i/>
              </w:rPr>
              <w:t>, kai taikomas Reglamento (ES) .../... [BŽŪP pereinamojo laikotarpio reglamentas] -1 straipsnis, 2020 m. gruodžio 31 d.</w:t>
            </w:r>
            <w:r>
              <w:t xml:space="preserve"> ir kurių vertė yra mažesnė už nacionalinę arba regioninę vieneto vertę 2020 m.</w:t>
            </w:r>
            <w:r>
              <w:rPr>
                <w:b/>
                <w:i/>
              </w:rPr>
              <w:t xml:space="preserve"> arba, kai taikomas Reglamento (ES) .../... [BŽŪP pereinam</w:t>
            </w:r>
            <w:r>
              <w:rPr>
                <w:b/>
                <w:i/>
              </w:rPr>
              <w:t>ojo laikotarpio reglamentas] -1 straipsnis, 2021 m.</w:t>
            </w:r>
            <w:r>
              <w:t xml:space="preserve">, apskaičiuotą pagal šios dalies antrą pastraipą, vieneto vertė būtų padidinta iki nacionalinės arba regioninės vieneto vertės </w:t>
            </w:r>
            <w:r>
              <w:rPr>
                <w:b/>
                <w:i/>
              </w:rPr>
              <w:t>atitinkamais metais</w:t>
            </w:r>
            <w:r>
              <w:t xml:space="preserve">.  Šis padidinimas apskaičiuojamas pagal toliau išvardytas </w:t>
            </w:r>
            <w:r>
              <w:t>sąlygas: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6 b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 xml:space="preserve">25 straipsnio 11 dalies 1 </w:t>
      </w:r>
      <w:r>
        <w:t>pastraipos b punktas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b)</w:t>
            </w:r>
            <w:r>
              <w:tab/>
              <w:t>siekiant finansuoti padidinimą sumažinamos visos nuosavybės arba nuomos pagrindais įgytos teisės į išmokas arba jų dalis, kurias ūkininkai turėjo 2019 m. gruodžio 31 d. ir kurių ve</w:t>
            </w:r>
            <w:r>
              <w:t xml:space="preserve">rtė yra didesnė už nacionalinę arba regioninę vieneto vertę </w:t>
            </w:r>
            <w:r>
              <w:rPr>
                <w:b/>
                <w:i/>
              </w:rPr>
              <w:t>2020 m.</w:t>
            </w:r>
            <w:r>
              <w:t>, apskaičiuotą pagal šios dalies antrą pastraipą. Šis sumažinimas taikomas šių teisių į išmokas vertės ir nacionalinės arba regioninės vieneto vertės 2020 m. skirtumui. Šio sumažinimo taiky</w:t>
            </w:r>
            <w:r>
              <w:t>mas grindžiamas objektyviais ir nediskriminaciniais kriterijais, į kuriuos gali būti įtrauktas didžiausio sumažinimo nustatymas.</w:t>
            </w:r>
          </w:p>
        </w:tc>
        <w:tc>
          <w:tcPr>
            <w:tcW w:w="4876" w:type="dxa"/>
            <w:hideMark/>
          </w:tcPr>
          <w:p w:rsidR="006D5E42" w:rsidRPr="008824D6" w:rsidRDefault="00D107CE" w:rsidP="00587FE8">
            <w:pPr>
              <w:pStyle w:val="Normal6"/>
              <w:rPr>
                <w:szCs w:val="24"/>
              </w:rPr>
            </w:pPr>
            <w:r>
              <w:t>b)</w:t>
            </w:r>
            <w:r>
              <w:tab/>
              <w:t xml:space="preserve">siekiant finansuoti padidinimą sumažinamos visos nuosavybės arba nuomos pagrindais įgytos teisės į išmokas arba jų dalis, </w:t>
            </w:r>
            <w:r>
              <w:t>kurias ūkininkai turėjo 2019</w:t>
            </w:r>
            <w:r>
              <w:rPr>
                <w:b/>
                <w:i/>
              </w:rPr>
              <w:t xml:space="preserve"> </w:t>
            </w:r>
            <w:r>
              <w:t xml:space="preserve">m. gruodžio 31 d. </w:t>
            </w:r>
            <w:r>
              <w:rPr>
                <w:b/>
                <w:i/>
              </w:rPr>
              <w:t>ir, kai taikomas Reglamento (ES) .../... [BŽŪP pereinamojo laikotarpio reglamentas] -1 straipsnis, 2020</w:t>
            </w:r>
            <w:r>
              <w:t> </w:t>
            </w:r>
            <w:r>
              <w:rPr>
                <w:b/>
                <w:i/>
              </w:rPr>
              <w:t>m. gruodžio 31 d.</w:t>
            </w:r>
            <w:r>
              <w:t xml:space="preserve"> ir kurių vertė yra didesnė už nacionalinę arba regioninę vieneto vertę </w:t>
            </w:r>
            <w:r>
              <w:rPr>
                <w:b/>
                <w:i/>
              </w:rPr>
              <w:t>pereinamojo laik</w:t>
            </w:r>
            <w:r>
              <w:rPr>
                <w:b/>
                <w:i/>
              </w:rPr>
              <w:t>otarpio kitais metais</w:t>
            </w:r>
            <w:r>
              <w:t>, apskaičiuotą pagal šios dalies antrą pastraipą.</w:t>
            </w:r>
            <w:r>
              <w:rPr>
                <w:szCs w:val="24"/>
              </w:rPr>
              <w:t xml:space="preserve"> Šis sumažinimas taikomas šių teisių į išmokas vertės ir nacionalinės arba regioninės vieneto vertės 2020 m. skirtumui. </w:t>
            </w:r>
            <w:r>
              <w:t>Šio sumažinimo taikymas grindžiamas objektyviais ir nediskriminaci</w:t>
            </w:r>
            <w:r>
              <w:t>niais kriterijais, į kuriuos gali būti įtrauktas didžiausio sumažinimo nustatymas.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6 punkto 2 pastraipa</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lang w:val="fr-FR"/>
        </w:rPr>
        <w:t>&lt;Article2&gt;</w:t>
      </w:r>
      <w:r>
        <w:t>25 straipsnio 11 dalies 2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Pirmoje pastraipoje nurodyta nacionalinė arba regioninė vieneto vertė </w:t>
            </w:r>
            <w:r>
              <w:rPr>
                <w:b/>
                <w:i/>
              </w:rPr>
              <w:t>2020 m.</w:t>
            </w:r>
            <w:r>
              <w:t xml:space="preserve"> apskaičiuojama bazinės išmokos sistem</w:t>
            </w:r>
            <w:r>
              <w:t xml:space="preserve">os nacionalinę arba regioninę viršutinę ribą, nustatytą pagal 22 straipsnio 1 dalį arba 23 straipsnio 2 dalį </w:t>
            </w:r>
            <w:r>
              <w:rPr>
                <w:b/>
                <w:i/>
              </w:rPr>
              <w:t>2020 m.</w:t>
            </w:r>
            <w:r>
              <w:t>, išskyrus nacionalinio rezervo arba regioninio (-ų) rezervo (-ų) sumą, padalijant iš nuosavybės arba nuomos pagrindais įgytų teisių į išmok</w:t>
            </w:r>
            <w:r>
              <w:t xml:space="preserve">as, kurias ūkininkai turėjo </w:t>
            </w:r>
            <w:r>
              <w:rPr>
                <w:b/>
                <w:i/>
              </w:rPr>
              <w:t>2019 m.</w:t>
            </w:r>
            <w:r>
              <w:t xml:space="preserve"> gruodžio 31 d., skaičiaus.</w:t>
            </w:r>
          </w:p>
        </w:tc>
        <w:tc>
          <w:tcPr>
            <w:tcW w:w="4876" w:type="dxa"/>
            <w:hideMark/>
          </w:tcPr>
          <w:p w:rsidR="006D5E42" w:rsidRPr="008824D6" w:rsidRDefault="00D107CE" w:rsidP="00587FE8">
            <w:pPr>
              <w:pStyle w:val="Normal6"/>
              <w:rPr>
                <w:szCs w:val="24"/>
              </w:rPr>
            </w:pPr>
            <w:r>
              <w:t xml:space="preserve">Pirmoje pastraipoje nurodyta nacionalinė arba regioninė vieneto vertė </w:t>
            </w:r>
            <w:r>
              <w:rPr>
                <w:b/>
                <w:i/>
              </w:rPr>
              <w:t>pereinamojo laikotarpio metais</w:t>
            </w:r>
            <w:r>
              <w:t xml:space="preserve"> apskaičiuojama bazinės išmokos sistemos nacionalinę arba regioninę viršutinę ribą, nustatytą</w:t>
            </w:r>
            <w:r>
              <w:t xml:space="preserve"> pagal 22 straipsnio 1 dalį arba 23 straipsnio 2 dalį </w:t>
            </w:r>
            <w:r>
              <w:rPr>
                <w:b/>
                <w:i/>
              </w:rPr>
              <w:t>atitinkamais metais</w:t>
            </w:r>
            <w:r>
              <w:t xml:space="preserve">, išskyrus nacionalinio rezervo arba regioninio (-ų) rezervo (-ų) sumą, padalijant iš nuosavybės arba nuomos pagrindais įgytų teisių į išmokas, kurias ūkininkai turėjo </w:t>
            </w:r>
            <w:r>
              <w:rPr>
                <w:b/>
                <w:i/>
              </w:rPr>
              <w:t>prieš tai einan</w:t>
            </w:r>
            <w:r>
              <w:rPr>
                <w:b/>
                <w:i/>
              </w:rPr>
              <w:t>čių metų</w:t>
            </w:r>
            <w:r>
              <w:t xml:space="preserve"> gruodžio 31 d., skaičiaus.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64</w:t>
      </w:r>
      <w:r>
        <w:rPr>
          <w:rStyle w:val="HideTWBExt"/>
          <w:b w:val="0"/>
        </w:rPr>
        <w:t>&lt;/NumAm&gt;</w:t>
      </w:r>
    </w:p>
    <w:p w:rsidR="006D5E42" w:rsidRPr="008824D6" w:rsidRDefault="00D107CE" w:rsidP="006D5E42">
      <w:pPr>
        <w:pStyle w:val="NormalBold12b"/>
      </w:pPr>
      <w:r>
        <w:rPr>
          <w:rStyle w:val="HideTWBExt"/>
          <w:b w:val="0"/>
        </w:rPr>
        <w:lastRenderedPageBreak/>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7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rPr>
        <w:t>&lt;Article2&gt;</w:t>
      </w:r>
      <w:r>
        <w:t xml:space="preserve">25 </w:t>
      </w:r>
      <w:r>
        <w:t>straipsnio 12 dalis</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12.</w:t>
            </w:r>
            <w:r>
              <w:tab/>
              <w:t xml:space="preserve">Valstybės narės gali nuspręsti toliau taikyti vidinę konvergenciją </w:t>
            </w:r>
            <w:r>
              <w:rPr>
                <w:b/>
                <w:i/>
              </w:rPr>
              <w:t>2021 </w:t>
            </w:r>
            <w:r>
              <w:t>kalendoriniais metais, atitinkamiems metams taikydamos 11 dalį.</w:t>
            </w:r>
          </w:p>
        </w:tc>
        <w:tc>
          <w:tcPr>
            <w:tcW w:w="4876" w:type="dxa"/>
            <w:hideMark/>
          </w:tcPr>
          <w:p w:rsidR="006D5E42" w:rsidRPr="008824D6" w:rsidRDefault="00D107CE" w:rsidP="00587FE8">
            <w:pPr>
              <w:pStyle w:val="Normal6"/>
              <w:rPr>
                <w:szCs w:val="24"/>
              </w:rPr>
            </w:pPr>
            <w:r>
              <w:t>12.</w:t>
            </w:r>
            <w:r>
              <w:tab/>
            </w:r>
            <w:r>
              <w:t xml:space="preserve">Valstybės narės gali nuspręsti toliau taikyti vidinę konvergenciją </w:t>
            </w:r>
            <w:r>
              <w:rPr>
                <w:b/>
                <w:i/>
              </w:rPr>
              <w:t xml:space="preserve">pereinamojo laikotarpio </w:t>
            </w:r>
            <w:r>
              <w:t>kalendoriniais metais, atitinkamiems metams taikydamos 11 dalį.</w:t>
            </w:r>
            <w:r>
              <w:rPr>
                <w:b/>
                <w:i/>
              </w:rP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w:t>
      </w:r>
      <w:r>
        <w:rPr>
          <w:rStyle w:val="HideTWBExt"/>
          <w:b w:val="0"/>
          <w:lang w:val="fr-FR"/>
        </w:rPr>
        <w:t>cle&gt;</w:t>
      </w:r>
      <w:r>
        <w:t>10 straipsnio 1 pastraipos 9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pPr>
        <w:keepNext/>
      </w:pPr>
      <w:r>
        <w:rPr>
          <w:rStyle w:val="HideTWBExt"/>
          <w:lang w:val="fr-FR"/>
        </w:rPr>
        <w:t>&lt;Article2&gt;</w:t>
      </w:r>
      <w:r>
        <w:t>30 straipsnio 8 dalies 3a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Su paskirstymais iš 2021 m. rezervo susijusi rezervo </w:t>
            </w:r>
            <w:r>
              <w:t>suma, kuri turi būti neįtraukiama pagal antrą pastraipą, koreguojama pagal 22 straipsnio 5 dalies antrą pastraipą. Šios dalies trečia pastraipa paskirstymams iš 2021 m. rezervo netaikoma.</w:t>
            </w:r>
          </w:p>
        </w:tc>
        <w:tc>
          <w:tcPr>
            <w:tcW w:w="4876" w:type="dxa"/>
            <w:hideMark/>
          </w:tcPr>
          <w:p w:rsidR="006D5E42" w:rsidRPr="008824D6" w:rsidRDefault="00D107CE" w:rsidP="00587FE8">
            <w:pPr>
              <w:pStyle w:val="Normal6"/>
              <w:rPr>
                <w:szCs w:val="24"/>
              </w:rPr>
            </w:pPr>
            <w:r>
              <w:t xml:space="preserve">Su paskirstymais iš 2021 m. rezervo </w:t>
            </w:r>
            <w:r>
              <w:rPr>
                <w:b/>
                <w:i/>
              </w:rPr>
              <w:t>ir, kai taikomas Reglamento (ES)</w:t>
            </w:r>
            <w:r>
              <w:rPr>
                <w:b/>
                <w:i/>
              </w:rPr>
              <w:t xml:space="preserve"> .../... [BŽŪP pereinamojo laikotarpio reglamentas] -1 straipsnis, su paskirstymais iš 2022 m. rezervo </w:t>
            </w:r>
            <w:r>
              <w:t>susijusi rezervo suma, kuri turi būti neįtraukiama pagal antrą pastraipą, koreguojama pagal 22 straipsnio 5 dalies antrą pastraipą.</w:t>
            </w:r>
            <w:r>
              <w:rPr>
                <w:szCs w:val="24"/>
              </w:rPr>
              <w:t xml:space="preserve"> </w:t>
            </w:r>
            <w:r>
              <w:t>Šios dalies trečia pa</w:t>
            </w:r>
            <w:r>
              <w:t>straipa paskirstymams iš 2021</w:t>
            </w:r>
            <w:r>
              <w:rPr>
                <w:b/>
                <w:i/>
              </w:rPr>
              <w:t> m. rezervo ir, kai taikomas Reglamento (ES) .../... [BŽŪP pereinamojo laikotarpio reglamentas] -1 straipsnis, paskirstymams iš 2022</w:t>
            </w:r>
            <w:r>
              <w:t> m. rezervo netaikoma.</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66</w:t>
      </w:r>
      <w:r>
        <w:rPr>
          <w:rStyle w:val="HideTWBExt"/>
          <w:b w:val="0"/>
        </w:rPr>
        <w:t>&lt;/NumAm&gt;</w:t>
      </w:r>
    </w:p>
    <w:p w:rsidR="006D5E42" w:rsidRPr="008824D6" w:rsidRDefault="00D107CE" w:rsidP="006D5E42">
      <w:pPr>
        <w:pStyle w:val="NormalBold12b"/>
      </w:pPr>
      <w:r>
        <w:rPr>
          <w:rStyle w:val="HideTWBExt"/>
          <w:b w:val="0"/>
        </w:rPr>
        <w:t>&lt;DocAmend&gt;</w:t>
      </w:r>
      <w:r>
        <w:t xml:space="preserve">Pasiūlymas dėl </w:t>
      </w:r>
      <w:r>
        <w:t>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10 a punktas (naujas)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37 straipsnio 1 dalies 1 a pastraipa (nauja)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b/>
                <w:i/>
              </w:rPr>
            </w:pPr>
            <w:r>
              <w:rPr>
                <w:b/>
                <w:i/>
              </w:rPr>
              <w:t>10a)</w:t>
            </w:r>
            <w:r>
              <w:rPr>
                <w:b/>
                <w:i/>
              </w:rPr>
              <w:tab/>
              <w:t xml:space="preserve">37 straipsnio 1 dalis papildoma šia </w:t>
            </w:r>
            <w:r>
              <w:rPr>
                <w:b/>
                <w:i/>
              </w:rPr>
              <w:lastRenderedPageBreak/>
              <w:t>pastraipa:</w:t>
            </w:r>
          </w:p>
        </w:tc>
      </w:tr>
      <w:tr w:rsidR="00BE5522" w:rsidTr="00587FE8">
        <w:trPr>
          <w:jc w:val="center"/>
        </w:trPr>
        <w:tc>
          <w:tcPr>
            <w:tcW w:w="4876" w:type="dxa"/>
          </w:tcPr>
          <w:p w:rsidR="006D5E42" w:rsidRPr="008824D6" w:rsidRDefault="006D5E42" w:rsidP="00587FE8">
            <w:pPr>
              <w:pStyle w:val="Normal6"/>
              <w:rPr>
                <w:b/>
                <w:bCs/>
                <w:i/>
                <w:iCs/>
                <w:lang w:val="en-GB"/>
              </w:rPr>
            </w:pPr>
          </w:p>
        </w:tc>
        <w:tc>
          <w:tcPr>
            <w:tcW w:w="4876" w:type="dxa"/>
            <w:hideMark/>
          </w:tcPr>
          <w:p w:rsidR="006D5E42" w:rsidRPr="008824D6" w:rsidRDefault="00D107CE" w:rsidP="00587FE8">
            <w:pPr>
              <w:pStyle w:val="Normal6"/>
              <w:rPr>
                <w:b/>
                <w:bCs/>
                <w:i/>
                <w:iCs/>
              </w:rPr>
            </w:pPr>
            <w:r>
              <w:rPr>
                <w:b/>
                <w:i/>
              </w:rPr>
              <w:t>„Pereinamojo laikotarpio nacionalinę pagalbą 2020 m. teikiančios valstybės narės gali toliau ją teikti iki pereinamojo laikotarpio, nurodyto Reglamento (ES) .../... [BŽŪP pereinamojo laikotarpio reglamentas</w:t>
            </w:r>
            <w:r>
              <w:rPr>
                <w:b/>
                <w:i/>
              </w:rPr>
              <w:t>] -1 straipsnyje, pabaigos.“;</w:t>
            </w:r>
            <w:r>
              <w:rPr>
                <w:b/>
                <w:i/>
                <w:szCs w:val="24"/>
              </w:rPr>
              <w:t xml:space="preserve"> </w:t>
            </w:r>
          </w:p>
        </w:tc>
      </w:tr>
      <w:tr w:rsidR="00BE5522" w:rsidTr="00587FE8">
        <w:trPr>
          <w:jc w:val="center"/>
        </w:trPr>
        <w:tc>
          <w:tcPr>
            <w:tcW w:w="4876" w:type="dxa"/>
          </w:tcPr>
          <w:p w:rsidR="006D5E42" w:rsidRPr="008824D6" w:rsidRDefault="006D5E42" w:rsidP="00587FE8">
            <w:pPr>
              <w:pStyle w:val="Normal6"/>
              <w:rPr>
                <w:b/>
                <w:bCs/>
                <w:i/>
                <w:iCs/>
                <w:lang w:val="en-GB"/>
              </w:rPr>
            </w:pPr>
          </w:p>
        </w:tc>
        <w:tc>
          <w:tcPr>
            <w:tcW w:w="4876" w:type="dxa"/>
            <w:hideMark/>
          </w:tcPr>
          <w:p w:rsidR="006D5E42" w:rsidRPr="008824D6" w:rsidRDefault="00D107CE" w:rsidP="00587FE8">
            <w:pPr>
              <w:pStyle w:val="Normal6"/>
              <w:rPr>
                <w:b/>
                <w:bCs/>
                <w:i/>
                <w:iCs/>
              </w:rPr>
            </w:pPr>
            <w:r>
              <w:rPr>
                <w:b/>
                <w:bCs/>
                <w:i/>
                <w:iCs/>
              </w:rPr>
              <w:t xml:space="preserve">37 straipsnio 4 dalis papildoma šiomis įtraukomis: </w:t>
            </w:r>
          </w:p>
        </w:tc>
      </w:tr>
      <w:tr w:rsidR="00BE5522" w:rsidTr="00587FE8">
        <w:trPr>
          <w:jc w:val="center"/>
        </w:trPr>
        <w:tc>
          <w:tcPr>
            <w:tcW w:w="4876" w:type="dxa"/>
          </w:tcPr>
          <w:p w:rsidR="006D5E42" w:rsidRPr="008824D6" w:rsidRDefault="006D5E42" w:rsidP="00587FE8">
            <w:pPr>
              <w:pStyle w:val="Normal6"/>
              <w:rPr>
                <w:b/>
                <w:bCs/>
                <w:i/>
                <w:iCs/>
                <w:lang w:val="en-GB"/>
              </w:rPr>
            </w:pPr>
          </w:p>
        </w:tc>
        <w:tc>
          <w:tcPr>
            <w:tcW w:w="4876" w:type="dxa"/>
          </w:tcPr>
          <w:p w:rsidR="006D5E42" w:rsidRPr="008824D6" w:rsidRDefault="00D107CE" w:rsidP="00587FE8">
            <w:pPr>
              <w:pStyle w:val="Normal6"/>
              <w:rPr>
                <w:b/>
                <w:bCs/>
                <w:i/>
                <w:iCs/>
              </w:rPr>
            </w:pPr>
            <w:r>
              <w:rPr>
                <w:b/>
                <w:bCs/>
                <w:i/>
                <w:iCs/>
              </w:rPr>
              <w:t>–</w:t>
            </w:r>
            <w:r>
              <w:rPr>
                <w:b/>
                <w:bCs/>
                <w:i/>
                <w:iCs/>
              </w:rPr>
              <w:tab/>
              <w:t>2021 m. – 50 %,</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 xml:space="preserve">– </w:t>
            </w:r>
            <w:r>
              <w:rPr>
                <w:b/>
                <w:i/>
              </w:rPr>
              <w:tab/>
              <w:t>2022 m. – 50 %,  kai taikomas Reglamento (ES) .../... [BŽŪP pereinamojo laikotarpio reglamentas] -1 straipsnis.“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w:t>
      </w:r>
      <w:r>
        <w:rPr>
          <w:rStyle w:val="HideTWBExt"/>
          <w:b w:val="0"/>
        </w:rPr>
        <w:t>NumAm&gt;</w:t>
      </w:r>
      <w:r>
        <w:t>67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10 straipsnio 1 pastraipos 13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1307/2013</w:t>
      </w:r>
      <w:r>
        <w:rPr>
          <w:rStyle w:val="HideTWBExt"/>
          <w:lang w:val="pt-PT"/>
        </w:rPr>
        <w:t>&lt;/DocAmend2&gt;</w:t>
      </w:r>
    </w:p>
    <w:p w:rsidR="006D5E42" w:rsidRPr="008824D6" w:rsidRDefault="00D107CE" w:rsidP="006D5E42">
      <w:r>
        <w:rPr>
          <w:rStyle w:val="HideTWBExt"/>
          <w:lang w:val="fr-FR"/>
        </w:rPr>
        <w:t>&lt;Article2&gt;</w:t>
      </w:r>
      <w:r>
        <w:t>58 straipsnio 3 dalies 2 pastraipa</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 xml:space="preserve">Komisijos siūlomas </w:t>
            </w:r>
            <w:r>
              <w:t>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D107CE" w:rsidP="00587FE8">
            <w:pPr>
              <w:pStyle w:val="Normal6"/>
            </w:pPr>
            <w:r>
              <w:rPr>
                <w:szCs w:val="24"/>
              </w:rPr>
              <w:t xml:space="preserve">Specialiosios išmokos už reikalavimus atitinkančio ploto hektarą </w:t>
            </w:r>
            <w:r>
              <w:rPr>
                <w:b/>
                <w:i/>
                <w:szCs w:val="24"/>
              </w:rPr>
              <w:t>2021 m. suma</w:t>
            </w:r>
            <w:r>
              <w:rPr>
                <w:szCs w:val="24"/>
              </w:rPr>
              <w:t xml:space="preserve"> apskaičiuojama 2 dalyje nustatytą derlingumo dydį padauginant iš šių referencinių sumų:</w:t>
            </w:r>
          </w:p>
        </w:tc>
        <w:tc>
          <w:tcPr>
            <w:tcW w:w="4876" w:type="dxa"/>
          </w:tcPr>
          <w:p w:rsidR="006D5E42" w:rsidRPr="008824D6" w:rsidRDefault="00D107CE" w:rsidP="00587FE8">
            <w:pPr>
              <w:pStyle w:val="Normal6"/>
              <w:rPr>
                <w:b/>
                <w:i/>
              </w:rPr>
            </w:pPr>
            <w:r>
              <w:rPr>
                <w:szCs w:val="24"/>
              </w:rPr>
              <w:t xml:space="preserve">Specialiosios išmokos už reikalavimus atitinkančio ploto hektarą </w:t>
            </w:r>
            <w:r>
              <w:rPr>
                <w:b/>
                <w:i/>
                <w:szCs w:val="24"/>
              </w:rPr>
              <w:t>kiekv</w:t>
            </w:r>
            <w:r>
              <w:rPr>
                <w:b/>
                <w:i/>
                <w:szCs w:val="24"/>
              </w:rPr>
              <w:t>ienų pereinamojo laikotarpio metų</w:t>
            </w:r>
            <w:r>
              <w:rPr>
                <w:szCs w:val="24"/>
              </w:rPr>
              <w:t xml:space="preserve"> </w:t>
            </w:r>
            <w:r>
              <w:rPr>
                <w:b/>
                <w:i/>
                <w:szCs w:val="24"/>
              </w:rPr>
              <w:t xml:space="preserve">suma </w:t>
            </w:r>
            <w:r>
              <w:rPr>
                <w:szCs w:val="24"/>
              </w:rPr>
              <w:t xml:space="preserve"> apskaičiuojama 2 dalyje nustatytą derlingumo dydį padauginant iš šių referencinių sumų:</w:t>
            </w:r>
          </w:p>
        </w:tc>
      </w:tr>
      <w:tr w:rsidR="00BE5522" w:rsidTr="00587FE8">
        <w:trPr>
          <w:jc w:val="center"/>
        </w:trPr>
        <w:tc>
          <w:tcPr>
            <w:tcW w:w="4876" w:type="dxa"/>
          </w:tcPr>
          <w:p w:rsidR="006D5E42" w:rsidRPr="008824D6" w:rsidRDefault="00D107CE" w:rsidP="00587FE8">
            <w:pPr>
              <w:pStyle w:val="Normal6"/>
              <w:rPr>
                <w:b/>
                <w:i/>
              </w:rPr>
            </w:pPr>
            <w:r>
              <w:rPr>
                <w:szCs w:val="24"/>
              </w:rPr>
              <w:t xml:space="preserve">– Bulgarija – </w:t>
            </w:r>
            <w:r>
              <w:rPr>
                <w:b/>
                <w:i/>
                <w:szCs w:val="24"/>
              </w:rPr>
              <w:t xml:space="preserve">624,11 </w:t>
            </w:r>
            <w:r>
              <w:rPr>
                <w:szCs w:val="24"/>
              </w:rPr>
              <w:t>EUR,</w:t>
            </w:r>
          </w:p>
        </w:tc>
        <w:tc>
          <w:tcPr>
            <w:tcW w:w="4876" w:type="dxa"/>
            <w:hideMark/>
          </w:tcPr>
          <w:p w:rsidR="006D5E42" w:rsidRPr="008824D6" w:rsidRDefault="00D107CE" w:rsidP="00587FE8">
            <w:pPr>
              <w:pStyle w:val="Normal6"/>
              <w:rPr>
                <w:szCs w:val="24"/>
              </w:rPr>
            </w:pPr>
            <w:r>
              <w:t xml:space="preserve">– Bulgarija – </w:t>
            </w:r>
            <w:r>
              <w:rPr>
                <w:b/>
                <w:i/>
              </w:rPr>
              <w:t>XXX </w:t>
            </w:r>
            <w:r>
              <w:t>EUR,</w:t>
            </w:r>
          </w:p>
        </w:tc>
      </w:tr>
      <w:tr w:rsidR="00BE5522" w:rsidTr="00587FE8">
        <w:trPr>
          <w:jc w:val="center"/>
        </w:trPr>
        <w:tc>
          <w:tcPr>
            <w:tcW w:w="4876" w:type="dxa"/>
          </w:tcPr>
          <w:p w:rsidR="006D5E42" w:rsidRPr="008824D6" w:rsidRDefault="00D107CE" w:rsidP="00587FE8">
            <w:pPr>
              <w:pStyle w:val="Normal6"/>
              <w:rPr>
                <w:b/>
                <w:i/>
              </w:rPr>
            </w:pPr>
            <w:r>
              <w:rPr>
                <w:szCs w:val="24"/>
              </w:rPr>
              <w:t xml:space="preserve">– Graikija – </w:t>
            </w:r>
            <w:r>
              <w:rPr>
                <w:b/>
                <w:i/>
                <w:szCs w:val="24"/>
              </w:rPr>
              <w:t>225,04</w:t>
            </w:r>
            <w:r>
              <w:rPr>
                <w:szCs w:val="24"/>
              </w:rPr>
              <w:t xml:space="preserve"> EUR,</w:t>
            </w:r>
          </w:p>
        </w:tc>
        <w:tc>
          <w:tcPr>
            <w:tcW w:w="4876" w:type="dxa"/>
            <w:hideMark/>
          </w:tcPr>
          <w:p w:rsidR="006D5E42" w:rsidRPr="008824D6" w:rsidRDefault="00D107CE" w:rsidP="00587FE8">
            <w:pPr>
              <w:pStyle w:val="Normal6"/>
              <w:rPr>
                <w:szCs w:val="24"/>
              </w:rPr>
            </w:pPr>
            <w:r>
              <w:rPr>
                <w:szCs w:val="24"/>
              </w:rPr>
              <w:t xml:space="preserve">– Graikija – </w:t>
            </w:r>
            <w:r>
              <w:t xml:space="preserve"> </w:t>
            </w:r>
            <w:r>
              <w:rPr>
                <w:b/>
                <w:i/>
              </w:rPr>
              <w:t>XXX </w:t>
            </w:r>
            <w:r>
              <w:t>EUR,</w:t>
            </w:r>
          </w:p>
        </w:tc>
      </w:tr>
      <w:tr w:rsidR="00BE5522" w:rsidTr="00587FE8">
        <w:trPr>
          <w:jc w:val="center"/>
        </w:trPr>
        <w:tc>
          <w:tcPr>
            <w:tcW w:w="4876" w:type="dxa"/>
          </w:tcPr>
          <w:p w:rsidR="006D5E42" w:rsidRPr="008824D6" w:rsidRDefault="00D107CE" w:rsidP="00587FE8">
            <w:pPr>
              <w:pStyle w:val="Normal6"/>
              <w:rPr>
                <w:b/>
                <w:i/>
              </w:rPr>
            </w:pPr>
            <w:r>
              <w:rPr>
                <w:szCs w:val="24"/>
              </w:rPr>
              <w:t xml:space="preserve">– Ispanija – </w:t>
            </w:r>
            <w:r>
              <w:rPr>
                <w:b/>
                <w:i/>
                <w:szCs w:val="24"/>
              </w:rPr>
              <w:t>348,03</w:t>
            </w:r>
            <w:r>
              <w:rPr>
                <w:szCs w:val="24"/>
              </w:rPr>
              <w:t xml:space="preserve"> EUR,</w:t>
            </w:r>
          </w:p>
        </w:tc>
        <w:tc>
          <w:tcPr>
            <w:tcW w:w="4876" w:type="dxa"/>
            <w:hideMark/>
          </w:tcPr>
          <w:p w:rsidR="006D5E42" w:rsidRPr="008824D6" w:rsidRDefault="00D107CE" w:rsidP="00587FE8">
            <w:pPr>
              <w:pStyle w:val="Normal6"/>
              <w:rPr>
                <w:szCs w:val="24"/>
              </w:rPr>
            </w:pPr>
            <w:r>
              <w:rPr>
                <w:szCs w:val="24"/>
              </w:rPr>
              <w:t xml:space="preserve">– Ispanija – </w:t>
            </w:r>
            <w:r>
              <w:t xml:space="preserve"> </w:t>
            </w:r>
            <w:r>
              <w:rPr>
                <w:b/>
                <w:i/>
              </w:rPr>
              <w:t>XXX </w:t>
            </w:r>
            <w:r>
              <w:t>EUR,</w:t>
            </w:r>
          </w:p>
        </w:tc>
      </w:tr>
      <w:tr w:rsidR="00BE5522" w:rsidTr="00587FE8">
        <w:trPr>
          <w:jc w:val="center"/>
        </w:trPr>
        <w:tc>
          <w:tcPr>
            <w:tcW w:w="4876" w:type="dxa"/>
          </w:tcPr>
          <w:p w:rsidR="006D5E42" w:rsidRPr="008824D6" w:rsidRDefault="00D107CE" w:rsidP="00587FE8">
            <w:pPr>
              <w:pStyle w:val="Normal6"/>
              <w:rPr>
                <w:b/>
                <w:i/>
              </w:rPr>
            </w:pPr>
            <w:r>
              <w:rPr>
                <w:szCs w:val="24"/>
              </w:rPr>
              <w:t xml:space="preserve">– Portugalija – </w:t>
            </w:r>
            <w:r>
              <w:rPr>
                <w:b/>
                <w:i/>
                <w:szCs w:val="24"/>
              </w:rPr>
              <w:t>219,09</w:t>
            </w:r>
            <w:r>
              <w:rPr>
                <w:szCs w:val="24"/>
              </w:rPr>
              <w:t xml:space="preserve"> EUR.</w:t>
            </w:r>
          </w:p>
        </w:tc>
        <w:tc>
          <w:tcPr>
            <w:tcW w:w="4876" w:type="dxa"/>
            <w:hideMark/>
          </w:tcPr>
          <w:p w:rsidR="006D5E42" w:rsidRPr="008824D6" w:rsidRDefault="00D107CE" w:rsidP="00587FE8">
            <w:pPr>
              <w:pStyle w:val="Normal6"/>
              <w:rPr>
                <w:szCs w:val="24"/>
              </w:rPr>
            </w:pPr>
            <w:r>
              <w:rPr>
                <w:szCs w:val="24"/>
              </w:rPr>
              <w:t xml:space="preserve">– Portugalija – </w:t>
            </w:r>
            <w:r>
              <w:t xml:space="preserve"> </w:t>
            </w:r>
            <w:r>
              <w:rPr>
                <w:b/>
                <w:i/>
              </w:rPr>
              <w:t>XXX </w:t>
            </w:r>
            <w:r>
              <w:t>EUR.</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68</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11 straipsnio antraštinė dalis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iCs/>
                <w:szCs w:val="24"/>
              </w:rPr>
              <w:t>Reglamento (ES) Nr. 1308/2013 daliniai pakeitimai</w:t>
            </w:r>
          </w:p>
        </w:tc>
        <w:tc>
          <w:tcPr>
            <w:tcW w:w="4876" w:type="dxa"/>
            <w:hideMark/>
          </w:tcPr>
          <w:p w:rsidR="006D5E42" w:rsidRPr="008824D6" w:rsidRDefault="00D107CE" w:rsidP="00587FE8">
            <w:pPr>
              <w:pStyle w:val="Normal6"/>
              <w:rPr>
                <w:szCs w:val="24"/>
              </w:rPr>
            </w:pPr>
            <w:r>
              <w:rPr>
                <w:iCs/>
                <w:szCs w:val="24"/>
              </w:rPr>
              <w:t>Reglamento (ES) Nr. 1308/2013 daliniai pakeitimai</w:t>
            </w:r>
            <w:r>
              <w:rPr>
                <w:b/>
                <w:i/>
                <w:iCs/>
                <w:szCs w:val="24"/>
                <w:vertAlign w:val="superscript"/>
              </w:rPr>
              <w:t>1a</w:t>
            </w:r>
          </w:p>
        </w:tc>
      </w:tr>
      <w:tr w:rsidR="00BE5522" w:rsidTr="00587FE8">
        <w:trPr>
          <w:jc w:val="center"/>
        </w:trPr>
        <w:tc>
          <w:tcPr>
            <w:tcW w:w="4876" w:type="dxa"/>
          </w:tcPr>
          <w:p w:rsidR="006D5E42" w:rsidRPr="008824D6" w:rsidRDefault="006D5E42" w:rsidP="00587FE8">
            <w:pPr>
              <w:pStyle w:val="Normal6"/>
              <w:rPr>
                <w:iCs/>
                <w:szCs w:val="24"/>
                <w:lang w:val="en-GB"/>
              </w:rPr>
            </w:pPr>
          </w:p>
        </w:tc>
        <w:tc>
          <w:tcPr>
            <w:tcW w:w="4876" w:type="dxa"/>
          </w:tcPr>
          <w:p w:rsidR="006D5E42" w:rsidRPr="008824D6" w:rsidRDefault="00D107CE" w:rsidP="00587FE8">
            <w:pPr>
              <w:pStyle w:val="Normal6"/>
              <w:rPr>
                <w:iCs/>
                <w:szCs w:val="24"/>
              </w:rPr>
            </w:pPr>
            <w:r>
              <w:rPr>
                <w:b/>
                <w:i/>
              </w:rPr>
              <w:t>___________________</w:t>
            </w:r>
          </w:p>
        </w:tc>
      </w:tr>
      <w:tr w:rsidR="00BE5522" w:rsidTr="00587FE8">
        <w:trPr>
          <w:jc w:val="center"/>
        </w:trPr>
        <w:tc>
          <w:tcPr>
            <w:tcW w:w="4876" w:type="dxa"/>
          </w:tcPr>
          <w:p w:rsidR="006D5E42" w:rsidRPr="008824D6" w:rsidRDefault="006D5E42" w:rsidP="00587FE8">
            <w:pPr>
              <w:pStyle w:val="Default"/>
            </w:pPr>
          </w:p>
        </w:tc>
        <w:tc>
          <w:tcPr>
            <w:tcW w:w="4876" w:type="dxa"/>
          </w:tcPr>
          <w:p w:rsidR="006D5E42" w:rsidRPr="008824D6" w:rsidRDefault="00D107CE" w:rsidP="00587FE8">
            <w:pPr>
              <w:pStyle w:val="Normal6"/>
              <w:rPr>
                <w:i/>
                <w:iCs/>
                <w:szCs w:val="24"/>
              </w:rPr>
            </w:pPr>
            <w:r>
              <w:rPr>
                <w:b/>
                <w:i/>
                <w:szCs w:val="24"/>
                <w:vertAlign w:val="superscript"/>
              </w:rPr>
              <w:t>1A</w:t>
            </w:r>
            <w:r>
              <w:rPr>
                <w:b/>
                <w:i/>
              </w:rPr>
              <w:t xml:space="preserve"> Visi skaičiai bus atnaujinti atsižvelgiant į EP poziciją dėl DFP. 2018 m. lapkričio 14 d. Europos Parlamento rezoliucijoje „2021–2027 m. daugiametė finansinė programa. Parlamento pozicija siekiant susitarimo“ (P8_TA(2018)0449) Europos Parlamentas pristato</w:t>
            </w:r>
            <w:r>
              <w:rPr>
                <w:b/>
                <w:i/>
              </w:rPr>
              <w:t xml:space="preserve"> savo poziciją – 27 ES valstybių narių bendros žemės ūkio politikos finansavimą realiąja verte išlaikyti tokio lygio, koks buvo 2014–2020 m. biudžete (kartu į biudžetą įtraukiant pradinę žemės ūkio rezervo sumą), t. y. 383 255 mln. EUR 2018 m. kainomis (43</w:t>
            </w:r>
            <w:r>
              <w:rPr>
                <w:b/>
                <w:i/>
              </w:rPr>
              <w:t>1 946 mln. EUR dabartinėmis kainomis).</w:t>
            </w:r>
            <w:r>
              <w:rPr>
                <w:b/>
                <w:bCs/>
                <w:i/>
                <w:iCs/>
              </w:rPr>
              <w:t xml:space="preserve"> Todėl sumos, dėl kurių reikia susitarti šiame reglamente, turėtų būti apskaičiuojamos remiantis sumomis, dėl kurių susitarta 2021–2027 m. DFP, arba, jei dokumentas nebus priimtas laiku, remiantis 2020 m. pratęstomis v</w:t>
            </w:r>
            <w:r>
              <w:rPr>
                <w:b/>
                <w:bCs/>
                <w:i/>
                <w:iCs/>
              </w:rPr>
              <w:t>iršutinėmis ribomis ir nuostatomis pagal SESV 312 straipsnio 4 dalį.</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69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11 straipsnio 1 pastraipos 1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1308/</w:t>
      </w:r>
      <w:r>
        <w:t>2013</w:t>
      </w:r>
      <w:r>
        <w:rPr>
          <w:rStyle w:val="HideTWBExt"/>
          <w:lang w:val="pt-PT"/>
        </w:rPr>
        <w:t>&lt;/DocAmend2&gt;</w:t>
      </w:r>
    </w:p>
    <w:p w:rsidR="006D5E42" w:rsidRPr="008824D6" w:rsidRDefault="00D107CE" w:rsidP="006D5E42">
      <w:r>
        <w:rPr>
          <w:rStyle w:val="HideTWBExt"/>
          <w:lang w:val="fr-FR"/>
        </w:rPr>
        <w:t>&lt;Article2&gt;</w:t>
      </w:r>
      <w:r>
        <w:t>29 straipsnio 2 dalies 2 pastraipos a punktas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w:t>
            </w:r>
            <w:r>
              <w:tab/>
            </w:r>
            <w:r>
              <w:rPr>
                <w:b/>
                <w:i/>
              </w:rPr>
              <w:t>10 666 000</w:t>
            </w:r>
            <w:r>
              <w:t xml:space="preserve"> EUR Graikijai;</w:t>
            </w:r>
          </w:p>
        </w:tc>
        <w:tc>
          <w:tcPr>
            <w:tcW w:w="4876" w:type="dxa"/>
            <w:hideMark/>
          </w:tcPr>
          <w:p w:rsidR="006D5E42" w:rsidRPr="008824D6" w:rsidRDefault="00D107CE" w:rsidP="00587FE8">
            <w:pPr>
              <w:pStyle w:val="Normal6"/>
              <w:rPr>
                <w:szCs w:val="24"/>
              </w:rPr>
            </w:pPr>
            <w:r>
              <w:t>a)</w:t>
            </w:r>
            <w:r>
              <w:tab/>
            </w:r>
            <w:r>
              <w:rPr>
                <w:b/>
                <w:i/>
              </w:rPr>
              <w:t>XXX </w:t>
            </w:r>
            <w:r>
              <w:t>EUR Graikijai;</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70</w:t>
      </w:r>
      <w:r>
        <w:rPr>
          <w:rStyle w:val="HideTWBExt"/>
          <w:b w:val="0"/>
        </w:rPr>
        <w:t>&lt;/NumAm&gt;</w:t>
      </w:r>
    </w:p>
    <w:p w:rsidR="006D5E42" w:rsidRPr="008824D6" w:rsidRDefault="00D107CE" w:rsidP="006D5E42">
      <w:pPr>
        <w:pStyle w:val="NormalBold12b"/>
      </w:pPr>
      <w:r>
        <w:rPr>
          <w:rStyle w:val="HideTWBExt"/>
          <w:b w:val="0"/>
        </w:rPr>
        <w:t>&lt;DocAmend&gt;</w:t>
      </w:r>
      <w:r>
        <w:t xml:space="preserve">Pasiūlymas dėl </w:t>
      </w:r>
      <w:r>
        <w:t>reglamento</w:t>
      </w:r>
      <w:r>
        <w:rPr>
          <w:rStyle w:val="HideTWBExt"/>
          <w:b w:val="0"/>
        </w:rPr>
        <w:t>&lt;/DocAmend&gt;</w:t>
      </w:r>
    </w:p>
    <w:p w:rsidR="006D5E42" w:rsidRPr="008824D6" w:rsidRDefault="00D107CE" w:rsidP="006D5E42">
      <w:pPr>
        <w:pStyle w:val="NormalBold"/>
      </w:pPr>
      <w:r>
        <w:rPr>
          <w:rStyle w:val="HideTWBExt"/>
          <w:b w:val="0"/>
          <w:lang w:val="fr-FR"/>
        </w:rPr>
        <w:t>&lt;Article&gt;</w:t>
      </w:r>
      <w:r>
        <w:t>11 straipsnio 1 pastraipos 1 punktas</w:t>
      </w:r>
      <w:r>
        <w:rPr>
          <w:rStyle w:val="HideTWBExt"/>
          <w:b w:val="0"/>
          <w:lang w:val="fr-FR"/>
        </w:rPr>
        <w:t>&lt;/Article&gt;</w:t>
      </w:r>
    </w:p>
    <w:p w:rsidR="006D5E42" w:rsidRPr="008824D6" w:rsidRDefault="00D107CE" w:rsidP="006D5E42">
      <w:pPr>
        <w:keepNext/>
      </w:pPr>
      <w:r>
        <w:rPr>
          <w:rStyle w:val="HideTWBExt"/>
          <w:lang w:val="pt-PT"/>
        </w:rPr>
        <w:lastRenderedPageBreak/>
        <w:t>&lt;DocAmend2&gt;</w:t>
      </w:r>
      <w:r>
        <w:t>Reglamentas (ES) Nr. 1308/2013</w:t>
      </w:r>
      <w:r>
        <w:rPr>
          <w:rStyle w:val="HideTWBExt"/>
          <w:lang w:val="pt-PT"/>
        </w:rPr>
        <w:t>&lt;/DocAmend2&gt;</w:t>
      </w:r>
    </w:p>
    <w:p w:rsidR="006D5E42" w:rsidRPr="008824D6" w:rsidRDefault="00D107CE" w:rsidP="006D5E42">
      <w:r>
        <w:rPr>
          <w:rStyle w:val="HideTWBExt"/>
          <w:lang w:val="fr-FR"/>
        </w:rPr>
        <w:t>&lt;Article2&gt;</w:t>
      </w:r>
      <w:r>
        <w:t>29 straipsnio 2 dalies 2 pastraipos b punktas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b)</w:t>
            </w:r>
            <w:r>
              <w:tab/>
            </w:r>
            <w:r>
              <w:rPr>
                <w:b/>
                <w:i/>
              </w:rPr>
              <w:t>554 000</w:t>
            </w:r>
            <w:r>
              <w:t xml:space="preserve"> EUR </w:t>
            </w:r>
            <w:r>
              <w:t>Prancūzijai;</w:t>
            </w:r>
          </w:p>
        </w:tc>
        <w:tc>
          <w:tcPr>
            <w:tcW w:w="4876" w:type="dxa"/>
            <w:hideMark/>
          </w:tcPr>
          <w:p w:rsidR="006D5E42" w:rsidRPr="008824D6" w:rsidRDefault="00D107CE" w:rsidP="00587FE8">
            <w:pPr>
              <w:pStyle w:val="Normal6"/>
              <w:rPr>
                <w:szCs w:val="24"/>
              </w:rPr>
            </w:pPr>
            <w:r>
              <w:t>b)</w:t>
            </w:r>
            <w:r>
              <w:tab/>
            </w:r>
            <w:r>
              <w:rPr>
                <w:b/>
                <w:i/>
              </w:rPr>
              <w:t>XXX</w:t>
            </w:r>
            <w:r>
              <w:t xml:space="preserve"> EUR Prancūzijai;</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71</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11 straipsnio 1 pastraipos 1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1308/2013</w:t>
      </w:r>
      <w:r>
        <w:rPr>
          <w:rStyle w:val="HideTWBExt"/>
          <w:lang w:val="pt-PT"/>
        </w:rPr>
        <w:t>&lt;/DocAmend2&gt;</w:t>
      </w:r>
    </w:p>
    <w:p w:rsidR="006D5E42" w:rsidRPr="008824D6" w:rsidRDefault="00D107CE" w:rsidP="006D5E42">
      <w:r>
        <w:rPr>
          <w:rStyle w:val="HideTWBExt"/>
          <w:lang w:val="fr-FR"/>
        </w:rPr>
        <w:t>&lt;Article2&gt;</w:t>
      </w:r>
      <w:r>
        <w:t>29 st</w:t>
      </w:r>
      <w:r>
        <w:t>raipsnio 2 dalies 2 pastraipos c punktas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c)</w:t>
            </w:r>
            <w:r>
              <w:tab/>
            </w:r>
            <w:r>
              <w:rPr>
                <w:b/>
                <w:i/>
              </w:rPr>
              <w:t>34 590 000</w:t>
            </w:r>
            <w:r>
              <w:t> EUR Italijai.</w:t>
            </w:r>
          </w:p>
        </w:tc>
        <w:tc>
          <w:tcPr>
            <w:tcW w:w="4876" w:type="dxa"/>
            <w:hideMark/>
          </w:tcPr>
          <w:p w:rsidR="006D5E42" w:rsidRPr="008824D6" w:rsidRDefault="00D107CE" w:rsidP="00587FE8">
            <w:pPr>
              <w:pStyle w:val="Normal6"/>
              <w:rPr>
                <w:szCs w:val="24"/>
              </w:rPr>
            </w:pPr>
            <w:r>
              <w:t>c)</w:t>
            </w:r>
            <w:r>
              <w:tab/>
            </w:r>
            <w:r>
              <w:rPr>
                <w:b/>
                <w:i/>
              </w:rPr>
              <w:t>XXX</w:t>
            </w:r>
            <w:r>
              <w:t> EUR Italijai.</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 xml:space="preserve">11 </w:t>
      </w:r>
      <w:r>
        <w:t>straipsnio 1 pastraipos 1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1308/2013</w:t>
      </w:r>
      <w:r>
        <w:rPr>
          <w:rStyle w:val="HideTWBExt"/>
          <w:lang w:val="pt-PT"/>
        </w:rPr>
        <w:t>&lt;/DocAmend2&gt;</w:t>
      </w:r>
    </w:p>
    <w:p w:rsidR="006D5E42" w:rsidRPr="008824D6" w:rsidRDefault="00D107CE" w:rsidP="006D5E42">
      <w:r>
        <w:rPr>
          <w:rStyle w:val="HideTWBExt"/>
          <w:lang w:val="fr-FR"/>
        </w:rPr>
        <w:t>&lt;Article2&gt;</w:t>
      </w:r>
      <w:r>
        <w:t>29 straipsnio 2 dalies 2 a pastraipa (nauja)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 xml:space="preserve">Jei tinkama, 1 dalyje nurodytoms darbo programoms </w:t>
            </w:r>
            <w:r>
              <w:rPr>
                <w:b/>
                <w:i/>
              </w:rPr>
              <w:t>2022 m. skiriamas finansavimas Sąjungos lėšomis yra:</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a) XXX EUR Graikijai;</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 xml:space="preserve">b) XXX EUR Prancūzijai ir </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hideMark/>
          </w:tcPr>
          <w:p w:rsidR="006D5E42" w:rsidRPr="008824D6" w:rsidRDefault="00D107CE" w:rsidP="00587FE8">
            <w:pPr>
              <w:pStyle w:val="Normal6"/>
              <w:rPr>
                <w:szCs w:val="24"/>
              </w:rPr>
            </w:pPr>
            <w:r>
              <w:rPr>
                <w:b/>
                <w:i/>
              </w:rPr>
              <w:t>c) XXX EUR Italijai.</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 xml:space="preserve">11 straipsnio 1 </w:t>
      </w:r>
      <w:r>
        <w:t>pastraipos 2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1308/2013</w:t>
      </w:r>
      <w:r>
        <w:rPr>
          <w:rStyle w:val="HideTWBExt"/>
          <w:lang w:val="pt-PT"/>
        </w:rPr>
        <w:t>&lt;/DocAmend2&gt;</w:t>
      </w:r>
    </w:p>
    <w:p w:rsidR="006D5E42" w:rsidRPr="008824D6" w:rsidRDefault="00D107CE" w:rsidP="006D5E42">
      <w:r>
        <w:rPr>
          <w:rStyle w:val="HideTWBExt"/>
          <w:lang w:val="fr-FR"/>
        </w:rPr>
        <w:t>&lt;Article2&gt;</w:t>
      </w:r>
      <w:r>
        <w:t>58 straipsnio 2 dalies 1 pastraipa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Sąjungos finansavimas, 2020 m. skiriamas </w:t>
            </w:r>
            <w:r>
              <w:lastRenderedPageBreak/>
              <w:t xml:space="preserve">pagalbai 1 dalyje numatytoms </w:t>
            </w:r>
            <w:r>
              <w:t>gamintojų organizacijoms Vokietijoje, yra</w:t>
            </w:r>
            <w:r>
              <w:rPr>
                <w:b/>
                <w:i/>
              </w:rPr>
              <w:t xml:space="preserve"> 2 277 000</w:t>
            </w:r>
            <w:r>
              <w:t> EUR.</w:t>
            </w:r>
          </w:p>
        </w:tc>
        <w:tc>
          <w:tcPr>
            <w:tcW w:w="4876" w:type="dxa"/>
            <w:hideMark/>
          </w:tcPr>
          <w:p w:rsidR="006D5E42" w:rsidRPr="008824D6" w:rsidRDefault="00D107CE" w:rsidP="00587FE8">
            <w:pPr>
              <w:pStyle w:val="Normal6"/>
              <w:rPr>
                <w:szCs w:val="24"/>
              </w:rPr>
            </w:pPr>
            <w:r>
              <w:lastRenderedPageBreak/>
              <w:t xml:space="preserve">Sąjungos finansavimas, 2020 m. skiriamas </w:t>
            </w:r>
            <w:r>
              <w:lastRenderedPageBreak/>
              <w:t xml:space="preserve">pagalbai 1 dalyje numatytoms gamintojų organizacijoms Vokietijoje, yra </w:t>
            </w:r>
            <w:r>
              <w:rPr>
                <w:b/>
                <w:i/>
              </w:rPr>
              <w:t>XXX </w:t>
            </w:r>
            <w:r>
              <w:t>EUR.</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74</w:t>
      </w:r>
      <w:r>
        <w:rPr>
          <w:rStyle w:val="HideTWBExt"/>
          <w:b w:val="0"/>
        </w:rPr>
        <w:t>&lt;/NumAm&gt;</w:t>
      </w:r>
    </w:p>
    <w:p w:rsidR="006D5E42" w:rsidRPr="008824D6" w:rsidRDefault="00D107CE" w:rsidP="006D5E42">
      <w:pPr>
        <w:pStyle w:val="NormalBold12b"/>
      </w:pPr>
      <w:r>
        <w:rPr>
          <w:rStyle w:val="HideTWBExt"/>
          <w:b w:val="0"/>
        </w:rPr>
        <w:t>&lt;DocAmend&gt;</w:t>
      </w:r>
      <w:r>
        <w:t>Pasiūlymas dėl reglam</w:t>
      </w:r>
      <w:r>
        <w:t>ento</w:t>
      </w:r>
      <w:r>
        <w:rPr>
          <w:rStyle w:val="HideTWBExt"/>
          <w:b w:val="0"/>
        </w:rPr>
        <w:t>&lt;/DocAmend&gt;</w:t>
      </w:r>
    </w:p>
    <w:p w:rsidR="006D5E42" w:rsidRPr="008824D6" w:rsidRDefault="00D107CE" w:rsidP="006D5E42">
      <w:pPr>
        <w:pStyle w:val="NormalBold"/>
      </w:pPr>
      <w:r>
        <w:rPr>
          <w:rStyle w:val="HideTWBExt"/>
          <w:b w:val="0"/>
          <w:lang w:val="fr-FR"/>
        </w:rPr>
        <w:t>&lt;Article&gt;</w:t>
      </w:r>
      <w:r>
        <w:t>11 straipsnio 1 pastraipos 2 a punktas (naujas)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1308/2013</w:t>
      </w:r>
      <w:r>
        <w:rPr>
          <w:rStyle w:val="HideTWBExt"/>
          <w:lang w:val="pt-PT"/>
        </w:rPr>
        <w:t>&lt;/DocAmend2&gt;</w:t>
      </w:r>
    </w:p>
    <w:p w:rsidR="006D5E42" w:rsidRPr="008824D6" w:rsidRDefault="00D107CE" w:rsidP="006D5E42">
      <w:r>
        <w:rPr>
          <w:rStyle w:val="HideTWBExt"/>
          <w:lang w:val="fr-FR"/>
        </w:rPr>
        <w:t>&lt;Article2&gt;</w:t>
      </w:r>
      <w:r>
        <w:t>214 straipsnio 1 a dalis (nauja)</w:t>
      </w:r>
      <w:r>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tcPr>
          <w:p w:rsidR="006D5E42" w:rsidRPr="008824D6" w:rsidRDefault="00D107CE" w:rsidP="00587FE8">
            <w:pPr>
              <w:pStyle w:val="ColumnHeading"/>
              <w:keepNext/>
            </w:pPr>
            <w:r>
              <w:t>Komisijos siūlomas tekstas</w:t>
            </w:r>
          </w:p>
        </w:tc>
        <w:tc>
          <w:tcPr>
            <w:tcW w:w="4876" w:type="dxa"/>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2a)</w:t>
            </w:r>
            <w:r>
              <w:rPr>
                <w:b/>
                <w:i/>
              </w:rPr>
              <w:tab/>
              <w:t xml:space="preserve">214 straipsnyje po </w:t>
            </w:r>
            <w:r>
              <w:rPr>
                <w:b/>
                <w:i/>
              </w:rPr>
              <w:t>pirmos pastraipos įterpiama ši pastraipa:</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„Nukrypdama nuo pirmos dalies nuostatų ir gavusi Komisijos leidimą, Suomija gali, vadovaudamasi šiuo straipsniu, pereinamuoju laikotarpiu, nurodytu Reglamento (ES) .../... [BŽŪP pereinamojo laikotarpio reglamenta</w:t>
            </w:r>
            <w:r>
              <w:rPr>
                <w:b/>
                <w:i/>
              </w:rPr>
              <w:t>s] -1 straipsnyje, toliau teikti nacionalinę pagalbą, kurią ji teikė gamintojams 2020 m.“;</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12 straipsnio antraštinė dalis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w:t>
            </w:r>
            <w:r>
              <w:t xml:space="preserve">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iCs/>
                <w:szCs w:val="24"/>
              </w:rPr>
              <w:t>Reglamento (ES) Nr. 228/2013 daliniai pakeitimai</w:t>
            </w:r>
          </w:p>
        </w:tc>
        <w:tc>
          <w:tcPr>
            <w:tcW w:w="4876" w:type="dxa"/>
            <w:hideMark/>
          </w:tcPr>
          <w:p w:rsidR="006D5E42" w:rsidRPr="008824D6" w:rsidRDefault="00D107CE" w:rsidP="00587FE8">
            <w:pPr>
              <w:pStyle w:val="Normal6"/>
              <w:rPr>
                <w:szCs w:val="24"/>
              </w:rPr>
            </w:pPr>
            <w:r>
              <w:rPr>
                <w:iCs/>
                <w:szCs w:val="24"/>
              </w:rPr>
              <w:t>Reglamento (ES) Nr. 228/2013 daliniai pakeitimai</w:t>
            </w:r>
            <w:r>
              <w:rPr>
                <w:b/>
                <w:i/>
                <w:iCs/>
                <w:szCs w:val="24"/>
                <w:vertAlign w:val="superscript"/>
              </w:rPr>
              <w:t>1a</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rPr>
              <w:t>___________________</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szCs w:val="24"/>
                <w:vertAlign w:val="superscript"/>
              </w:rPr>
              <w:t>1a</w:t>
            </w:r>
            <w:r>
              <w:rPr>
                <w:b/>
                <w:i/>
                <w:szCs w:val="24"/>
              </w:rPr>
              <w:t xml:space="preserve">Visi skaičiai bus atnaujinti atsižvelgiant į EP poziciją dėl DFP. </w:t>
            </w:r>
            <w:r>
              <w:rPr>
                <w:b/>
                <w:bCs/>
                <w:i/>
                <w:iCs/>
              </w:rPr>
              <w:t xml:space="preserve">2018 m. lapkričio 14 d. Europos Parlamento </w:t>
            </w:r>
            <w:r>
              <w:rPr>
                <w:b/>
                <w:bCs/>
                <w:i/>
                <w:iCs/>
              </w:rPr>
              <w:t xml:space="preserve">rezoliucijoje „2021–2027 m. daugiametė finansinė programa. Parlamento pozicija siekiant susitarimo“ (P8_TA(2018)0449) Europos Parlamentas pristato savo poziciją – 27 ES valstybių narių bendros žemės ūkio politikos finansavimą realiąja verte </w:t>
            </w:r>
            <w:r>
              <w:rPr>
                <w:b/>
                <w:bCs/>
                <w:i/>
                <w:iCs/>
              </w:rPr>
              <w:lastRenderedPageBreak/>
              <w:t>išlaikyti tokio</w:t>
            </w:r>
            <w:r>
              <w:rPr>
                <w:b/>
                <w:bCs/>
                <w:i/>
                <w:iCs/>
              </w:rPr>
              <w:t xml:space="preserve"> lygio, koks buvo 2014–2020 m. biudžete (kartu į biudžetą įtraukiant pradinę žemės ūkio rezervo sumą), t. y. 383 255 mln. EUR 2018 m. kainomis (431 946 mln. EUR dabartinėmis kainomis). Todėl sumos, dėl kurių reikia susitarti šiame reglamente, turėtų būti a</w:t>
            </w:r>
            <w:r>
              <w:rPr>
                <w:b/>
                <w:bCs/>
                <w:i/>
                <w:iCs/>
              </w:rPr>
              <w:t>pskaičiuojamos remiantis sumomis, dėl kurių susitarta 2021–2027 m. DFP, arba, jei dokumentas nebus priimtas laiku, remiantis 2020 m. pratęstomis viršutinėmis ribomis ir nuostatomis pagal SESV 312 straipsnio 4 dalį.</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76</w:t>
      </w:r>
      <w:r>
        <w:rPr>
          <w:rStyle w:val="HideTWBExt"/>
          <w:b w:val="0"/>
        </w:rPr>
        <w:t>&lt;/N</w:t>
      </w:r>
      <w:r>
        <w:rPr>
          <w:rStyle w:val="HideTWBExt"/>
          <w:b w:val="0"/>
        </w:rPr>
        <w:t>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12 straipsnio -1 pastraipa (nauja)</w:t>
      </w:r>
      <w:r>
        <w:rPr>
          <w:rStyle w:val="HideTWBExt"/>
          <w:b w:val="0"/>
          <w:lang w:val="fr-FR"/>
        </w:rPr>
        <w:t>&lt;/Article&gt;</w:t>
      </w:r>
    </w:p>
    <w:p w:rsidR="006D5E42" w:rsidRPr="008824D6" w:rsidRDefault="00D107CE" w:rsidP="006D5E42">
      <w:pPr>
        <w:keepNext/>
      </w:pPr>
      <w:r>
        <w:rPr>
          <w:rStyle w:val="HideTWBExt"/>
          <w:lang w:val="pt-PT"/>
        </w:rPr>
        <w:t>&lt;DocAmend2&gt;</w:t>
      </w:r>
      <w:r>
        <w:t>Reglamentas (ES) Nr. 228/2013</w:t>
      </w:r>
      <w:r>
        <w:rPr>
          <w:rStyle w:val="HideTWBExt"/>
          <w:lang w:val="pt-PT"/>
        </w:rPr>
        <w:t>&lt;/DocAmend2&gt;</w:t>
      </w:r>
    </w:p>
    <w:p w:rsidR="006D5E42" w:rsidRPr="008824D6" w:rsidRDefault="00D107CE" w:rsidP="006D5E42">
      <w:r>
        <w:rPr>
          <w:rStyle w:val="HideTWBExt"/>
          <w:lang w:val="fr-FR"/>
        </w:rPr>
        <w:t>&lt;Article2&gt;</w:t>
      </w:r>
      <w:r>
        <w:t>22 a straipsnis (naujas)</w:t>
      </w:r>
      <w:r>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tcPr>
          <w:p w:rsidR="006D5E42" w:rsidRPr="008824D6" w:rsidRDefault="00D107CE" w:rsidP="00587FE8">
            <w:pPr>
              <w:pStyle w:val="ColumnHeading"/>
              <w:keepNext/>
            </w:pPr>
            <w:r>
              <w:t>Komisijos siūlomas tekstas</w:t>
            </w:r>
          </w:p>
        </w:tc>
        <w:tc>
          <w:tcPr>
            <w:tcW w:w="4876" w:type="dxa"/>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 xml:space="preserve">Po 22 </w:t>
            </w:r>
            <w:r>
              <w:rPr>
                <w:b/>
                <w:i/>
              </w:rPr>
              <w:t>straipsnio įrašomas šis straipsnis: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jc w:val="center"/>
              <w:rPr>
                <w:szCs w:val="24"/>
              </w:rPr>
            </w:pPr>
            <w:r>
              <w:rPr>
                <w:b/>
                <w:i/>
              </w:rPr>
              <w:t xml:space="preserve">22a straipsnis </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jc w:val="center"/>
              <w:rPr>
                <w:b/>
                <w:i/>
              </w:rPr>
            </w:pPr>
            <w:r>
              <w:rPr>
                <w:b/>
                <w:i/>
              </w:rPr>
              <w:t>Tarpšakinės organizacijos</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1. Nenukrypstant nuo Reglamento (ES) Nr. 1308/2013 164 ir 165 straipsnių, kai pagal Reglamento (ES) Nr. 1308/2013 157 straipsnį pripažinta atokiausiame regione veikianti ta</w:t>
            </w:r>
            <w:r>
              <w:rPr>
                <w:b/>
                <w:i/>
              </w:rPr>
              <w:t>rpšakinė organizacija yra laikoma atstovaujamąja tam tikro produkto gamybai, prekybai juo arba jo perdirbimui regione, atitinkama valstybė narė gali tos organizacijos prašymu vienų metų laikotarpiui, kurį galima pratęsti, nustatyti, kad susitarimai, sprend</w:t>
            </w:r>
            <w:r>
              <w:rPr>
                <w:b/>
                <w:i/>
              </w:rPr>
              <w:t>imai ar suderinti veiksmai, dėl kurių susitarta toje organizacijoje, būtų privalomi kitiems atitinkamame atokiausiame regione atskirai ar grupėmis veikiantiems veiklos vykdytojams, kurie tai organizacijai nepriklauso.</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 xml:space="preserve">2. Jei pripažintos tarpšakinės </w:t>
            </w:r>
            <w:r>
              <w:rPr>
                <w:b/>
                <w:i/>
              </w:rPr>
              <w:lastRenderedPageBreak/>
              <w:t>organ</w:t>
            </w:r>
            <w:r>
              <w:rPr>
                <w:b/>
                <w:i/>
              </w:rPr>
              <w:t xml:space="preserve">izacijos taisyklių taikymo sritis išplečiama pagal 1 dalį, o veikla, kuriai taikomos tos taisyklės, atitinka ekonominės veiklos vykdytojų, kurių veikla susijusi tik su to paties atokaus regiono vietos rinkai skirtais produktais, bendrą ekonominį interesą, </w:t>
            </w:r>
            <w:r>
              <w:rPr>
                <w:b/>
                <w:i/>
              </w:rPr>
              <w:t>valstybė narė, pasikonsultavusi su atitinkamais suinteresuotaisiais subjektais, gali nuspręsti, kad tai organizacijai nepriklausantys, bet toje rinkoje veikiantys atskiri ekonominės veiklos vykdytojai ar jų grupės mokėtų organizacijai visus jos narių mokam</w:t>
            </w:r>
            <w:r>
              <w:rPr>
                <w:b/>
                <w:i/>
              </w:rPr>
              <w:t>us finansinius įnašus arba jų dalį tiek, kiek tokie įnašai yra skirti vykdant tą veiklą tiesiogiai patirtoms išlaidoms padengti.</w:t>
            </w:r>
          </w:p>
        </w:tc>
      </w:tr>
      <w:tr w:rsidR="00BE5522" w:rsidTr="00587FE8">
        <w:trPr>
          <w:jc w:val="center"/>
        </w:trPr>
        <w:tc>
          <w:tcPr>
            <w:tcW w:w="4876" w:type="dxa"/>
          </w:tcPr>
          <w:p w:rsidR="006D5E42" w:rsidRPr="008824D6" w:rsidRDefault="006D5E42" w:rsidP="00587FE8">
            <w:pPr>
              <w:pStyle w:val="Normal6"/>
              <w:rPr>
                <w:lang w:val="en-GB"/>
              </w:rPr>
            </w:pPr>
          </w:p>
        </w:tc>
        <w:tc>
          <w:tcPr>
            <w:tcW w:w="4876" w:type="dxa"/>
          </w:tcPr>
          <w:p w:rsidR="006D5E42" w:rsidRPr="008824D6" w:rsidRDefault="00D107CE" w:rsidP="00587FE8">
            <w:pPr>
              <w:pStyle w:val="Normal6"/>
              <w:rPr>
                <w:szCs w:val="24"/>
              </w:rPr>
            </w:pPr>
            <w:r>
              <w:rPr>
                <w:b/>
                <w:i/>
              </w:rPr>
              <w:t>3. Atitinkama valstybė narė informuoja Komisiją apie visus susitarimus, kurių taikymo sritis buvo išplėsta, kaip numatyta pag</w:t>
            </w:r>
            <w:r>
              <w:rPr>
                <w:b/>
                <w:i/>
              </w:rPr>
              <w:t>al šį straipsnį.</w:t>
            </w:r>
          </w:p>
        </w:tc>
      </w:tr>
    </w:tbl>
    <w:p w:rsidR="006D5E42" w:rsidRPr="008824D6" w:rsidRDefault="00D107CE" w:rsidP="006D5E42">
      <w:r>
        <w:rPr>
          <w:rStyle w:val="HideTWBExt"/>
        </w:rPr>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77</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12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30 straipsnio 2 dalies 1 įtrauka</w:t>
      </w:r>
      <w:r>
        <w:rPr>
          <w:rStyle w:val="HideTWBExt"/>
          <w:lang w:val="fr-FR"/>
        </w:rPr>
        <w:t>&lt;</w:t>
      </w:r>
      <w:r>
        <w:rPr>
          <w:rStyle w:val="HideTWBExt"/>
          <w:lang w:val="fr-FR"/>
        </w:rPr>
        <w: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Prancūzijos užjūrio departamentai: </w:t>
            </w:r>
            <w:r>
              <w:rPr>
                <w:b/>
                <w:i/>
              </w:rPr>
              <w:t>267</w:t>
            </w:r>
            <w:r>
              <w:t> </w:t>
            </w:r>
            <w:r>
              <w:rPr>
                <w:b/>
                <w:i/>
              </w:rPr>
              <w:t>580 000</w:t>
            </w:r>
            <w:r>
              <w:t> EUR,</w:t>
            </w:r>
          </w:p>
        </w:tc>
        <w:tc>
          <w:tcPr>
            <w:tcW w:w="4876" w:type="dxa"/>
            <w:hideMark/>
          </w:tcPr>
          <w:p w:rsidR="006D5E42" w:rsidRPr="008824D6" w:rsidRDefault="00D107CE" w:rsidP="00587FE8">
            <w:pPr>
              <w:pStyle w:val="Normal6"/>
              <w:rPr>
                <w:szCs w:val="24"/>
              </w:rPr>
            </w:pPr>
            <w:r>
              <w:t>—</w:t>
            </w:r>
            <w:r>
              <w:tab/>
              <w:t xml:space="preserve">Prancūzijos užjūrio departamentai: </w:t>
            </w:r>
            <w:r>
              <w:rPr>
                <w:b/>
                <w:i/>
              </w:rPr>
              <w:t>278</w:t>
            </w:r>
            <w:r>
              <w:t> </w:t>
            </w:r>
            <w:r>
              <w:rPr>
                <w:b/>
                <w:i/>
              </w:rPr>
              <w:t>410 000</w:t>
            </w:r>
            <w:r>
              <w:t> EUR,</w:t>
            </w:r>
          </w:p>
        </w:tc>
      </w:tr>
    </w:tbl>
    <w:p w:rsidR="006D5E42" w:rsidRPr="008824D6" w:rsidRDefault="00D107CE" w:rsidP="006D5E42">
      <w:r>
        <w:rPr>
          <w:rStyle w:val="HideTWBExt"/>
        </w:rPr>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78</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w:t>
      </w:r>
      <w:r>
        <w:rPr>
          <w:rStyle w:val="HideTWBExt"/>
          <w:b w:val="0"/>
          <w:lang w:val="fr-FR"/>
        </w:rPr>
        <w:t>Article&gt;</w:t>
      </w:r>
      <w:r>
        <w:t>12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30 straipsnio 2 dalies 2 įtrauka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Azorų ir Madeiros salos: </w:t>
            </w:r>
            <w:r>
              <w:rPr>
                <w:b/>
                <w:i/>
              </w:rPr>
              <w:t>102 080 000</w:t>
            </w:r>
            <w:r>
              <w:t xml:space="preserve"> EUR,</w:t>
            </w:r>
          </w:p>
        </w:tc>
        <w:tc>
          <w:tcPr>
            <w:tcW w:w="4876" w:type="dxa"/>
            <w:hideMark/>
          </w:tcPr>
          <w:p w:rsidR="006D5E42" w:rsidRPr="008824D6" w:rsidRDefault="00D107CE" w:rsidP="00587FE8">
            <w:pPr>
              <w:pStyle w:val="Normal6"/>
              <w:rPr>
                <w:szCs w:val="24"/>
              </w:rPr>
            </w:pPr>
            <w:r>
              <w:t>—</w:t>
            </w:r>
            <w:r>
              <w:tab/>
            </w:r>
            <w:r>
              <w:t xml:space="preserve">Azorų ir Madeiros salos: </w:t>
            </w:r>
            <w:r>
              <w:rPr>
                <w:b/>
                <w:i/>
              </w:rPr>
              <w:t>106 210 000</w:t>
            </w:r>
            <w:r>
              <w:t xml:space="preserve"> EUR,</w:t>
            </w:r>
          </w:p>
        </w:tc>
      </w:tr>
    </w:tbl>
    <w:p w:rsidR="006D5E42" w:rsidRPr="008824D6" w:rsidRDefault="00D107CE" w:rsidP="006D5E42">
      <w:r>
        <w:rPr>
          <w:rStyle w:val="HideTWBExt"/>
        </w:rPr>
        <w:lastRenderedPageBreak/>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79</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12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 xml:space="preserve">30 </w:t>
      </w:r>
      <w:r>
        <w:t>straipsnio 2 dalies 3 įtrauka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Kanarų salos: </w:t>
            </w:r>
            <w:r>
              <w:rPr>
                <w:b/>
                <w:i/>
              </w:rPr>
              <w:t>257 970 000</w:t>
            </w:r>
            <w:r>
              <w:t> EUR.</w:t>
            </w:r>
          </w:p>
        </w:tc>
        <w:tc>
          <w:tcPr>
            <w:tcW w:w="4876" w:type="dxa"/>
            <w:hideMark/>
          </w:tcPr>
          <w:p w:rsidR="006D5E42" w:rsidRPr="008824D6" w:rsidRDefault="00D107CE" w:rsidP="00587FE8">
            <w:pPr>
              <w:pStyle w:val="Normal6"/>
              <w:rPr>
                <w:szCs w:val="24"/>
              </w:rPr>
            </w:pPr>
            <w:r>
              <w:t>—</w:t>
            </w:r>
            <w:r>
              <w:tab/>
              <w:t xml:space="preserve">Kanarų salos: </w:t>
            </w:r>
            <w:r>
              <w:rPr>
                <w:b/>
                <w:i/>
              </w:rPr>
              <w:t>268 420 000</w:t>
            </w:r>
            <w:r>
              <w:t> EUR.</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 xml:space="preserve">12 </w:t>
      </w:r>
      <w:r>
        <w:t>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30 straipsnio 3 dalies 1 pastraipos 1 įtrauka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Prancūzijos užjūrio departamentai: </w:t>
            </w:r>
            <w:r>
              <w:rPr>
                <w:b/>
                <w:i/>
              </w:rPr>
              <w:t>25 900 000</w:t>
            </w:r>
            <w:r>
              <w:t xml:space="preserve"> EUR,</w:t>
            </w:r>
          </w:p>
        </w:tc>
        <w:tc>
          <w:tcPr>
            <w:tcW w:w="4876" w:type="dxa"/>
            <w:hideMark/>
          </w:tcPr>
          <w:p w:rsidR="006D5E42" w:rsidRPr="008824D6" w:rsidRDefault="00D107CE" w:rsidP="00587FE8">
            <w:pPr>
              <w:pStyle w:val="Normal6"/>
              <w:rPr>
                <w:szCs w:val="24"/>
              </w:rPr>
            </w:pPr>
            <w:r>
              <w:t>–</w:t>
            </w:r>
            <w:r>
              <w:tab/>
            </w:r>
            <w:r>
              <w:t xml:space="preserve">Prancūzijos užjūrio departamentai: </w:t>
            </w:r>
            <w:r>
              <w:rPr>
                <w:b/>
                <w:i/>
              </w:rPr>
              <w:t>35 000 000</w:t>
            </w:r>
            <w:r>
              <w:t> EUR,</w:t>
            </w:r>
          </w:p>
        </w:tc>
      </w:tr>
    </w:tbl>
    <w:p w:rsidR="006D5E42" w:rsidRPr="008824D6" w:rsidRDefault="00D107CE" w:rsidP="006D5E42">
      <w:r>
        <w:rPr>
          <w:rStyle w:val="HideTWBExt"/>
        </w:rPr>
        <w:t>&lt;/Amend&gt;</w:t>
      </w:r>
    </w:p>
    <w:p w:rsidR="006D5E42" w:rsidRPr="008824D6" w:rsidRDefault="00D107CE" w:rsidP="006D5E42">
      <w:pPr>
        <w:pStyle w:val="AMNumberTabs0"/>
        <w:keepNext/>
      </w:pPr>
      <w:r>
        <w:rPr>
          <w:rStyle w:val="HideTWBExt"/>
          <w:b w:val="0"/>
          <w:lang w:val="en-GB"/>
        </w:rPr>
        <w:t>&lt;Amend&gt;</w:t>
      </w:r>
      <w:r>
        <w:t>Pakeitimas</w:t>
      </w:r>
      <w:r>
        <w:tab/>
      </w:r>
      <w:r>
        <w:tab/>
      </w:r>
      <w:r>
        <w:rPr>
          <w:rStyle w:val="HideTWBExt"/>
          <w:b w:val="0"/>
          <w:lang w:val="en-GB"/>
        </w:rPr>
        <w:t>&lt;NumAm&gt;</w:t>
      </w:r>
      <w:r>
        <w:t>81</w:t>
      </w:r>
      <w:r>
        <w:rPr>
          <w:rStyle w:val="HideTWBExt"/>
          <w:b w:val="0"/>
          <w:lang w:val="en-GB"/>
        </w:rPr>
        <w:t>&lt;/NumAm&gt;</w:t>
      </w:r>
    </w:p>
    <w:p w:rsidR="006D5E42" w:rsidRPr="008824D6" w:rsidRDefault="00D107CE" w:rsidP="006D5E42">
      <w:pPr>
        <w:pStyle w:val="NormalBold12b"/>
        <w:keepNext/>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12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 xml:space="preserve">30 </w:t>
      </w:r>
      <w:r>
        <w:t>straipsnio 3 dalies 2 įtrauka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Azorų ir Madeiros salos: </w:t>
            </w:r>
            <w:r>
              <w:rPr>
                <w:b/>
                <w:i/>
              </w:rPr>
              <w:t>20 400 000</w:t>
            </w:r>
            <w:r>
              <w:t> EUR,</w:t>
            </w:r>
          </w:p>
        </w:tc>
        <w:tc>
          <w:tcPr>
            <w:tcW w:w="4876" w:type="dxa"/>
            <w:hideMark/>
          </w:tcPr>
          <w:p w:rsidR="006D5E42" w:rsidRPr="008824D6" w:rsidRDefault="00D107CE" w:rsidP="00587FE8">
            <w:pPr>
              <w:pStyle w:val="Normal6"/>
              <w:rPr>
                <w:szCs w:val="24"/>
              </w:rPr>
            </w:pPr>
            <w:r>
              <w:t>—</w:t>
            </w:r>
            <w:r>
              <w:tab/>
              <w:t xml:space="preserve">Azorų ir Madeiros salos: </w:t>
            </w:r>
            <w:r>
              <w:rPr>
                <w:b/>
                <w:i/>
              </w:rPr>
              <w:t>21 200 000 </w:t>
            </w:r>
            <w:r>
              <w:t>EUR,</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82</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w:t>
      </w:r>
      <w:r>
        <w:rPr>
          <w:rStyle w:val="HideTWBExt"/>
          <w:b w:val="0"/>
        </w:rPr>
        <w:t>/DocAmend&gt;</w:t>
      </w:r>
    </w:p>
    <w:p w:rsidR="006D5E42" w:rsidRPr="008824D6" w:rsidRDefault="00D107CE" w:rsidP="006D5E42">
      <w:pPr>
        <w:pStyle w:val="NormalBold"/>
      </w:pPr>
      <w:r>
        <w:rPr>
          <w:rStyle w:val="HideTWBExt"/>
          <w:b w:val="0"/>
          <w:lang w:val="fr-FR"/>
        </w:rPr>
        <w:t>&lt;Article&gt;</w:t>
      </w:r>
      <w:r>
        <w:t>12 straipsnio 1 pastraipa</w:t>
      </w:r>
      <w:r>
        <w:rPr>
          <w:rStyle w:val="HideTWBExt"/>
          <w:b w:val="0"/>
          <w:lang w:val="fr-FR"/>
        </w:rPr>
        <w:t>&lt;/Article&gt;</w:t>
      </w:r>
    </w:p>
    <w:p w:rsidR="006D5E42" w:rsidRPr="008824D6" w:rsidRDefault="00D107CE" w:rsidP="006D5E42">
      <w:pPr>
        <w:keepNext/>
      </w:pPr>
      <w:r>
        <w:rPr>
          <w:rStyle w:val="HideTWBExt"/>
          <w:lang w:val="fr-FR"/>
        </w:rPr>
        <w:t>&lt;DocAmend2&gt;</w:t>
      </w:r>
      <w:r>
        <w:t>Reglamentas (ES) Nr. 228/2013</w:t>
      </w:r>
      <w:r>
        <w:rPr>
          <w:rStyle w:val="HideTWBExt"/>
          <w:lang w:val="fr-FR"/>
        </w:rPr>
        <w:t>&lt;/DocAmend2&gt;</w:t>
      </w:r>
    </w:p>
    <w:p w:rsidR="006D5E42" w:rsidRPr="008824D6" w:rsidRDefault="00D107CE" w:rsidP="006D5E42">
      <w:r>
        <w:rPr>
          <w:rStyle w:val="HideTWBExt"/>
          <w:lang w:val="fr-FR"/>
        </w:rPr>
        <w:t>&lt;Article2&gt;</w:t>
      </w:r>
      <w:r>
        <w:t>30 straipsnio 3 dalies 1 pastraipos 3 įtrauka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w:t>
            </w:r>
            <w:r>
              <w:tab/>
              <w:t xml:space="preserve">Kanarų salos: </w:t>
            </w:r>
            <w:r>
              <w:rPr>
                <w:b/>
                <w:i/>
              </w:rPr>
              <w:t>69 900 000</w:t>
            </w:r>
            <w:r>
              <w:t> EUR.</w:t>
            </w:r>
          </w:p>
        </w:tc>
        <w:tc>
          <w:tcPr>
            <w:tcW w:w="4876" w:type="dxa"/>
            <w:hideMark/>
          </w:tcPr>
          <w:p w:rsidR="006D5E42" w:rsidRPr="008824D6" w:rsidRDefault="00D107CE" w:rsidP="00587FE8">
            <w:pPr>
              <w:pStyle w:val="Normal6"/>
              <w:rPr>
                <w:szCs w:val="24"/>
              </w:rPr>
            </w:pPr>
            <w:r>
              <w:t>–</w:t>
            </w:r>
            <w:r>
              <w:tab/>
              <w:t>Kanar</w:t>
            </w:r>
            <w:r>
              <w:t xml:space="preserve">ų salos: </w:t>
            </w:r>
            <w:r>
              <w:rPr>
                <w:b/>
                <w:i/>
              </w:rPr>
              <w:t>72 700 000</w:t>
            </w:r>
            <w:r>
              <w:t> EUR.</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83</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13 straipsnio antraštinė dalis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iCs/>
                <w:szCs w:val="24"/>
              </w:rPr>
              <w:t xml:space="preserve">Reglamento (ES) Nr. 229/2013 daliniai </w:t>
            </w:r>
            <w:r>
              <w:rPr>
                <w:iCs/>
                <w:szCs w:val="24"/>
              </w:rPr>
              <w:t>pakeitimai</w:t>
            </w:r>
          </w:p>
        </w:tc>
        <w:tc>
          <w:tcPr>
            <w:tcW w:w="4876" w:type="dxa"/>
            <w:hideMark/>
          </w:tcPr>
          <w:p w:rsidR="006D5E42" w:rsidRPr="008824D6" w:rsidRDefault="00D107CE" w:rsidP="00587FE8">
            <w:pPr>
              <w:pStyle w:val="Normal6"/>
              <w:rPr>
                <w:szCs w:val="24"/>
              </w:rPr>
            </w:pPr>
            <w:r>
              <w:rPr>
                <w:iCs/>
                <w:szCs w:val="24"/>
              </w:rPr>
              <w:t>Reglamento (ES) Nr. 229/2013 daliniai pakeitimai</w:t>
            </w:r>
            <w:r>
              <w:rPr>
                <w:b/>
                <w:i/>
                <w:iCs/>
                <w:szCs w:val="24"/>
                <w:vertAlign w:val="superscript"/>
              </w:rPr>
              <w:t>1a</w:t>
            </w:r>
          </w:p>
        </w:tc>
      </w:tr>
      <w:tr w:rsidR="00BE5522" w:rsidTr="00587FE8">
        <w:trPr>
          <w:jc w:val="center"/>
        </w:trPr>
        <w:tc>
          <w:tcPr>
            <w:tcW w:w="4876" w:type="dxa"/>
          </w:tcPr>
          <w:p w:rsidR="006D5E42" w:rsidRPr="008824D6" w:rsidRDefault="006D5E42" w:rsidP="00587FE8">
            <w:pPr>
              <w:pStyle w:val="Default"/>
            </w:pPr>
          </w:p>
        </w:tc>
        <w:tc>
          <w:tcPr>
            <w:tcW w:w="4876" w:type="dxa"/>
          </w:tcPr>
          <w:p w:rsidR="006D5E42" w:rsidRPr="008824D6" w:rsidRDefault="00D107CE" w:rsidP="00587FE8">
            <w:pPr>
              <w:pStyle w:val="Normal6"/>
              <w:rPr>
                <w:b/>
                <w:i/>
                <w:szCs w:val="24"/>
              </w:rPr>
            </w:pPr>
            <w:r>
              <w:rPr>
                <w:b/>
                <w:i/>
              </w:rPr>
              <w:t>___________________</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szCs w:val="24"/>
                <w:vertAlign w:val="superscript"/>
              </w:rPr>
              <w:t>1a</w:t>
            </w:r>
            <w:r>
              <w:rPr>
                <w:b/>
                <w:i/>
                <w:szCs w:val="24"/>
              </w:rPr>
              <w:t xml:space="preserve">Visi skaičiai bus atnaujinti atsižvelgiant į EP poziciją dėl DFP. </w:t>
            </w:r>
            <w:r>
              <w:rPr>
                <w:b/>
                <w:bCs/>
                <w:i/>
                <w:iCs/>
              </w:rPr>
              <w:t xml:space="preserve">2018 m. lapkričio 14 d. Europos Parlamento rezoliucijoje „2021–2027 m. daugiametė finansinė programa. </w:t>
            </w:r>
            <w:r>
              <w:rPr>
                <w:b/>
                <w:bCs/>
                <w:i/>
                <w:iCs/>
              </w:rPr>
              <w:t>Parlamento pozicija siekiant susitarimo“ (P8_TA(2018)0449) Europos Parlamentas pristato savo poziciją – 27 ES valstybių narių bendros žemės ūkio politikos finansavimą realiąja verte išlaikyti tokio lygio, koks buvo 2014–2020 m. biudžete (kartu į biudžetą į</w:t>
            </w:r>
            <w:r>
              <w:rPr>
                <w:b/>
                <w:bCs/>
                <w:i/>
                <w:iCs/>
              </w:rPr>
              <w:t>traukiant pradinę žemės ūkio rezervo sumą), t. y. 383 255 mln. EUR 2018 m. kainomis (431 946 mln. EUR dabartinėmis kainomis). Todėl sumos, dėl kurių reikia susitarti šiame reglamente, turėtų būti apskaičiuojamos remiantis sumomis, dėl kurių susitarta 2021–</w:t>
            </w:r>
            <w:r>
              <w:rPr>
                <w:b/>
                <w:bCs/>
                <w:i/>
                <w:iCs/>
              </w:rPr>
              <w:t>2027 m. DFP, arba, jei dokumentas nebus priimtas laiku, remiantis 2020 m. pratęstomis viršutinėmis ribomis ir nuostatomis pagal SESV 312 straipsnio 4 dalį.</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84</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w:t>
      </w:r>
      <w:r>
        <w:rPr>
          <w:rStyle w:val="HideTWBExt"/>
          <w:b w:val="0"/>
          <w:lang w:val="fr-FR"/>
        </w:rPr>
        <w:t>le&gt;</w:t>
      </w:r>
      <w:r>
        <w:t>13 straipsnio 1 pastraipa</w:t>
      </w:r>
      <w:r>
        <w:rPr>
          <w:rStyle w:val="HideTWBExt"/>
          <w:b w:val="0"/>
          <w:lang w:val="fr-FR"/>
        </w:rPr>
        <w:t>&lt;/Article&gt;</w:t>
      </w:r>
    </w:p>
    <w:p w:rsidR="006D5E42" w:rsidRPr="008824D6" w:rsidRDefault="00D107CE" w:rsidP="006D5E42">
      <w:pPr>
        <w:keepNext/>
      </w:pPr>
      <w:r>
        <w:rPr>
          <w:rStyle w:val="HideTWBExt"/>
          <w:lang w:val="fr-FR"/>
        </w:rPr>
        <w:lastRenderedPageBreak/>
        <w:t>&lt;DocAmend2&gt;</w:t>
      </w:r>
      <w:r>
        <w:t>Reglamentas (ES) Nr. 229/2013</w:t>
      </w:r>
      <w:r>
        <w:rPr>
          <w:rStyle w:val="HideTWBExt"/>
          <w:lang w:val="fr-FR"/>
        </w:rPr>
        <w:t>&lt;/DocAmend2&gt;</w:t>
      </w:r>
    </w:p>
    <w:p w:rsidR="006D5E42" w:rsidRPr="008824D6" w:rsidRDefault="00D107CE" w:rsidP="006D5E42">
      <w:r>
        <w:rPr>
          <w:rStyle w:val="HideTWBExt"/>
          <w:lang w:val="fr-FR"/>
        </w:rPr>
        <w:t>&lt;Article2&gt;</w:t>
      </w:r>
      <w:r>
        <w:t>18 straipsnio 2 dalis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2.</w:t>
            </w:r>
            <w:r>
              <w:tab/>
              <w:t xml:space="preserve">III ir IV skyriuose nurodytas priemones Sąjunga finansuoja neviršydama </w:t>
            </w:r>
            <w:r>
              <w:rPr>
                <w:b/>
                <w:i/>
              </w:rPr>
              <w:t>23 000 000</w:t>
            </w:r>
            <w:r>
              <w:t> EUR sumos.</w:t>
            </w:r>
          </w:p>
        </w:tc>
        <w:tc>
          <w:tcPr>
            <w:tcW w:w="4876" w:type="dxa"/>
            <w:hideMark/>
          </w:tcPr>
          <w:p w:rsidR="006D5E42" w:rsidRPr="008824D6" w:rsidRDefault="00D107CE" w:rsidP="00587FE8">
            <w:pPr>
              <w:pStyle w:val="Normal6"/>
              <w:rPr>
                <w:szCs w:val="24"/>
              </w:rPr>
            </w:pPr>
            <w:r>
              <w:t>2.</w:t>
            </w:r>
            <w:r>
              <w:tab/>
              <w:t xml:space="preserve">III ir IV skyriuose nurodytas priemones Sąjunga finansuoja neviršydama </w:t>
            </w:r>
            <w:r>
              <w:rPr>
                <w:b/>
                <w:i/>
              </w:rPr>
              <w:t>XXX</w:t>
            </w:r>
            <w:r>
              <w:t> EUR sumos.</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85</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13 straipsnio 1 pastraipa</w:t>
      </w:r>
      <w:r>
        <w:rPr>
          <w:rStyle w:val="HideTWBExt"/>
          <w:b w:val="0"/>
          <w:lang w:val="fr-FR"/>
        </w:rPr>
        <w:t>&lt;/Article&gt;</w:t>
      </w:r>
    </w:p>
    <w:p w:rsidR="006D5E42" w:rsidRPr="008824D6" w:rsidRDefault="00D107CE" w:rsidP="006D5E42">
      <w:pPr>
        <w:keepNext/>
      </w:pPr>
      <w:r>
        <w:rPr>
          <w:rStyle w:val="HideTWBExt"/>
          <w:lang w:val="fr-FR"/>
        </w:rPr>
        <w:t>&lt;</w:t>
      </w:r>
      <w:r>
        <w:rPr>
          <w:rStyle w:val="HideTWBExt"/>
          <w:lang w:val="fr-FR"/>
        </w:rPr>
        <w:t>DocAmend2&gt;</w:t>
      </w:r>
      <w:r>
        <w:t>Reglamentas (ES) Nr. 229/2013</w:t>
      </w:r>
      <w:r>
        <w:rPr>
          <w:rStyle w:val="HideTWBExt"/>
          <w:lang w:val="fr-FR"/>
        </w:rPr>
        <w:t>&lt;/DocAmend2&gt;</w:t>
      </w:r>
    </w:p>
    <w:p w:rsidR="006D5E42" w:rsidRPr="008824D6" w:rsidRDefault="00D107CE" w:rsidP="006D5E42">
      <w:r>
        <w:rPr>
          <w:rStyle w:val="HideTWBExt"/>
          <w:lang w:val="fr-FR"/>
        </w:rPr>
        <w:t>&lt;Article2&gt;</w:t>
      </w:r>
      <w:r>
        <w:t>18 straipsnio 3 dalis</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rPr>
                <w:lang w:val="fr-FR"/>
              </w:rPr>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3.</w:t>
            </w:r>
            <w:r>
              <w:tab/>
              <w:t xml:space="preserve">Suma, skiriama III skyriuje nurodytai specialiai tiekimo tvarkai finansuoti, negali viršyti </w:t>
            </w:r>
            <w:r>
              <w:rPr>
                <w:b/>
                <w:i/>
              </w:rPr>
              <w:t>6 830 000</w:t>
            </w:r>
            <w:r>
              <w:t> EUR.“ .</w:t>
            </w:r>
          </w:p>
        </w:tc>
        <w:tc>
          <w:tcPr>
            <w:tcW w:w="4876" w:type="dxa"/>
            <w:hideMark/>
          </w:tcPr>
          <w:p w:rsidR="006D5E42" w:rsidRPr="008824D6" w:rsidRDefault="00D107CE" w:rsidP="00587FE8">
            <w:pPr>
              <w:pStyle w:val="Normal6"/>
              <w:rPr>
                <w:szCs w:val="24"/>
              </w:rPr>
            </w:pPr>
            <w:r>
              <w:t>3.</w:t>
            </w:r>
            <w:r>
              <w:tab/>
              <w:t>Suma</w:t>
            </w:r>
            <w:r>
              <w:t xml:space="preserve">, skiriama III skyriuje nurodytai specialiai tiekimo tvarkai finansuoti, negali viršyti </w:t>
            </w:r>
            <w:r>
              <w:rPr>
                <w:b/>
                <w:i/>
              </w:rPr>
              <w:t>XXX </w:t>
            </w:r>
            <w:r>
              <w:t>EUR.“.</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86</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I priedas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rPr>
                <w:iCs/>
                <w:szCs w:val="24"/>
              </w:rPr>
              <w:t>I priedas</w:t>
            </w:r>
          </w:p>
        </w:tc>
        <w:tc>
          <w:tcPr>
            <w:tcW w:w="4876" w:type="dxa"/>
            <w:hideMark/>
          </w:tcPr>
          <w:p w:rsidR="006D5E42" w:rsidRPr="008824D6" w:rsidRDefault="00D107CE" w:rsidP="00587FE8">
            <w:pPr>
              <w:pStyle w:val="Normal6"/>
              <w:rPr>
                <w:szCs w:val="24"/>
              </w:rPr>
            </w:pPr>
            <w:r>
              <w:rPr>
                <w:iCs/>
                <w:szCs w:val="24"/>
              </w:rPr>
              <w:t>I priedas</w:t>
            </w:r>
            <w:r>
              <w:rPr>
                <w:b/>
                <w:i/>
                <w:iCs/>
                <w:szCs w:val="24"/>
                <w:vertAlign w:val="superscript"/>
              </w:rPr>
              <w:t>1a</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rPr>
              <w:t>___________________</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vertAlign w:val="superscript"/>
              </w:rPr>
              <w:t>1a</w:t>
            </w:r>
            <w:r>
              <w:rPr>
                <w:b/>
                <w:i/>
              </w:rPr>
              <w:t>Visi skaičiai bus atnaujinti atsižvelgiant į EP poziciją dėl DFP.</w:t>
            </w:r>
            <w:r>
              <w:rPr>
                <w:b/>
                <w:bCs/>
                <w:i/>
                <w:iCs/>
              </w:rPr>
              <w:t xml:space="preserve"> 2018 m. lapkričio 14 d. Europos Parlamento rezoliucijoje „2021–2027 m. daugiametė finansinė programa. Parlamento pozicija siekiant susitarimo“ (P8_TA(2018)0449) Europos Parlamentas pristato savo poziciją – 27 ES valstybių narių bendros žemės ūkio politiko</w:t>
            </w:r>
            <w:r>
              <w:rPr>
                <w:b/>
                <w:bCs/>
                <w:i/>
                <w:iCs/>
              </w:rPr>
              <w:t xml:space="preserve">s finansavimą realiąja verte išlaikyti tokio lygio, koks buvo 2014–2020 m. biudžete (kartu į biudžetą įtraukiant pradinę žemės ūkio rezervo sumą), t. y. 383 255 mln. EUR 2018 m. </w:t>
            </w:r>
            <w:r>
              <w:rPr>
                <w:b/>
                <w:bCs/>
                <w:i/>
                <w:iCs/>
              </w:rPr>
              <w:lastRenderedPageBreak/>
              <w:t>kainomis (431 946 mln. EUR dabartinėmis kainomis). Todėl sumos, dėl kurių reik</w:t>
            </w:r>
            <w:r>
              <w:rPr>
                <w:b/>
                <w:bCs/>
                <w:i/>
                <w:iCs/>
              </w:rPr>
              <w:t>ia susitarti šiame reglamente, turėtų būti apskaičiuojamos remiantis sumomis, dėl kurių susitarta 2021–2027 m. DFP, arba, jei dokumentas nebus priimtas laiku, remiantis 2020 m. pratęstomis viršutinėmis ribomis ir nuostatomis pagal SESV 312 straipsnio 4 dal</w:t>
            </w:r>
            <w:r>
              <w:rPr>
                <w:b/>
                <w:bCs/>
                <w:i/>
                <w:iCs/>
              </w:rPr>
              <w:t>į.</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87</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I priedo 1 pastraipos 2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rPr>
        <w:t>&lt;Article2&gt;</w:t>
      </w:r>
      <w:r>
        <w:t>1 priedo 1a antraštinė dalis</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„Antra dalis. Sąjungos paramos kaimo plėtrai paskirstymas (</w:t>
            </w:r>
            <w:r>
              <w:rPr>
                <w:b/>
                <w:i/>
              </w:rPr>
              <w:t>2021 m.</w:t>
            </w:r>
            <w:r>
              <w:t>)</w:t>
            </w:r>
          </w:p>
        </w:tc>
        <w:tc>
          <w:tcPr>
            <w:tcW w:w="4876" w:type="dxa"/>
            <w:hideMark/>
          </w:tcPr>
          <w:p w:rsidR="006D5E42" w:rsidRPr="008824D6" w:rsidRDefault="00D107CE" w:rsidP="00587FE8">
            <w:pPr>
              <w:pStyle w:val="Normal6"/>
              <w:rPr>
                <w:szCs w:val="24"/>
              </w:rPr>
            </w:pPr>
            <w:r>
              <w:t>„Antra dalis. Sąjungos paramos kaimo plėtrai paskirstymas (</w:t>
            </w:r>
            <w:r>
              <w:rPr>
                <w:b/>
                <w:i/>
              </w:rPr>
              <w:t>pereinamojo laikotarpio pirmieji metai</w:t>
            </w:r>
            <w:r>
              <w:t>)</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88</w:t>
      </w:r>
      <w:r>
        <w:rPr>
          <w:rStyle w:val="HideTWBExt"/>
          <w:b w:val="0"/>
        </w:rPr>
        <w:t>&lt;/NumAm&gt;</w:t>
      </w:r>
    </w:p>
    <w:p w:rsidR="006D5E42" w:rsidRPr="008824D6" w:rsidRDefault="00D107CE" w:rsidP="006D5E42">
      <w:pPr>
        <w:pStyle w:val="NormalBold12b"/>
      </w:pPr>
      <w:r>
        <w:rPr>
          <w:rStyle w:val="HideTWBExt"/>
          <w:b w:val="0"/>
        </w:rPr>
        <w:t>&lt;Do</w:t>
      </w:r>
      <w:r>
        <w:rPr>
          <w:rStyle w:val="HideTWBExt"/>
          <w:b w:val="0"/>
        </w:rPr>
        <w:t>cAmend&gt;</w:t>
      </w:r>
      <w:r>
        <w:t>Pasiūlymas dėl reglamento</w:t>
      </w:r>
      <w:r>
        <w:rPr>
          <w:rStyle w:val="HideTWBExt"/>
          <w:b w:val="0"/>
        </w:rPr>
        <w:t>&lt;/DocAmend&gt;</w:t>
      </w:r>
    </w:p>
    <w:p w:rsidR="006D5E42" w:rsidRPr="008824D6" w:rsidRDefault="00D107CE" w:rsidP="006D5E42">
      <w:pPr>
        <w:pStyle w:val="NormalBold"/>
      </w:pPr>
      <w:r>
        <w:rPr>
          <w:rStyle w:val="HideTWBExt"/>
          <w:b w:val="0"/>
          <w:lang w:val="fr-FR"/>
        </w:rPr>
        <w:t>&lt;Article&gt;</w:t>
      </w:r>
      <w:r>
        <w:t>I priedo 1 pastraipos 2 punktas</w:t>
      </w:r>
      <w:r>
        <w:rPr>
          <w:rStyle w:val="HideTWBExt"/>
          <w:b w:val="0"/>
          <w:lang w:val="fr-FR"/>
        </w:rPr>
        <w:t>&lt;/Article&gt;</w:t>
      </w:r>
    </w:p>
    <w:p w:rsidR="006D5E42" w:rsidRPr="008824D6" w:rsidRDefault="00D107CE" w:rsidP="006D5E42">
      <w:pPr>
        <w:keepNext/>
      </w:pPr>
      <w:r>
        <w:rPr>
          <w:rStyle w:val="HideTWBExt"/>
          <w:lang w:val="pt-PT"/>
        </w:rPr>
        <w:t>&lt;DocAmend2&gt;</w:t>
      </w:r>
      <w:r>
        <w:t>Reglamentas (ES) Nr. 1305/2013</w:t>
      </w:r>
      <w:r>
        <w:rPr>
          <w:rStyle w:val="HideTWBExt"/>
          <w:lang w:val="pt-PT"/>
        </w:rPr>
        <w:t>&lt;/DocAmend2&gt;</w:t>
      </w:r>
    </w:p>
    <w:p w:rsidR="006D5E42" w:rsidRPr="008824D6" w:rsidRDefault="00D107CE" w:rsidP="006D5E42">
      <w:r>
        <w:rPr>
          <w:rStyle w:val="HideTWBExt"/>
        </w:rPr>
        <w:t>&lt;Article2&gt;</w:t>
      </w:r>
      <w:r>
        <w:t>1 priedo 2 dalies lentelė</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hideMark/>
          </w:tcPr>
          <w:p w:rsidR="006D5E42" w:rsidRPr="008824D6" w:rsidRDefault="00D107CE" w:rsidP="00587FE8">
            <w:pPr>
              <w:pStyle w:val="Normal6"/>
            </w:pPr>
            <w:r>
              <w:t xml:space="preserve">(dabartinėmis </w:t>
            </w:r>
            <w:r>
              <w:t>kainomis EUR)</w:t>
            </w:r>
          </w:p>
        </w:tc>
        <w:tc>
          <w:tcPr>
            <w:tcW w:w="4876" w:type="dxa"/>
            <w:hideMark/>
          </w:tcPr>
          <w:p w:rsidR="006D5E42" w:rsidRPr="008824D6" w:rsidRDefault="00D107CE" w:rsidP="00587FE8">
            <w:pPr>
              <w:pStyle w:val="Normal6"/>
              <w:rPr>
                <w:szCs w:val="24"/>
              </w:rPr>
            </w:pPr>
            <w:r>
              <w:t>(dabartinėmis kainomis EUR)</w:t>
            </w:r>
          </w:p>
        </w:tc>
      </w:tr>
      <w:tr w:rsidR="00BE5522" w:rsidTr="00587FE8">
        <w:trPr>
          <w:jc w:val="center"/>
        </w:trPr>
        <w:tc>
          <w:tcPr>
            <w:tcW w:w="4876" w:type="dxa"/>
          </w:tcPr>
          <w:p w:rsidR="006D5E42" w:rsidRPr="008824D6" w:rsidRDefault="00D107CE" w:rsidP="00587FE8">
            <w:pPr>
              <w:pStyle w:val="Normal6"/>
              <w:rPr>
                <w:szCs w:val="24"/>
              </w:rPr>
            </w:pPr>
            <w:r>
              <w:t xml:space="preserve">2021 </w:t>
            </w:r>
          </w:p>
        </w:tc>
        <w:tc>
          <w:tcPr>
            <w:tcW w:w="4876" w:type="dxa"/>
            <w:hideMark/>
          </w:tcPr>
          <w:p w:rsidR="006D5E42" w:rsidRPr="008824D6" w:rsidRDefault="00D107CE" w:rsidP="00587FE8">
            <w:pPr>
              <w:pStyle w:val="Normal6"/>
              <w:rPr>
                <w:szCs w:val="24"/>
              </w:rPr>
            </w:pPr>
            <w:r>
              <w:t xml:space="preserve">2021 </w:t>
            </w:r>
          </w:p>
        </w:tc>
      </w:tr>
      <w:tr w:rsidR="00BE5522" w:rsidTr="00587FE8">
        <w:trPr>
          <w:jc w:val="center"/>
        </w:trPr>
        <w:tc>
          <w:tcPr>
            <w:tcW w:w="4876" w:type="dxa"/>
          </w:tcPr>
          <w:p w:rsidR="006D5E42" w:rsidRPr="008824D6" w:rsidRDefault="00D107CE" w:rsidP="00587FE8">
            <w:pPr>
              <w:pStyle w:val="Normal6"/>
              <w:rPr>
                <w:b/>
                <w:i/>
              </w:rPr>
            </w:pPr>
            <w:r>
              <w:t>Belgija</w:t>
            </w:r>
            <w:r>
              <w:rPr>
                <w:b/>
                <w:i/>
              </w:rPr>
              <w:t xml:space="preserve"> 67 178 046</w:t>
            </w:r>
          </w:p>
        </w:tc>
        <w:tc>
          <w:tcPr>
            <w:tcW w:w="4876" w:type="dxa"/>
            <w:hideMark/>
          </w:tcPr>
          <w:p w:rsidR="006D5E42" w:rsidRPr="008824D6" w:rsidRDefault="00D107CE" w:rsidP="00587FE8">
            <w:pPr>
              <w:pStyle w:val="Normal6"/>
              <w:rPr>
                <w:szCs w:val="24"/>
              </w:rPr>
            </w:pPr>
            <w:r>
              <w:t xml:space="preserve">Belgija </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Bulgarija</w:t>
            </w:r>
            <w:r>
              <w:rPr>
                <w:b/>
                <w:i/>
              </w:rPr>
              <w:t xml:space="preserve"> 281 711 396</w:t>
            </w:r>
          </w:p>
        </w:tc>
        <w:tc>
          <w:tcPr>
            <w:tcW w:w="4876" w:type="dxa"/>
            <w:hideMark/>
          </w:tcPr>
          <w:p w:rsidR="006D5E42" w:rsidRPr="008824D6" w:rsidRDefault="00D107CE" w:rsidP="00587FE8">
            <w:pPr>
              <w:pStyle w:val="Normal6"/>
              <w:rPr>
                <w:szCs w:val="24"/>
              </w:rPr>
            </w:pPr>
            <w:r>
              <w:t>Bulgarija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Čekija</w:t>
            </w:r>
            <w:r>
              <w:rPr>
                <w:b/>
                <w:i/>
              </w:rPr>
              <w:t xml:space="preserve"> 258 773 203</w:t>
            </w:r>
          </w:p>
        </w:tc>
        <w:tc>
          <w:tcPr>
            <w:tcW w:w="4876" w:type="dxa"/>
            <w:hideMark/>
          </w:tcPr>
          <w:p w:rsidR="006D5E42" w:rsidRPr="008824D6" w:rsidRDefault="00D107CE" w:rsidP="00587FE8">
            <w:pPr>
              <w:pStyle w:val="Normal6"/>
              <w:rPr>
                <w:szCs w:val="24"/>
              </w:rPr>
            </w:pPr>
            <w:r>
              <w:t>Čekija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Danija</w:t>
            </w:r>
            <w:r>
              <w:rPr>
                <w:b/>
                <w:i/>
              </w:rPr>
              <w:t xml:space="preserve"> 75 812 623</w:t>
            </w:r>
          </w:p>
        </w:tc>
        <w:tc>
          <w:tcPr>
            <w:tcW w:w="4876" w:type="dxa"/>
            <w:hideMark/>
          </w:tcPr>
          <w:p w:rsidR="006D5E42" w:rsidRPr="008824D6" w:rsidRDefault="00D107CE" w:rsidP="00587FE8">
            <w:pPr>
              <w:pStyle w:val="Normal6"/>
              <w:rPr>
                <w:szCs w:val="24"/>
              </w:rPr>
            </w:pPr>
            <w:r>
              <w:t>Danija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Vokietija</w:t>
            </w:r>
            <w:r>
              <w:rPr>
                <w:b/>
                <w:i/>
              </w:rPr>
              <w:t xml:space="preserve"> 989 924 996</w:t>
            </w:r>
          </w:p>
        </w:tc>
        <w:tc>
          <w:tcPr>
            <w:tcW w:w="4876" w:type="dxa"/>
            <w:hideMark/>
          </w:tcPr>
          <w:p w:rsidR="006D5E42" w:rsidRPr="008824D6" w:rsidRDefault="00D107CE" w:rsidP="00587FE8">
            <w:pPr>
              <w:pStyle w:val="Normal6"/>
              <w:rPr>
                <w:szCs w:val="24"/>
              </w:rPr>
            </w:pPr>
            <w:r>
              <w:t>Vokietija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Estija</w:t>
            </w:r>
            <w:r>
              <w:rPr>
                <w:b/>
                <w:i/>
              </w:rPr>
              <w:t xml:space="preserve"> 87 875 887</w:t>
            </w:r>
          </w:p>
        </w:tc>
        <w:tc>
          <w:tcPr>
            <w:tcW w:w="4876" w:type="dxa"/>
            <w:hideMark/>
          </w:tcPr>
          <w:p w:rsidR="006D5E42" w:rsidRPr="008824D6" w:rsidRDefault="00D107CE" w:rsidP="00587FE8">
            <w:pPr>
              <w:pStyle w:val="Normal6"/>
              <w:rPr>
                <w:szCs w:val="24"/>
              </w:rPr>
            </w:pPr>
            <w:r>
              <w:t>Estija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Airija</w:t>
            </w:r>
            <w:r>
              <w:rPr>
                <w:b/>
                <w:i/>
              </w:rPr>
              <w:t xml:space="preserve"> 264 670 951</w:t>
            </w:r>
          </w:p>
        </w:tc>
        <w:tc>
          <w:tcPr>
            <w:tcW w:w="4876" w:type="dxa"/>
            <w:hideMark/>
          </w:tcPr>
          <w:p w:rsidR="006D5E42" w:rsidRPr="008824D6" w:rsidRDefault="00D107CE" w:rsidP="00587FE8">
            <w:pPr>
              <w:pStyle w:val="Normal6"/>
              <w:rPr>
                <w:szCs w:val="24"/>
              </w:rPr>
            </w:pPr>
            <w:r>
              <w:t>Airija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lastRenderedPageBreak/>
              <w:t>Graikija</w:t>
            </w:r>
            <w:r>
              <w:rPr>
                <w:b/>
                <w:i/>
              </w:rPr>
              <w:t xml:space="preserve"> 509 591 606</w:t>
            </w:r>
          </w:p>
        </w:tc>
        <w:tc>
          <w:tcPr>
            <w:tcW w:w="4876" w:type="dxa"/>
            <w:hideMark/>
          </w:tcPr>
          <w:p w:rsidR="006D5E42" w:rsidRPr="008824D6" w:rsidRDefault="00D107CE" w:rsidP="00587FE8">
            <w:pPr>
              <w:pStyle w:val="Normal6"/>
              <w:rPr>
                <w:szCs w:val="24"/>
              </w:rPr>
            </w:pPr>
            <w:r>
              <w:t>Graikija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Ispanija</w:t>
            </w:r>
            <w:r>
              <w:rPr>
                <w:b/>
                <w:i/>
              </w:rPr>
              <w:t xml:space="preserve"> 1 001 202 880</w:t>
            </w:r>
          </w:p>
        </w:tc>
        <w:tc>
          <w:tcPr>
            <w:tcW w:w="4876" w:type="dxa"/>
            <w:hideMark/>
          </w:tcPr>
          <w:p w:rsidR="006D5E42" w:rsidRPr="008824D6" w:rsidRDefault="00D107CE" w:rsidP="00587FE8">
            <w:pPr>
              <w:pStyle w:val="Normal6"/>
              <w:rPr>
                <w:szCs w:val="24"/>
              </w:rPr>
            </w:pPr>
            <w:r>
              <w:t>Ispanija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Prancūzija</w:t>
            </w:r>
            <w:r>
              <w:rPr>
                <w:b/>
                <w:i/>
              </w:rPr>
              <w:t xml:space="preserve"> 1 209 259 199</w:t>
            </w:r>
          </w:p>
        </w:tc>
        <w:tc>
          <w:tcPr>
            <w:tcW w:w="4876" w:type="dxa"/>
            <w:hideMark/>
          </w:tcPr>
          <w:p w:rsidR="006D5E42" w:rsidRPr="008824D6" w:rsidRDefault="00D107CE" w:rsidP="00587FE8">
            <w:pPr>
              <w:pStyle w:val="Normal6"/>
              <w:rPr>
                <w:szCs w:val="24"/>
              </w:rPr>
            </w:pPr>
            <w:r>
              <w:t>Prancūzija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Kroatija</w:t>
            </w:r>
            <w:r>
              <w:rPr>
                <w:b/>
                <w:i/>
              </w:rPr>
              <w:t xml:space="preserve"> 281 341 503</w:t>
            </w:r>
          </w:p>
        </w:tc>
        <w:tc>
          <w:tcPr>
            <w:tcW w:w="4876" w:type="dxa"/>
            <w:hideMark/>
          </w:tcPr>
          <w:p w:rsidR="006D5E42" w:rsidRPr="008824D6" w:rsidRDefault="00D107CE" w:rsidP="00587FE8">
            <w:pPr>
              <w:pStyle w:val="Normal6"/>
              <w:rPr>
                <w:szCs w:val="24"/>
              </w:rPr>
            </w:pPr>
            <w:r>
              <w:t>Kroatija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Italija</w:t>
            </w:r>
            <w:r>
              <w:rPr>
                <w:b/>
                <w:i/>
              </w:rPr>
              <w:t xml:space="preserve"> 1 270 310 371</w:t>
            </w:r>
          </w:p>
        </w:tc>
        <w:tc>
          <w:tcPr>
            <w:tcW w:w="4876" w:type="dxa"/>
            <w:hideMark/>
          </w:tcPr>
          <w:p w:rsidR="006D5E42" w:rsidRPr="008824D6" w:rsidRDefault="00D107CE" w:rsidP="00587FE8">
            <w:pPr>
              <w:pStyle w:val="Normal6"/>
              <w:rPr>
                <w:szCs w:val="24"/>
              </w:rPr>
            </w:pPr>
            <w:r>
              <w:t>Italija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Kipras</w:t>
            </w:r>
            <w:r>
              <w:rPr>
                <w:b/>
                <w:i/>
              </w:rPr>
              <w:t xml:space="preserve"> 15 987 284</w:t>
            </w:r>
          </w:p>
        </w:tc>
        <w:tc>
          <w:tcPr>
            <w:tcW w:w="4876" w:type="dxa"/>
            <w:hideMark/>
          </w:tcPr>
          <w:p w:rsidR="006D5E42" w:rsidRPr="008824D6" w:rsidRDefault="00D107CE" w:rsidP="00587FE8">
            <w:pPr>
              <w:pStyle w:val="Normal6"/>
              <w:rPr>
                <w:szCs w:val="24"/>
              </w:rPr>
            </w:pPr>
            <w:r>
              <w:t>Kipras</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Latvija</w:t>
            </w:r>
            <w:r>
              <w:rPr>
                <w:b/>
                <w:i/>
              </w:rPr>
              <w:t xml:space="preserve"> 117 307 269</w:t>
            </w:r>
          </w:p>
        </w:tc>
        <w:tc>
          <w:tcPr>
            <w:tcW w:w="4876" w:type="dxa"/>
            <w:hideMark/>
          </w:tcPr>
          <w:p w:rsidR="006D5E42" w:rsidRPr="008824D6" w:rsidRDefault="00D107CE" w:rsidP="00587FE8">
            <w:pPr>
              <w:pStyle w:val="Normal6"/>
              <w:rPr>
                <w:szCs w:val="24"/>
              </w:rPr>
            </w:pPr>
            <w:r>
              <w:t>Latvija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Lietuva</w:t>
            </w:r>
            <w:r>
              <w:rPr>
                <w:b/>
                <w:i/>
              </w:rPr>
              <w:t xml:space="preserve"> 195 182 517</w:t>
            </w:r>
          </w:p>
        </w:tc>
        <w:tc>
          <w:tcPr>
            <w:tcW w:w="4876" w:type="dxa"/>
            <w:hideMark/>
          </w:tcPr>
          <w:p w:rsidR="006D5E42" w:rsidRPr="008824D6" w:rsidRDefault="00D107CE" w:rsidP="00587FE8">
            <w:pPr>
              <w:pStyle w:val="Normal6"/>
              <w:rPr>
                <w:szCs w:val="24"/>
              </w:rPr>
            </w:pPr>
            <w:r>
              <w:t>Lietuva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Liuksemburgas</w:t>
            </w:r>
            <w:r>
              <w:rPr>
                <w:b/>
                <w:i/>
              </w:rPr>
              <w:t xml:space="preserve"> 12 290 956</w:t>
            </w:r>
          </w:p>
        </w:tc>
        <w:tc>
          <w:tcPr>
            <w:tcW w:w="4876" w:type="dxa"/>
            <w:hideMark/>
          </w:tcPr>
          <w:p w:rsidR="006D5E42" w:rsidRPr="008824D6" w:rsidRDefault="00D107CE" w:rsidP="00587FE8">
            <w:pPr>
              <w:pStyle w:val="Normal6"/>
              <w:rPr>
                <w:szCs w:val="24"/>
              </w:rPr>
            </w:pPr>
            <w:r>
              <w:t>Liuksemburgas</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Vengrija</w:t>
            </w:r>
            <w:r>
              <w:rPr>
                <w:b/>
                <w:i/>
              </w:rPr>
              <w:t xml:space="preserve"> 416 202 472</w:t>
            </w:r>
          </w:p>
        </w:tc>
        <w:tc>
          <w:tcPr>
            <w:tcW w:w="4876" w:type="dxa"/>
            <w:hideMark/>
          </w:tcPr>
          <w:p w:rsidR="006D5E42" w:rsidRPr="008824D6" w:rsidRDefault="00D107CE" w:rsidP="00587FE8">
            <w:pPr>
              <w:pStyle w:val="Normal6"/>
              <w:rPr>
                <w:szCs w:val="24"/>
              </w:rPr>
            </w:pPr>
            <w:r>
              <w:t>Vengrija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Malta</w:t>
            </w:r>
            <w:r>
              <w:rPr>
                <w:b/>
                <w:i/>
              </w:rPr>
              <w:t xml:space="preserve"> 12 207 322</w:t>
            </w:r>
          </w:p>
        </w:tc>
        <w:tc>
          <w:tcPr>
            <w:tcW w:w="4876" w:type="dxa"/>
            <w:hideMark/>
          </w:tcPr>
          <w:p w:rsidR="006D5E42" w:rsidRPr="008824D6" w:rsidRDefault="00D107CE" w:rsidP="00587FE8">
            <w:pPr>
              <w:pStyle w:val="Normal6"/>
              <w:rPr>
                <w:szCs w:val="24"/>
              </w:rPr>
            </w:pPr>
            <w:r>
              <w:t>Malta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Nyderlandai</w:t>
            </w:r>
            <w:r>
              <w:rPr>
                <w:b/>
                <w:i/>
              </w:rPr>
              <w:t xml:space="preserve"> 73 151 195</w:t>
            </w:r>
          </w:p>
        </w:tc>
        <w:tc>
          <w:tcPr>
            <w:tcW w:w="4876" w:type="dxa"/>
            <w:hideMark/>
          </w:tcPr>
          <w:p w:rsidR="006D5E42" w:rsidRPr="008824D6" w:rsidRDefault="00D107CE" w:rsidP="00587FE8">
            <w:pPr>
              <w:pStyle w:val="Normal6"/>
              <w:rPr>
                <w:szCs w:val="24"/>
              </w:rPr>
            </w:pPr>
            <w:r>
              <w:t>Nyderlandai</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Austrija</w:t>
            </w:r>
            <w:r>
              <w:rPr>
                <w:b/>
                <w:i/>
              </w:rPr>
              <w:t xml:space="preserve"> 480 467 031</w:t>
            </w:r>
          </w:p>
        </w:tc>
        <w:tc>
          <w:tcPr>
            <w:tcW w:w="4876" w:type="dxa"/>
            <w:hideMark/>
          </w:tcPr>
          <w:p w:rsidR="006D5E42" w:rsidRPr="008824D6" w:rsidRDefault="00D107CE" w:rsidP="00587FE8">
            <w:pPr>
              <w:pStyle w:val="Normal6"/>
              <w:rPr>
                <w:szCs w:val="24"/>
              </w:rPr>
            </w:pPr>
            <w:r>
              <w:t>Austrija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Lenkija</w:t>
            </w:r>
            <w:r>
              <w:rPr>
                <w:b/>
                <w:i/>
              </w:rPr>
              <w:t xml:space="preserve"> 1 317 890 530 </w:t>
            </w:r>
          </w:p>
        </w:tc>
        <w:tc>
          <w:tcPr>
            <w:tcW w:w="4876" w:type="dxa"/>
            <w:hideMark/>
          </w:tcPr>
          <w:p w:rsidR="006D5E42" w:rsidRPr="008824D6" w:rsidRDefault="00D107CE" w:rsidP="00587FE8">
            <w:pPr>
              <w:pStyle w:val="Normal6"/>
              <w:rPr>
                <w:szCs w:val="24"/>
              </w:rPr>
            </w:pPr>
            <w:r>
              <w:t>Lenkija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Portugalija</w:t>
            </w:r>
            <w:r>
              <w:rPr>
                <w:b/>
                <w:i/>
              </w:rPr>
              <w:t xml:space="preserve"> 493 214 858</w:t>
            </w:r>
          </w:p>
        </w:tc>
        <w:tc>
          <w:tcPr>
            <w:tcW w:w="4876" w:type="dxa"/>
            <w:hideMark/>
          </w:tcPr>
          <w:p w:rsidR="006D5E42" w:rsidRPr="008824D6" w:rsidRDefault="00D107CE" w:rsidP="00587FE8">
            <w:pPr>
              <w:pStyle w:val="Normal6"/>
              <w:rPr>
                <w:szCs w:val="24"/>
              </w:rPr>
            </w:pPr>
            <w:r>
              <w:t>Portugalija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Rumunija</w:t>
            </w:r>
            <w:r>
              <w:rPr>
                <w:b/>
                <w:i/>
              </w:rPr>
              <w:t xml:space="preserve"> 965 503 339</w:t>
            </w:r>
          </w:p>
        </w:tc>
        <w:tc>
          <w:tcPr>
            <w:tcW w:w="4876" w:type="dxa"/>
            <w:hideMark/>
          </w:tcPr>
          <w:p w:rsidR="006D5E42" w:rsidRPr="008824D6" w:rsidRDefault="00D107CE" w:rsidP="00587FE8">
            <w:pPr>
              <w:pStyle w:val="Normal6"/>
              <w:rPr>
                <w:szCs w:val="24"/>
              </w:rPr>
            </w:pPr>
            <w:r>
              <w:t>Rumunija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Slovėnija</w:t>
            </w:r>
            <w:r>
              <w:rPr>
                <w:b/>
                <w:i/>
              </w:rPr>
              <w:t xml:space="preserve"> 102 248 788</w:t>
            </w:r>
          </w:p>
        </w:tc>
        <w:tc>
          <w:tcPr>
            <w:tcW w:w="4876" w:type="dxa"/>
            <w:hideMark/>
          </w:tcPr>
          <w:p w:rsidR="006D5E42" w:rsidRPr="008824D6" w:rsidRDefault="00D107CE" w:rsidP="00587FE8">
            <w:pPr>
              <w:pStyle w:val="Normal6"/>
              <w:rPr>
                <w:szCs w:val="24"/>
              </w:rPr>
            </w:pPr>
            <w:r>
              <w:t>Slovėnija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Slovakija</w:t>
            </w:r>
            <w:r>
              <w:rPr>
                <w:b/>
                <w:i/>
              </w:rPr>
              <w:t xml:space="preserve"> 227 682 721</w:t>
            </w:r>
          </w:p>
        </w:tc>
        <w:tc>
          <w:tcPr>
            <w:tcW w:w="4876" w:type="dxa"/>
            <w:hideMark/>
          </w:tcPr>
          <w:p w:rsidR="006D5E42" w:rsidRPr="008824D6" w:rsidRDefault="00D107CE" w:rsidP="00587FE8">
            <w:pPr>
              <w:pStyle w:val="Normal6"/>
              <w:rPr>
                <w:szCs w:val="24"/>
              </w:rPr>
            </w:pPr>
            <w:r>
              <w:t>Slovakija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Suomija</w:t>
            </w:r>
            <w:r>
              <w:rPr>
                <w:b/>
                <w:i/>
              </w:rPr>
              <w:t xml:space="preserve"> 292 021 227</w:t>
            </w:r>
          </w:p>
        </w:tc>
        <w:tc>
          <w:tcPr>
            <w:tcW w:w="4876" w:type="dxa"/>
            <w:hideMark/>
          </w:tcPr>
          <w:p w:rsidR="006D5E42" w:rsidRPr="008824D6" w:rsidRDefault="00D107CE" w:rsidP="00587FE8">
            <w:pPr>
              <w:pStyle w:val="Normal6"/>
              <w:rPr>
                <w:szCs w:val="24"/>
              </w:rPr>
            </w:pPr>
            <w:r>
              <w:t>Suomija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Švedija</w:t>
            </w:r>
            <w:r>
              <w:rPr>
                <w:b/>
                <w:i/>
              </w:rPr>
              <w:t xml:space="preserve"> 211 550 876</w:t>
            </w:r>
          </w:p>
        </w:tc>
        <w:tc>
          <w:tcPr>
            <w:tcW w:w="4876" w:type="dxa"/>
            <w:hideMark/>
          </w:tcPr>
          <w:p w:rsidR="006D5E42" w:rsidRPr="008824D6" w:rsidRDefault="00D107CE" w:rsidP="00587FE8">
            <w:pPr>
              <w:pStyle w:val="Normal6"/>
              <w:rPr>
                <w:szCs w:val="24"/>
              </w:rPr>
            </w:pPr>
            <w:r>
              <w:t>Švedija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Iš viso</w:t>
            </w:r>
            <w:r>
              <w:rPr>
                <w:b/>
                <w:i/>
              </w:rPr>
              <w:t xml:space="preserve"> </w:t>
            </w:r>
            <w:r>
              <w:t>ES</w:t>
            </w:r>
            <w:r>
              <w:rPr>
                <w:b/>
                <w:i/>
              </w:rPr>
              <w:t xml:space="preserve"> 11 230 561 046</w:t>
            </w:r>
          </w:p>
        </w:tc>
        <w:tc>
          <w:tcPr>
            <w:tcW w:w="4876" w:type="dxa"/>
            <w:hideMark/>
          </w:tcPr>
          <w:p w:rsidR="006D5E42" w:rsidRPr="008824D6" w:rsidRDefault="00D107CE" w:rsidP="00587FE8">
            <w:pPr>
              <w:pStyle w:val="Normal6"/>
              <w:rPr>
                <w:szCs w:val="24"/>
              </w:rPr>
            </w:pPr>
            <w:r>
              <w:t>Iš viso ES</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Techninė parama</w:t>
            </w:r>
            <w:r>
              <w:rPr>
                <w:b/>
                <w:i/>
              </w:rPr>
              <w:t xml:space="preserve"> 28 146 770</w:t>
            </w:r>
          </w:p>
        </w:tc>
        <w:tc>
          <w:tcPr>
            <w:tcW w:w="4876" w:type="dxa"/>
            <w:hideMark/>
          </w:tcPr>
          <w:p w:rsidR="006D5E42" w:rsidRPr="008824D6" w:rsidRDefault="00D107CE" w:rsidP="00587FE8">
            <w:pPr>
              <w:pStyle w:val="Normal6"/>
              <w:rPr>
                <w:szCs w:val="24"/>
              </w:rPr>
            </w:pPr>
            <w:r>
              <w:t>Techninė parama</w:t>
            </w:r>
            <w:r>
              <w:rPr>
                <w:b/>
                <w:i/>
              </w:rPr>
              <w:t xml:space="preserve"> X </w:t>
            </w:r>
          </w:p>
        </w:tc>
      </w:tr>
      <w:tr w:rsidR="00BE5522" w:rsidTr="00587FE8">
        <w:trPr>
          <w:jc w:val="center"/>
        </w:trPr>
        <w:tc>
          <w:tcPr>
            <w:tcW w:w="4876" w:type="dxa"/>
          </w:tcPr>
          <w:p w:rsidR="006D5E42" w:rsidRPr="008824D6" w:rsidRDefault="00D107CE" w:rsidP="00587FE8">
            <w:pPr>
              <w:pStyle w:val="Normal6"/>
              <w:rPr>
                <w:b/>
                <w:i/>
              </w:rPr>
            </w:pPr>
            <w:r>
              <w:t>Iš viso</w:t>
            </w:r>
            <w:r>
              <w:rPr>
                <w:b/>
                <w:i/>
              </w:rPr>
              <w:t xml:space="preserve"> 11 258 707 816</w:t>
            </w:r>
          </w:p>
        </w:tc>
        <w:tc>
          <w:tcPr>
            <w:tcW w:w="4876" w:type="dxa"/>
            <w:hideMark/>
          </w:tcPr>
          <w:p w:rsidR="006D5E42" w:rsidRPr="008824D6" w:rsidRDefault="00D107CE" w:rsidP="00587FE8">
            <w:pPr>
              <w:pStyle w:val="Normal6"/>
              <w:rPr>
                <w:szCs w:val="24"/>
              </w:rPr>
            </w:pPr>
            <w:r>
              <w:t>Iš viso</w:t>
            </w:r>
            <w:r>
              <w:rPr>
                <w:b/>
                <w:i/>
              </w:rPr>
              <w:t xml:space="preserve"> X </w:t>
            </w:r>
          </w:p>
        </w:tc>
      </w:tr>
    </w:tbl>
    <w:p w:rsidR="006D5E42" w:rsidRPr="008824D6" w:rsidRDefault="00D107CE" w:rsidP="006D5E42">
      <w:r>
        <w:rPr>
          <w:rStyle w:val="HideTWBExt"/>
        </w:rPr>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89</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II priedas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D107CE" w:rsidP="00587FE8">
            <w:pPr>
              <w:pStyle w:val="Normal6"/>
            </w:pPr>
            <w:r>
              <w:t xml:space="preserve">II </w:t>
            </w:r>
            <w:r>
              <w:t>priedas</w:t>
            </w:r>
          </w:p>
        </w:tc>
        <w:tc>
          <w:tcPr>
            <w:tcW w:w="4876" w:type="dxa"/>
          </w:tcPr>
          <w:p w:rsidR="006D5E42" w:rsidRPr="008824D6" w:rsidRDefault="00D107CE" w:rsidP="00587FE8">
            <w:pPr>
              <w:pStyle w:val="Normal6"/>
              <w:rPr>
                <w:szCs w:val="24"/>
              </w:rPr>
            </w:pPr>
            <w:r>
              <w:rPr>
                <w:szCs w:val="24"/>
              </w:rPr>
              <w:t>II priedas</w:t>
            </w:r>
            <w:r>
              <w:rPr>
                <w:b/>
                <w:i/>
                <w:szCs w:val="24"/>
                <w:vertAlign w:val="superscript"/>
              </w:rPr>
              <w:t>1a</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rPr>
              <w:t>___________________</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bCs/>
                <w:i/>
                <w:iCs/>
                <w:vertAlign w:val="superscript"/>
              </w:rPr>
              <w:t>1a</w:t>
            </w:r>
            <w:r>
              <w:rPr>
                <w:b/>
                <w:i/>
              </w:rPr>
              <w:t>Visi skaičiai bus atnaujinti atsižvelgiant į EP poziciją dėl DFP.</w:t>
            </w:r>
            <w:r>
              <w:rPr>
                <w:b/>
                <w:bCs/>
                <w:i/>
                <w:iCs/>
              </w:rPr>
              <w:t xml:space="preserve"> 2018 m. lapkričio </w:t>
            </w:r>
            <w:r>
              <w:rPr>
                <w:b/>
                <w:bCs/>
                <w:i/>
                <w:iCs/>
              </w:rPr>
              <w:lastRenderedPageBreak/>
              <w:t>14 d. Europos Parlamento rezoliucijoje „2021–2027 m. daugiametė finansinė programa. Parlamento pozicija siekiant susitarimo“ (P8_TA(2018)0449) Europos Parlamentas pristato savo poziciją – 27 ES valstybių narių bendros žemės ūkio politiko</w:t>
            </w:r>
            <w:r>
              <w:rPr>
                <w:b/>
                <w:bCs/>
                <w:i/>
                <w:iCs/>
              </w:rPr>
              <w:t>s finansavimą realiąja verte išlaikyti tokio lygio, koks buvo 2014–2020 m. biudžete (kartu į biudžetą įtraukiant pradinę žemės ūkio rezervo sumą), t. y. 383 255 mln. EUR 2018 m. kainomis (431 946 mln. EUR dabartinėmis kainomis). Todėl sumos, dėl kurių reik</w:t>
            </w:r>
            <w:r>
              <w:rPr>
                <w:b/>
                <w:bCs/>
                <w:i/>
                <w:iCs/>
              </w:rPr>
              <w:t>ia susitarti šiame reglamente, turėtų būti apskaičiuojamos remiantis sumomis, dėl kurių susitarta 2021–2027 m. DFP, arba, jei dokumentas nebus priimtas laiku, remiantis 2020 m. pratęstomis viršutinėmis ribomis ir nuostatomis pagal SESV 312 straipsnio 4 dal</w:t>
            </w:r>
            <w:r>
              <w:rPr>
                <w:b/>
                <w:bCs/>
                <w:i/>
                <w:iCs/>
              </w:rPr>
              <w:t>į.</w:t>
            </w:r>
          </w:p>
        </w:tc>
      </w:tr>
    </w:tbl>
    <w:p w:rsidR="006D5E42" w:rsidRPr="008824D6" w:rsidRDefault="00D107CE" w:rsidP="006D5E42">
      <w:r>
        <w:rPr>
          <w:rStyle w:val="HideTWBExt"/>
        </w:rPr>
        <w:lastRenderedPageBreak/>
        <w:t>&lt;/Amend&gt;</w:t>
      </w:r>
    </w:p>
    <w:p w:rsidR="006D5E42" w:rsidRPr="008824D6" w:rsidRDefault="00D107CE" w:rsidP="006D5E42">
      <w:pPr>
        <w:pStyle w:val="AmNumberTabs"/>
      </w:pPr>
      <w:r>
        <w:rPr>
          <w:rStyle w:val="HideTWBExt"/>
          <w:b w:val="0"/>
        </w:rPr>
        <w:t>&lt;Amend&gt;</w:t>
      </w:r>
      <w:r>
        <w:t>Pakeitimas</w:t>
      </w:r>
      <w:r>
        <w:tab/>
      </w:r>
      <w:r>
        <w:tab/>
      </w:r>
      <w:r>
        <w:rPr>
          <w:rStyle w:val="HideTWBExt"/>
          <w:b w:val="0"/>
        </w:rPr>
        <w:t>&lt;NumAm&gt;</w:t>
      </w:r>
      <w:r>
        <w:t>90</w:t>
      </w:r>
      <w:r>
        <w:rPr>
          <w:rStyle w:val="HideTWBExt"/>
          <w:b w:val="0"/>
        </w:rPr>
        <w:t>&lt;/NumAm&gt;</w:t>
      </w:r>
    </w:p>
    <w:p w:rsidR="006D5E42" w:rsidRPr="008824D6" w:rsidRDefault="00D107CE" w:rsidP="006D5E42">
      <w:pPr>
        <w:pStyle w:val="NormalBold12b"/>
      </w:pPr>
      <w:r>
        <w:rPr>
          <w:rStyle w:val="HideTWBExt"/>
          <w:b w:val="0"/>
        </w:rPr>
        <w:t>&lt;DocAmend&gt;</w:t>
      </w:r>
      <w:r>
        <w:t>Pasiūlymas dėl reglamento</w:t>
      </w:r>
      <w:r>
        <w:rPr>
          <w:rStyle w:val="HideTWBExt"/>
          <w:b w:val="0"/>
        </w:rPr>
        <w:t>&lt;/DocAmend&gt;</w:t>
      </w:r>
    </w:p>
    <w:p w:rsidR="006D5E42" w:rsidRPr="008824D6" w:rsidRDefault="00D107CE" w:rsidP="006D5E42">
      <w:pPr>
        <w:pStyle w:val="NormalBold"/>
      </w:pPr>
      <w:r>
        <w:rPr>
          <w:rStyle w:val="HideTWBExt"/>
          <w:b w:val="0"/>
        </w:rPr>
        <w:t>&lt;Article&gt;</w:t>
      </w:r>
      <w:r>
        <w:t>III priedas</w:t>
      </w:r>
      <w:r>
        <w:rPr>
          <w:rStyle w:val="HideTWBExt"/>
          <w:b w:val="0"/>
        </w:rPr>
        <w:t>&lt;/Article&gt;</w:t>
      </w:r>
    </w:p>
    <w:p w:rsidR="006D5E42" w:rsidRPr="008824D6" w:rsidRDefault="006D5E42" w:rsidP="006D5E42"/>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5522" w:rsidTr="00587FE8">
        <w:trPr>
          <w:jc w:val="center"/>
        </w:trPr>
        <w:tc>
          <w:tcPr>
            <w:tcW w:w="9752" w:type="dxa"/>
            <w:gridSpan w:val="2"/>
          </w:tcPr>
          <w:p w:rsidR="006D5E42" w:rsidRPr="008824D6" w:rsidRDefault="006D5E42" w:rsidP="00587FE8">
            <w:pPr>
              <w:keepNext/>
            </w:pPr>
          </w:p>
        </w:tc>
      </w:tr>
      <w:tr w:rsidR="00BE5522" w:rsidTr="00587FE8">
        <w:trPr>
          <w:jc w:val="center"/>
        </w:trPr>
        <w:tc>
          <w:tcPr>
            <w:tcW w:w="4876" w:type="dxa"/>
            <w:hideMark/>
          </w:tcPr>
          <w:p w:rsidR="006D5E42" w:rsidRPr="008824D6" w:rsidRDefault="00D107CE" w:rsidP="00587FE8">
            <w:pPr>
              <w:pStyle w:val="ColumnHeading"/>
              <w:keepNext/>
            </w:pPr>
            <w:r>
              <w:t>Komisijos siūlomas tekstas</w:t>
            </w:r>
          </w:p>
        </w:tc>
        <w:tc>
          <w:tcPr>
            <w:tcW w:w="4876" w:type="dxa"/>
            <w:hideMark/>
          </w:tcPr>
          <w:p w:rsidR="006D5E42" w:rsidRPr="008824D6" w:rsidRDefault="00D107CE" w:rsidP="00587FE8">
            <w:pPr>
              <w:pStyle w:val="ColumnHeading"/>
              <w:keepNext/>
            </w:pPr>
            <w:r>
              <w:t>Pakeitimas</w:t>
            </w:r>
          </w:p>
        </w:tc>
      </w:tr>
      <w:tr w:rsidR="00BE5522" w:rsidTr="00587FE8">
        <w:trPr>
          <w:jc w:val="center"/>
        </w:trPr>
        <w:tc>
          <w:tcPr>
            <w:tcW w:w="4876" w:type="dxa"/>
          </w:tcPr>
          <w:p w:rsidR="006D5E42" w:rsidRPr="008824D6" w:rsidRDefault="00D107CE" w:rsidP="00587FE8">
            <w:pPr>
              <w:pStyle w:val="Normal6"/>
            </w:pPr>
            <w:r>
              <w:t>III priedas</w:t>
            </w:r>
          </w:p>
        </w:tc>
        <w:tc>
          <w:tcPr>
            <w:tcW w:w="4876" w:type="dxa"/>
          </w:tcPr>
          <w:p w:rsidR="006D5E42" w:rsidRPr="008824D6" w:rsidRDefault="00D107CE" w:rsidP="00587FE8">
            <w:pPr>
              <w:pStyle w:val="Normal6"/>
              <w:rPr>
                <w:b/>
                <w:i/>
                <w:szCs w:val="24"/>
              </w:rPr>
            </w:pPr>
            <w:r>
              <w:rPr>
                <w:szCs w:val="24"/>
              </w:rPr>
              <w:t>III priedas</w:t>
            </w:r>
            <w:r>
              <w:rPr>
                <w:b/>
                <w:i/>
                <w:szCs w:val="24"/>
                <w:vertAlign w:val="superscript"/>
              </w:rPr>
              <w:t>1a</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i/>
              </w:rPr>
              <w:t>___________________</w:t>
            </w:r>
          </w:p>
        </w:tc>
      </w:tr>
      <w:tr w:rsidR="00BE5522" w:rsidTr="00587FE8">
        <w:trPr>
          <w:jc w:val="center"/>
        </w:trPr>
        <w:tc>
          <w:tcPr>
            <w:tcW w:w="4876" w:type="dxa"/>
          </w:tcPr>
          <w:p w:rsidR="006D5E42" w:rsidRPr="008824D6" w:rsidRDefault="006D5E42" w:rsidP="00587FE8">
            <w:pPr>
              <w:pStyle w:val="Normal6"/>
              <w:rPr>
                <w:i/>
                <w:iCs/>
                <w:szCs w:val="24"/>
                <w:lang w:val="en-GB"/>
              </w:rPr>
            </w:pPr>
          </w:p>
        </w:tc>
        <w:tc>
          <w:tcPr>
            <w:tcW w:w="4876" w:type="dxa"/>
          </w:tcPr>
          <w:p w:rsidR="006D5E42" w:rsidRPr="008824D6" w:rsidRDefault="00D107CE" w:rsidP="00587FE8">
            <w:pPr>
              <w:pStyle w:val="Normal6"/>
              <w:rPr>
                <w:i/>
                <w:iCs/>
                <w:szCs w:val="24"/>
              </w:rPr>
            </w:pPr>
            <w:r>
              <w:rPr>
                <w:b/>
                <w:bCs/>
                <w:i/>
                <w:iCs/>
                <w:vertAlign w:val="superscript"/>
              </w:rPr>
              <w:t>1a</w:t>
            </w:r>
            <w:r>
              <w:rPr>
                <w:b/>
                <w:i/>
              </w:rPr>
              <w:t xml:space="preserve">Visi skaičiai bus atnaujinti </w:t>
            </w:r>
            <w:r>
              <w:rPr>
                <w:b/>
                <w:i/>
              </w:rPr>
              <w:t>atsižvelgiant į EP poziciją dėl DFP.</w:t>
            </w:r>
            <w:r>
              <w:rPr>
                <w:b/>
                <w:bCs/>
                <w:i/>
                <w:iCs/>
              </w:rPr>
              <w:t xml:space="preserve"> 2018 m. lapkričio 14 d. Europos Parlamento rezoliucijoje „2021–2027 m. daugiametė finansinė programa. Parlamento pozicija siekiant susitarimo“ (P8_TA(2018)0449) Europos Parlamentas pristato savo poziciją – 27 ES valstyb</w:t>
            </w:r>
            <w:r>
              <w:rPr>
                <w:b/>
                <w:bCs/>
                <w:i/>
                <w:iCs/>
              </w:rPr>
              <w:t xml:space="preserve">ių narių bendros žemės ūkio politikos finansavimą realiąja verte išlaikyti tokio lygio, koks buvo 2014–2020 m. biudžete (kartu į biudžetą įtraukiant pradinę žemės ūkio rezervo sumą), t. y. 383 255 mln. EUR 2018 m. kainomis (431 946 mln. EUR </w:t>
            </w:r>
            <w:r>
              <w:rPr>
                <w:b/>
                <w:bCs/>
                <w:i/>
                <w:iCs/>
              </w:rPr>
              <w:lastRenderedPageBreak/>
              <w:t>dabartinėmis ka</w:t>
            </w:r>
            <w:r>
              <w:rPr>
                <w:b/>
                <w:bCs/>
                <w:i/>
                <w:iCs/>
              </w:rPr>
              <w:t>inomis). Todėl sumos, dėl kurių reikia susitarti šiame reglamente, turėtų būti apskaičiuojamos remiantis sumomis, dėl kurių susitarta 2021–2027 m. DFP, arba, jei dokumentas nebus priimtas laiku, remiantis 2020 m. pratęstomis viršutinėmis ribomis ir nuostat</w:t>
            </w:r>
            <w:r>
              <w:rPr>
                <w:b/>
                <w:bCs/>
                <w:i/>
                <w:iCs/>
              </w:rPr>
              <w:t>omis pagal SESV 312 straipsnio 4 dalį.</w:t>
            </w:r>
          </w:p>
        </w:tc>
      </w:tr>
    </w:tbl>
    <w:p w:rsidR="006D5E42" w:rsidRPr="008824D6" w:rsidRDefault="00D107CE" w:rsidP="006D5E42">
      <w:r>
        <w:rPr>
          <w:rStyle w:val="HideTWBExt"/>
        </w:rPr>
        <w:lastRenderedPageBreak/>
        <w:t>&lt;/Amend&gt;</w:t>
      </w:r>
    </w:p>
    <w:p w:rsidR="006D5E42" w:rsidRPr="008824D6" w:rsidRDefault="00D107CE" w:rsidP="006D5E42">
      <w:r>
        <w:rPr>
          <w:rStyle w:val="HideTWBExt"/>
          <w:szCs w:val="20"/>
        </w:rPr>
        <w:t>&lt;/RepeatBlock-Amend&gt;</w:t>
      </w:r>
    </w:p>
    <w:p w:rsidR="0022789D" w:rsidRPr="00101A66" w:rsidRDefault="00D107CE" w:rsidP="0022789D">
      <w:r>
        <w:br w:type="page"/>
      </w:r>
    </w:p>
    <w:p w:rsidR="0022789D" w:rsidRPr="00101A66" w:rsidRDefault="00D107CE" w:rsidP="0022789D">
      <w:pPr>
        <w:pStyle w:val="PageHeadingNotTOC"/>
      </w:pPr>
      <w:bookmarkStart w:id="2" w:name="ProcPageAD"/>
      <w:r>
        <w:lastRenderedPageBreak/>
        <w:t>NUOMONĘ TEIKIANČIO KOMITETO PROCEDŪRA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 xml:space="preserve">Pereinamojo laikotarpio nuostatos dėl 2021 m. paramos iš Europos žemės ūkio fondo kaimo plėtrai (EŽŪFKP) ir Europos žemės ūkio </w:t>
            </w:r>
            <w:r>
              <w:rPr>
                <w:color w:val="000000"/>
                <w:sz w:val="20"/>
                <w:szCs w:val="20"/>
              </w:rPr>
              <w:t>garantijų fondo (EŽŪGF)</w:t>
            </w:r>
          </w:p>
        </w:tc>
      </w:tr>
      <w:tr w:rsidR="00BE55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COM(2019)0581 – C9-0162/2019 – 2019/0254(COD)</w:t>
            </w: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Atsakingas komitetas</w:t>
            </w:r>
          </w:p>
          <w:p w:rsidR="0022789D" w:rsidRPr="00101A66" w:rsidRDefault="00D107CE">
            <w:pPr>
              <w:autoSpaceDE w:val="0"/>
              <w:autoSpaceDN w:val="0"/>
              <w:adjustRightInd w:val="0"/>
              <w:rPr>
                <w:color w:val="000000"/>
                <w:sz w:val="20"/>
                <w:szCs w:val="20"/>
              </w:rPr>
            </w:pPr>
            <w:r>
              <w:rPr>
                <w:color w:val="000000"/>
                <w:sz w:val="20"/>
                <w:szCs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AGRI</w:t>
            </w:r>
          </w:p>
          <w:p w:rsidR="0022789D" w:rsidRPr="00101A66" w:rsidRDefault="00D107CE">
            <w:pPr>
              <w:autoSpaceDE w:val="0"/>
              <w:autoSpaceDN w:val="0"/>
              <w:adjustRightInd w:val="0"/>
              <w:rPr>
                <w:color w:val="000000"/>
                <w:sz w:val="20"/>
                <w:szCs w:val="20"/>
              </w:rPr>
            </w:pPr>
            <w:r>
              <w:rPr>
                <w:color w:val="000000"/>
                <w:sz w:val="20"/>
                <w:szCs w:val="20"/>
              </w:rPr>
              <w:t>25.11.2019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Nuomonę pateikė</w:t>
            </w:r>
          </w:p>
          <w:p w:rsidR="0022789D" w:rsidRPr="00101A66" w:rsidRDefault="00D107CE">
            <w:pPr>
              <w:autoSpaceDE w:val="0"/>
              <w:autoSpaceDN w:val="0"/>
              <w:adjustRightInd w:val="0"/>
              <w:rPr>
                <w:color w:val="000000"/>
                <w:sz w:val="20"/>
                <w:szCs w:val="20"/>
              </w:rPr>
            </w:pPr>
            <w:r>
              <w:rPr>
                <w:color w:val="000000"/>
                <w:sz w:val="20"/>
                <w:szCs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REGI</w:t>
            </w:r>
          </w:p>
          <w:p w:rsidR="0022789D" w:rsidRPr="00101A66" w:rsidRDefault="00D107CE">
            <w:pPr>
              <w:autoSpaceDE w:val="0"/>
              <w:autoSpaceDN w:val="0"/>
              <w:adjustRightInd w:val="0"/>
              <w:rPr>
                <w:color w:val="000000"/>
                <w:sz w:val="20"/>
                <w:szCs w:val="20"/>
              </w:rPr>
            </w:pPr>
            <w:r>
              <w:rPr>
                <w:color w:val="000000"/>
                <w:sz w:val="20"/>
                <w:szCs w:val="20"/>
              </w:rPr>
              <w:t>25.11.2019</w:t>
            </w: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 xml:space="preserve">Nuomonės </w:t>
            </w:r>
            <w:r>
              <w:rPr>
                <w:b/>
                <w:bCs/>
                <w:color w:val="000000"/>
                <w:sz w:val="20"/>
                <w:szCs w:val="20"/>
              </w:rPr>
              <w:t>referentas (-ė)</w:t>
            </w:r>
          </w:p>
          <w:p w:rsidR="0022789D" w:rsidRPr="00101A66" w:rsidRDefault="00D107CE">
            <w:pPr>
              <w:autoSpaceDE w:val="0"/>
              <w:autoSpaceDN w:val="0"/>
              <w:adjustRightInd w:val="0"/>
              <w:rPr>
                <w:color w:val="000000"/>
                <w:sz w:val="20"/>
                <w:szCs w:val="20"/>
              </w:rPr>
            </w:pPr>
            <w:r>
              <w:rPr>
                <w:color w:val="000000"/>
                <w:sz w:val="20"/>
                <w:szCs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Herbert Dorfmann</w:t>
            </w:r>
          </w:p>
          <w:p w:rsidR="0022789D" w:rsidRPr="00101A66" w:rsidRDefault="00D107CE">
            <w:pPr>
              <w:autoSpaceDE w:val="0"/>
              <w:autoSpaceDN w:val="0"/>
              <w:adjustRightInd w:val="0"/>
              <w:rPr>
                <w:color w:val="000000"/>
                <w:sz w:val="20"/>
                <w:szCs w:val="20"/>
              </w:rPr>
            </w:pPr>
            <w:r>
              <w:rPr>
                <w:color w:val="000000"/>
                <w:sz w:val="20"/>
                <w:szCs w:val="20"/>
              </w:rPr>
              <w:t>5.12.2019</w:t>
            </w: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20.2.2020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r>
      <w:tr w:rsidR="00BE55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20.4.2020</w:t>
            </w:r>
          </w:p>
        </w:tc>
        <w:tc>
          <w:tcPr>
            <w:tcW w:w="1474" w:type="dxa"/>
            <w:tcBorders>
              <w:top w:val="nil"/>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2789D" w:rsidRPr="00101A66" w:rsidRDefault="0022789D">
            <w:pPr>
              <w:autoSpaceDE w:val="0"/>
              <w:autoSpaceDN w:val="0"/>
              <w:adjustRightInd w:val="0"/>
              <w:rPr>
                <w:rFonts w:ascii="sans-serif" w:hAnsi="sans-serif" w:cs="sans-serif"/>
                <w:color w:val="000000"/>
              </w:rPr>
            </w:pP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w:t>
            </w:r>
          </w:p>
          <w:p w:rsidR="0022789D" w:rsidRPr="00101A66" w:rsidRDefault="00D107CE">
            <w:pPr>
              <w:autoSpaceDE w:val="0"/>
              <w:autoSpaceDN w:val="0"/>
              <w:adjustRightInd w:val="0"/>
              <w:rPr>
                <w:color w:val="000000"/>
                <w:sz w:val="20"/>
                <w:szCs w:val="20"/>
              </w:rPr>
            </w:pPr>
            <w:r>
              <w:rPr>
                <w:color w:val="000000"/>
                <w:sz w:val="20"/>
                <w:szCs w:val="20"/>
              </w:rPr>
              <w:t>–:</w:t>
            </w:r>
          </w:p>
          <w:p w:rsidR="0022789D" w:rsidRPr="00101A66" w:rsidRDefault="00D107CE">
            <w:pPr>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43</w:t>
            </w:r>
          </w:p>
          <w:p w:rsidR="0022789D" w:rsidRPr="00101A66" w:rsidRDefault="00D107CE">
            <w:pPr>
              <w:autoSpaceDE w:val="0"/>
              <w:autoSpaceDN w:val="0"/>
              <w:adjustRightInd w:val="0"/>
              <w:rPr>
                <w:color w:val="000000"/>
                <w:sz w:val="20"/>
                <w:szCs w:val="20"/>
              </w:rPr>
            </w:pPr>
            <w:r>
              <w:rPr>
                <w:color w:val="000000"/>
                <w:sz w:val="20"/>
                <w:szCs w:val="20"/>
              </w:rPr>
              <w:t>0</w:t>
            </w:r>
          </w:p>
          <w:p w:rsidR="0022789D" w:rsidRPr="00101A66" w:rsidRDefault="00D107CE">
            <w:pPr>
              <w:autoSpaceDE w:val="0"/>
              <w:autoSpaceDN w:val="0"/>
              <w:adjustRightInd w:val="0"/>
              <w:rPr>
                <w:color w:val="000000"/>
                <w:sz w:val="20"/>
                <w:szCs w:val="20"/>
              </w:rPr>
            </w:pPr>
            <w:r>
              <w:rPr>
                <w:color w:val="000000"/>
                <w:sz w:val="20"/>
                <w:szCs w:val="20"/>
              </w:rPr>
              <w:t>0</w:t>
            </w:r>
          </w:p>
        </w:tc>
      </w:tr>
      <w:tr w:rsidR="00BE55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 xml:space="preserve">Mathilde Androuët, Pascal </w:t>
            </w:r>
            <w:r>
              <w:rPr>
                <w:color w:val="000000"/>
                <w:sz w:val="20"/>
                <w:szCs w:val="20"/>
              </w:rPr>
              <w:t xml:space="preserve">Arimont, Adrian-Dragoş Benea, Isabel Benjumea Benjumea, Tom Berendsen, Erik Bergkvist, Stéphane Bijoux, Franc Bogovič, Andrea Cozzolino, Corina Crețu, Rosa D’Amato, Christian Doleschal, Francesca Donato, Raffaele Fitto, Chiara Gemma, Mircea-Gheorghe Hava, </w:t>
            </w:r>
            <w:r>
              <w:rPr>
                <w:color w:val="000000"/>
                <w:sz w:val="20"/>
                <w:szCs w:val="20"/>
              </w:rPr>
              <w:t>Krzysztof Hetman, Peter Jahr, Manolis Kefalogiannis, Ondřej Knotek, Constanze Krehl, Elżbieta Kruk, Cristina Maestre Martín De Almagro, Nora Mebarek, Martina Michels, Andżelika Anna Możdżanowska, Niklas Nienaß, Andrey Novakov, Younous Omarjee, Alessandro P</w:t>
            </w:r>
            <w:r>
              <w:rPr>
                <w:color w:val="000000"/>
                <w:sz w:val="20"/>
                <w:szCs w:val="20"/>
              </w:rPr>
              <w:t>anza, Tsvetelina Penkova, Caroline Roose, André Rougé, Vincenzo Sofo, Irène Tolleret, Valdemar Tomaševski, Monika Vana</w:t>
            </w:r>
          </w:p>
        </w:tc>
      </w:tr>
      <w:tr w:rsidR="00BE55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b/>
                <w:bCs/>
                <w:color w:val="000000"/>
                <w:sz w:val="20"/>
                <w:szCs w:val="20"/>
              </w:rPr>
            </w:pPr>
            <w:r>
              <w:rPr>
                <w:b/>
                <w:bCs/>
                <w:color w:val="000000"/>
                <w:sz w:val="20"/>
                <w:szCs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789D" w:rsidRPr="00101A66" w:rsidRDefault="00D107CE">
            <w:pPr>
              <w:autoSpaceDE w:val="0"/>
              <w:autoSpaceDN w:val="0"/>
              <w:adjustRightInd w:val="0"/>
              <w:rPr>
                <w:color w:val="000000"/>
                <w:sz w:val="20"/>
                <w:szCs w:val="20"/>
              </w:rPr>
            </w:pPr>
            <w:r>
              <w:rPr>
                <w:color w:val="000000"/>
                <w:sz w:val="20"/>
                <w:szCs w:val="20"/>
              </w:rPr>
              <w:t xml:space="preserve">Vlad-Marius Botoş, Isabel Carvalhais, Herbert Dorfmann, Laurence Farreng, </w:t>
            </w:r>
            <w:r>
              <w:rPr>
                <w:color w:val="000000"/>
                <w:sz w:val="20"/>
                <w:szCs w:val="20"/>
              </w:rPr>
              <w:t>Sandro Gozi, Bronis Ropė</w:t>
            </w:r>
          </w:p>
        </w:tc>
      </w:tr>
    </w:tbl>
    <w:p w:rsidR="0022789D" w:rsidRPr="00101A66" w:rsidRDefault="0022789D" w:rsidP="001363BA"/>
    <w:bookmarkEnd w:id="2"/>
    <w:p w:rsidR="001363BA" w:rsidRPr="00101A66" w:rsidRDefault="001363BA" w:rsidP="001363BA">
      <w:pPr>
        <w:sectPr w:rsidR="001363BA" w:rsidRPr="00101A66" w:rsidSect="00F1341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1363BA" w:rsidRPr="00101A66" w:rsidRDefault="00D107CE" w:rsidP="00C36610">
      <w:pPr>
        <w:pStyle w:val="PageHeadingNotTOC"/>
      </w:pPr>
      <w:bookmarkStart w:id="3" w:name="RollCallPageAD"/>
      <w:r>
        <w:lastRenderedPageBreak/>
        <w:t>GALUTINIS VARDINIS BALSAVIMAS NUOMONĘ TEIKIANČIAME KOMITETE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E5522" w:rsidTr="005A413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63BA" w:rsidRPr="00101A66" w:rsidRDefault="00D107CE" w:rsidP="005A413F">
            <w:pPr>
              <w:widowControl/>
              <w:spacing w:before="120" w:after="120"/>
              <w:jc w:val="center"/>
              <w:rPr>
                <w:b/>
                <w:sz w:val="20"/>
              </w:rPr>
            </w:pPr>
            <w:r>
              <w:rPr>
                <w:b/>
                <w:sz w:val="20"/>
              </w:rPr>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363BA" w:rsidRPr="00101A66" w:rsidRDefault="00D107CE" w:rsidP="005A413F">
            <w:pPr>
              <w:widowControl/>
              <w:spacing w:before="120" w:after="120"/>
              <w:jc w:val="center"/>
              <w:rPr>
                <w:rFonts w:ascii="Arial" w:hAnsi="Arial" w:cs="Arial"/>
                <w:b/>
                <w:sz w:val="28"/>
                <w:szCs w:val="28"/>
              </w:rPr>
            </w:pPr>
            <w:r>
              <w:rPr>
                <w:rFonts w:ascii="Arial" w:hAnsi="Arial"/>
                <w:b/>
                <w:sz w:val="28"/>
                <w:szCs w:val="28"/>
              </w:rPr>
              <w:t>+</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szCs w:val="20"/>
              </w:rPr>
            </w:pPr>
            <w:r>
              <w:rPr>
                <w:sz w:val="20"/>
                <w:szCs w:val="20"/>
              </w:rPr>
              <w:t xml:space="preserve">Raffaele Fitto, Elżbieta Kruk, Andżelika Anna Możdżanowska, </w:t>
            </w:r>
            <w:r>
              <w:rPr>
                <w:color w:val="000000"/>
                <w:sz w:val="20"/>
                <w:szCs w:val="20"/>
              </w:rPr>
              <w:t>Valdemar Tomaševski</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szCs w:val="20"/>
              </w:rPr>
            </w:pPr>
            <w:r>
              <w:rPr>
                <w:sz w:val="20"/>
                <w:szCs w:val="20"/>
              </w:rPr>
              <w:t>Martina Michels, Younous Omarjee</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szCs w:val="20"/>
              </w:rPr>
            </w:pPr>
            <w:r>
              <w:rPr>
                <w:sz w:val="20"/>
                <w:szCs w:val="20"/>
              </w:rPr>
              <w:t xml:space="preserve">Mathilde Androuët, Francesca </w:t>
            </w:r>
            <w:r>
              <w:rPr>
                <w:sz w:val="20"/>
                <w:szCs w:val="20"/>
              </w:rPr>
              <w:t>Donato, Alessandro Panza, André Rougé, Vincenzo Sofo</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rPr>
            </w:pPr>
            <w:r>
              <w:rPr>
                <w:sz w:val="20"/>
              </w:rPr>
              <w:t>Rosa D'Amato, Chiara Gemma</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szCs w:val="20"/>
              </w:rPr>
            </w:pPr>
            <w:r>
              <w:rPr>
                <w:sz w:val="20"/>
                <w:szCs w:val="20"/>
              </w:rPr>
              <w:t xml:space="preserve">Pascal Arimont, Isabel Benjumea Benjumea, Tom Berendsen, Franc Bogovič, </w:t>
            </w:r>
            <w:r>
              <w:rPr>
                <w:color w:val="000000"/>
                <w:sz w:val="20"/>
                <w:szCs w:val="20"/>
              </w:rPr>
              <w:t>Christian Doleschal,</w:t>
            </w:r>
            <w:r>
              <w:rPr>
                <w:sz w:val="20"/>
                <w:szCs w:val="20"/>
              </w:rPr>
              <w:t xml:space="preserve"> Herbert Dorfmann, Mircea-Gheorghe Hava, Krzysztof Hetman, Peter Jahr, Mano</w:t>
            </w:r>
            <w:r>
              <w:rPr>
                <w:sz w:val="20"/>
                <w:szCs w:val="20"/>
              </w:rPr>
              <w:t>lis Kefalogiannis, Andrey Novakov</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363BA" w:rsidRPr="00101A66" w:rsidRDefault="00D107CE" w:rsidP="005A413F">
            <w:pPr>
              <w:widowControl/>
              <w:spacing w:before="120" w:after="120"/>
              <w:rPr>
                <w:sz w:val="20"/>
              </w:rPr>
            </w:pPr>
            <w:r>
              <w:rPr>
                <w:sz w:val="20"/>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363BA" w:rsidRPr="00101A66" w:rsidRDefault="00D107CE" w:rsidP="005A413F">
            <w:pPr>
              <w:widowControl/>
              <w:spacing w:before="120" w:after="120"/>
              <w:rPr>
                <w:sz w:val="20"/>
                <w:szCs w:val="20"/>
              </w:rPr>
            </w:pPr>
            <w:r>
              <w:rPr>
                <w:sz w:val="20"/>
                <w:szCs w:val="20"/>
              </w:rPr>
              <w:t xml:space="preserve">Stéphane Bijoux, </w:t>
            </w:r>
            <w:r>
              <w:rPr>
                <w:color w:val="000000"/>
                <w:sz w:val="20"/>
                <w:szCs w:val="20"/>
              </w:rPr>
              <w:t>Vlad-Marius Botoş,</w:t>
            </w:r>
            <w:r>
              <w:rPr>
                <w:sz w:val="20"/>
                <w:szCs w:val="20"/>
              </w:rPr>
              <w:t xml:space="preserve"> Laurence Farreng, </w:t>
            </w:r>
            <w:r>
              <w:rPr>
                <w:color w:val="000000"/>
                <w:sz w:val="20"/>
                <w:szCs w:val="20"/>
              </w:rPr>
              <w:t>Sandro Gozi</w:t>
            </w:r>
            <w:r>
              <w:rPr>
                <w:sz w:val="20"/>
                <w:szCs w:val="20"/>
              </w:rPr>
              <w:t xml:space="preserve">, Ondrej Knotek, </w:t>
            </w:r>
            <w:r>
              <w:rPr>
                <w:color w:val="000000"/>
                <w:sz w:val="20"/>
                <w:szCs w:val="20"/>
              </w:rPr>
              <w:t>Irène Tolleret</w:t>
            </w:r>
          </w:p>
        </w:tc>
      </w:tr>
      <w:tr w:rsidR="00BE5522" w:rsidTr="005A413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363BA" w:rsidRPr="00101A66" w:rsidRDefault="00D107CE" w:rsidP="005A413F">
            <w:pPr>
              <w:widowControl/>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363BA" w:rsidRPr="00101A66" w:rsidRDefault="00D107CE" w:rsidP="005A413F">
            <w:pPr>
              <w:widowControl/>
              <w:spacing w:before="120" w:after="120"/>
              <w:rPr>
                <w:sz w:val="20"/>
                <w:szCs w:val="20"/>
              </w:rPr>
            </w:pPr>
            <w:r>
              <w:rPr>
                <w:sz w:val="20"/>
                <w:szCs w:val="20"/>
              </w:rPr>
              <w:t xml:space="preserve">Adrian-Dragoş Benea, Erik Bergkvist, </w:t>
            </w:r>
            <w:r>
              <w:rPr>
                <w:color w:val="000000"/>
                <w:sz w:val="20"/>
                <w:szCs w:val="20"/>
              </w:rPr>
              <w:t>Isabel Carvalhais</w:t>
            </w:r>
            <w:r>
              <w:rPr>
                <w:sz w:val="20"/>
                <w:szCs w:val="20"/>
              </w:rPr>
              <w:t>, Andrea Cozzolino, Corina Crețu, Constanze Krehl, Cristina</w:t>
            </w:r>
            <w:r>
              <w:rPr>
                <w:sz w:val="20"/>
                <w:szCs w:val="20"/>
              </w:rPr>
              <w:t xml:space="preserve"> Maestre Martín De Almagro, Nora Mebarek, Tsvetelina Penkova</w:t>
            </w:r>
          </w:p>
        </w:tc>
      </w:tr>
      <w:tr w:rsidR="00BE5522" w:rsidTr="005A413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363BA" w:rsidRPr="00101A66" w:rsidRDefault="00D107CE" w:rsidP="005A413F">
            <w:pPr>
              <w:widowControl/>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363BA" w:rsidRPr="00101A66" w:rsidRDefault="00D107CE" w:rsidP="005A413F">
            <w:pPr>
              <w:widowControl/>
              <w:spacing w:before="120" w:after="120"/>
              <w:rPr>
                <w:sz w:val="20"/>
                <w:szCs w:val="20"/>
              </w:rPr>
            </w:pPr>
            <w:r>
              <w:rPr>
                <w:color w:val="000000"/>
                <w:sz w:val="20"/>
                <w:szCs w:val="20"/>
              </w:rPr>
              <w:t>Niklas Nienaß,</w:t>
            </w:r>
            <w:r>
              <w:rPr>
                <w:sz w:val="20"/>
                <w:szCs w:val="20"/>
              </w:rPr>
              <w:t xml:space="preserve"> Caroline Roose, Bronis Ropė, Monika Vana</w:t>
            </w:r>
          </w:p>
        </w:tc>
      </w:tr>
    </w:tbl>
    <w:p w:rsidR="001363BA" w:rsidRPr="00101A66" w:rsidRDefault="001363BA" w:rsidP="001363BA">
      <w:pPr>
        <w:widowControl/>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E5522" w:rsidTr="005A413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63BA" w:rsidRPr="00101A66" w:rsidRDefault="00D107CE" w:rsidP="005A413F">
            <w:pPr>
              <w:widowControl/>
              <w:spacing w:before="120" w:after="120"/>
              <w:jc w:val="center"/>
              <w:rPr>
                <w:b/>
                <w:sz w:val="16"/>
              </w:rPr>
            </w:pPr>
            <w:r>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363BA" w:rsidRPr="00101A66" w:rsidRDefault="00D107CE" w:rsidP="005A413F">
            <w:pPr>
              <w:widowControl/>
              <w:spacing w:before="120" w:after="120"/>
              <w:jc w:val="center"/>
              <w:rPr>
                <w:sz w:val="28"/>
                <w:szCs w:val="28"/>
              </w:rPr>
            </w:pPr>
            <w:r>
              <w:rPr>
                <w:rFonts w:ascii="Arial" w:hAnsi="Arial"/>
                <w:b/>
                <w:sz w:val="28"/>
                <w:szCs w:val="28"/>
              </w:rPr>
              <w:t>-</w:t>
            </w:r>
          </w:p>
        </w:tc>
      </w:tr>
      <w:tr w:rsidR="00BE5522" w:rsidTr="005A413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363BA" w:rsidRPr="00101A66" w:rsidRDefault="001363BA" w:rsidP="005A413F">
            <w:pPr>
              <w:widowControl/>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363BA" w:rsidRPr="00101A66" w:rsidRDefault="001363BA" w:rsidP="005A413F">
            <w:pPr>
              <w:widowControl/>
              <w:spacing w:before="120" w:after="120"/>
              <w:rPr>
                <w:sz w:val="20"/>
              </w:rPr>
            </w:pPr>
          </w:p>
        </w:tc>
      </w:tr>
    </w:tbl>
    <w:p w:rsidR="001363BA" w:rsidRPr="00101A66" w:rsidRDefault="001363BA" w:rsidP="001363BA">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E5522" w:rsidTr="005A413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63BA" w:rsidRPr="00101A66" w:rsidRDefault="00D107CE" w:rsidP="005A413F">
            <w:pPr>
              <w:widowControl/>
              <w:spacing w:before="120" w:after="120"/>
              <w:jc w:val="center"/>
              <w:rPr>
                <w:b/>
                <w:sz w:val="16"/>
              </w:rPr>
            </w:pPr>
            <w:r>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363BA" w:rsidRPr="00101A66" w:rsidRDefault="00D107CE" w:rsidP="005A413F">
            <w:pPr>
              <w:widowControl/>
              <w:spacing w:before="120" w:after="120"/>
              <w:jc w:val="center"/>
              <w:rPr>
                <w:sz w:val="28"/>
                <w:szCs w:val="28"/>
              </w:rPr>
            </w:pPr>
            <w:r>
              <w:rPr>
                <w:rFonts w:ascii="Arial" w:hAnsi="Arial"/>
                <w:b/>
                <w:sz w:val="28"/>
                <w:szCs w:val="28"/>
              </w:rPr>
              <w:t>0</w:t>
            </w:r>
          </w:p>
        </w:tc>
      </w:tr>
      <w:tr w:rsidR="00BE5522" w:rsidTr="005A413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363BA" w:rsidRPr="00101A66" w:rsidRDefault="001363BA" w:rsidP="005A413F">
            <w:pPr>
              <w:widowControl/>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363BA" w:rsidRPr="00101A66" w:rsidRDefault="001363BA" w:rsidP="005A413F">
            <w:pPr>
              <w:widowControl/>
              <w:spacing w:before="120" w:after="120"/>
              <w:rPr>
                <w:sz w:val="20"/>
              </w:rPr>
            </w:pPr>
          </w:p>
        </w:tc>
      </w:tr>
    </w:tbl>
    <w:p w:rsidR="001363BA" w:rsidRPr="00101A66" w:rsidRDefault="001363BA" w:rsidP="00147FBF">
      <w:pPr>
        <w:pStyle w:val="Normal12a"/>
      </w:pPr>
    </w:p>
    <w:p w:rsidR="001363BA" w:rsidRPr="00101A66" w:rsidRDefault="00D107CE" w:rsidP="00B735E3">
      <w:r>
        <w:t>Sutartiniai ženklai:</w:t>
      </w:r>
    </w:p>
    <w:p w:rsidR="001363BA" w:rsidRPr="00101A66" w:rsidRDefault="00D107CE" w:rsidP="003858C5">
      <w:pPr>
        <w:pStyle w:val="RollCallTabs"/>
      </w:pPr>
      <w:r>
        <w:t>+</w:t>
      </w:r>
      <w:r>
        <w:tab/>
        <w:t>:</w:t>
      </w:r>
      <w:r>
        <w:tab/>
        <w:t>už</w:t>
      </w:r>
    </w:p>
    <w:p w:rsidR="001363BA" w:rsidRPr="00101A66" w:rsidRDefault="00D107CE" w:rsidP="003858C5">
      <w:pPr>
        <w:pStyle w:val="RollCallTabs"/>
      </w:pPr>
      <w:r>
        <w:t>-</w:t>
      </w:r>
      <w:r>
        <w:tab/>
        <w:t>:</w:t>
      </w:r>
      <w:r>
        <w:tab/>
        <w:t>prieš</w:t>
      </w:r>
    </w:p>
    <w:p w:rsidR="001363BA" w:rsidRPr="00101A66" w:rsidRDefault="00D107CE" w:rsidP="003858C5">
      <w:pPr>
        <w:pStyle w:val="RollCallTabs"/>
      </w:pPr>
      <w:r>
        <w:t>0</w:t>
      </w:r>
      <w:r>
        <w:tab/>
        <w:t>:</w:t>
      </w:r>
      <w:r>
        <w:tab/>
        <w:t>susilaikė</w:t>
      </w:r>
    </w:p>
    <w:p w:rsidR="001363BA" w:rsidRPr="00101A66" w:rsidRDefault="001363BA" w:rsidP="00207509"/>
    <w:bookmarkEnd w:id="3"/>
    <w:p w:rsidR="00DB56E4" w:rsidRPr="00101A66" w:rsidRDefault="00DB56E4" w:rsidP="001363BA"/>
    <w:sectPr w:rsidR="00DB56E4" w:rsidRPr="00101A66" w:rsidSect="001363BA">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07CE">
      <w:r>
        <w:separator/>
      </w:r>
    </w:p>
  </w:endnote>
  <w:endnote w:type="continuationSeparator" w:id="0">
    <w:p w:rsidR="00000000" w:rsidRDefault="00D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6" w:rsidRPr="00101A66" w:rsidRDefault="00D107CE" w:rsidP="00F13416">
    <w:pPr>
      <w:pStyle w:val="EPFooter"/>
    </w:pPr>
    <w:r w:rsidRPr="00101A66">
      <w:t>PE</w:t>
    </w:r>
    <w:r w:rsidRPr="00101A66">
      <w:rPr>
        <w:rStyle w:val="HideTWBExt"/>
        <w:noProof w:val="0"/>
      </w:rPr>
      <w:t>&lt;NoPE&gt;</w:t>
    </w:r>
    <w:r w:rsidRPr="00101A66">
      <w:t>646.963</w:t>
    </w:r>
    <w:r w:rsidRPr="00101A66">
      <w:rPr>
        <w:rStyle w:val="HideTWBExt"/>
        <w:noProof w:val="0"/>
      </w:rPr>
      <w:t>&lt;/NoPE&gt;&lt;Version&gt;</w:t>
    </w:r>
    <w:r w:rsidRPr="00101A66">
      <w:t>v04-00</w:t>
    </w:r>
    <w:r w:rsidRPr="00101A66">
      <w:rPr>
        <w:rStyle w:val="HideTWBExt"/>
        <w:noProof w:val="0"/>
      </w:rPr>
      <w:t>&lt;/Version&gt;</w:t>
    </w:r>
    <w:r w:rsidRPr="00101A66">
      <w:tab/>
    </w:r>
    <w:r w:rsidRPr="00101A66">
      <w:fldChar w:fldCharType="begin"/>
    </w:r>
    <w:r w:rsidRPr="00101A66">
      <w:instrText xml:space="preserve"> PAGE  \* MERGEFORMAT </w:instrText>
    </w:r>
    <w:r w:rsidRPr="00101A66">
      <w:fldChar w:fldCharType="separate"/>
    </w:r>
    <w:r>
      <w:rPr>
        <w:noProof/>
      </w:rPr>
      <w:t>28</w:t>
    </w:r>
    <w:r w:rsidRPr="00101A66">
      <w:fldChar w:fldCharType="end"/>
    </w:r>
    <w:r w:rsidRPr="00101A66">
      <w:t>/</w:t>
    </w:r>
    <w:r w:rsidR="006D5E42">
      <w:fldChar w:fldCharType="begin"/>
    </w:r>
    <w:r>
      <w:instrText xml:space="preserve"> NUMPAGES  \* MERGEFORMAT </w:instrText>
    </w:r>
    <w:r w:rsidR="006D5E42">
      <w:fldChar w:fldCharType="separate"/>
    </w:r>
    <w:r>
      <w:rPr>
        <w:noProof/>
      </w:rPr>
      <w:t>54</w:t>
    </w:r>
    <w:r w:rsidR="006D5E42">
      <w:rPr>
        <w:noProof/>
      </w:rPr>
      <w:fldChar w:fldCharType="end"/>
    </w:r>
    <w:r w:rsidRPr="00101A66">
      <w:tab/>
    </w:r>
    <w:r w:rsidRPr="00101A66">
      <w:rPr>
        <w:rStyle w:val="HideTWBExt"/>
        <w:noProof w:val="0"/>
      </w:rPr>
      <w:t>&lt;PathFdR&gt;</w:t>
    </w:r>
    <w:r w:rsidRPr="00101A66">
      <w:t>AD\1203904LT.docx</w:t>
    </w:r>
    <w:r w:rsidRPr="00101A66">
      <w:rPr>
        <w:rStyle w:val="HideTWBExt"/>
        <w:noProof w:val="0"/>
      </w:rPr>
      <w:t>&lt;/PathFdR&gt;</w:t>
    </w:r>
  </w:p>
  <w:p w:rsidR="007F187F" w:rsidRPr="00101A66" w:rsidRDefault="00D107CE" w:rsidP="00F13416">
    <w:pPr>
      <w:pStyle w:val="EPFooter2"/>
    </w:pPr>
    <w:r w:rsidRPr="00101A66">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6" w:rsidRPr="00101A66" w:rsidRDefault="00D107CE" w:rsidP="00F13416">
    <w:pPr>
      <w:pStyle w:val="EPFooter"/>
    </w:pPr>
    <w:r w:rsidRPr="00101A66">
      <w:rPr>
        <w:rStyle w:val="HideTWBExt"/>
        <w:noProof w:val="0"/>
      </w:rPr>
      <w:t>&lt;PathFdR&gt;</w:t>
    </w:r>
    <w:r w:rsidRPr="00101A66">
      <w:t>AD\1203904LT.docx</w:t>
    </w:r>
    <w:r w:rsidRPr="00101A66">
      <w:rPr>
        <w:rStyle w:val="HideTWBExt"/>
        <w:noProof w:val="0"/>
      </w:rPr>
      <w:t>&lt;/PathFdR&gt;</w:t>
    </w:r>
    <w:r w:rsidRPr="00101A66">
      <w:tab/>
    </w:r>
    <w:r w:rsidRPr="00101A66">
      <w:fldChar w:fldCharType="begin"/>
    </w:r>
    <w:r w:rsidRPr="00101A66">
      <w:instrText xml:space="preserve"> PAGE  \* MERGEFORMAT </w:instrText>
    </w:r>
    <w:r w:rsidRPr="00101A66">
      <w:fldChar w:fldCharType="separate"/>
    </w:r>
    <w:r>
      <w:rPr>
        <w:noProof/>
      </w:rPr>
      <w:t>27</w:t>
    </w:r>
    <w:r w:rsidRPr="00101A66">
      <w:fldChar w:fldCharType="end"/>
    </w:r>
    <w:r w:rsidRPr="00101A66">
      <w:t>/</w:t>
    </w:r>
    <w:r w:rsidR="006D5E42">
      <w:fldChar w:fldCharType="begin"/>
    </w:r>
    <w:r>
      <w:instrText xml:space="preserve"> NUMPAGES  \* MERGEFORMAT </w:instrText>
    </w:r>
    <w:r w:rsidR="006D5E42">
      <w:fldChar w:fldCharType="separate"/>
    </w:r>
    <w:r>
      <w:rPr>
        <w:noProof/>
      </w:rPr>
      <w:t>54</w:t>
    </w:r>
    <w:r w:rsidR="006D5E42">
      <w:rPr>
        <w:noProof/>
      </w:rPr>
      <w:fldChar w:fldCharType="end"/>
    </w:r>
    <w:r w:rsidRPr="00101A66">
      <w:tab/>
      <w:t>PE</w:t>
    </w:r>
    <w:r w:rsidRPr="00101A66">
      <w:rPr>
        <w:rStyle w:val="HideTWBExt"/>
        <w:noProof w:val="0"/>
      </w:rPr>
      <w:t>&lt;NoPE&gt;</w:t>
    </w:r>
    <w:r w:rsidRPr="00101A66">
      <w:t>646.963</w:t>
    </w:r>
    <w:r w:rsidRPr="00101A66">
      <w:rPr>
        <w:rStyle w:val="HideTWBExt"/>
        <w:noProof w:val="0"/>
      </w:rPr>
      <w:t>&lt;/NoPE&gt;&lt;Version&gt;</w:t>
    </w:r>
    <w:r w:rsidRPr="00101A66">
      <w:t>v04-00</w:t>
    </w:r>
    <w:r w:rsidRPr="00101A66">
      <w:rPr>
        <w:rStyle w:val="HideTWBExt"/>
        <w:noProof w:val="0"/>
      </w:rPr>
      <w:t>&lt;/Version&gt;</w:t>
    </w:r>
  </w:p>
  <w:p w:rsidR="007F187F" w:rsidRPr="00101A66" w:rsidRDefault="00D107CE" w:rsidP="00F13416">
    <w:pPr>
      <w:pStyle w:val="EPFooter2"/>
    </w:pPr>
    <w:r w:rsidRPr="00101A66">
      <w:tab/>
    </w:r>
    <w:r w:rsidRPr="00101A66">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6" w:rsidRPr="00101A66" w:rsidRDefault="00D107CE" w:rsidP="00F13416">
    <w:pPr>
      <w:pStyle w:val="EPFooter"/>
    </w:pPr>
    <w:r w:rsidRPr="00101A66">
      <w:rPr>
        <w:rStyle w:val="HideTWBExt"/>
        <w:noProof w:val="0"/>
      </w:rPr>
      <w:t>&lt;PathFdR&gt;</w:t>
    </w:r>
    <w:r w:rsidRPr="00101A66">
      <w:t>AD\1203904LT.docx</w:t>
    </w:r>
    <w:r w:rsidRPr="00101A66">
      <w:rPr>
        <w:rStyle w:val="HideTWBExt"/>
        <w:noProof w:val="0"/>
      </w:rPr>
      <w:t>&lt;/PathFdR&gt;</w:t>
    </w:r>
    <w:r w:rsidRPr="00101A66">
      <w:tab/>
    </w:r>
    <w:r w:rsidRPr="00101A66">
      <w:tab/>
      <w:t>PE</w:t>
    </w:r>
    <w:r w:rsidRPr="00101A66">
      <w:rPr>
        <w:rStyle w:val="HideTWBExt"/>
        <w:noProof w:val="0"/>
      </w:rPr>
      <w:t>&lt;NoPE&gt;</w:t>
    </w:r>
    <w:r w:rsidRPr="00101A66">
      <w:t>646.963</w:t>
    </w:r>
    <w:r w:rsidRPr="00101A66">
      <w:rPr>
        <w:rStyle w:val="HideTWBExt"/>
        <w:noProof w:val="0"/>
      </w:rPr>
      <w:t>&lt;/NoPE&gt;&lt;Version&gt;</w:t>
    </w:r>
    <w:r w:rsidRPr="00101A66">
      <w:t>v04-00</w:t>
    </w:r>
    <w:r w:rsidRPr="00101A66">
      <w:rPr>
        <w:rStyle w:val="HideTWBExt"/>
        <w:noProof w:val="0"/>
      </w:rPr>
      <w:t>&lt;/Version&gt;</w:t>
    </w:r>
  </w:p>
  <w:p w:rsidR="007F187F" w:rsidRPr="00101A66" w:rsidRDefault="00D107CE" w:rsidP="00F13416">
    <w:pPr>
      <w:pStyle w:val="EPFooter2"/>
    </w:pPr>
    <w:r w:rsidRPr="00101A66">
      <w:t>LT</w:t>
    </w:r>
    <w:r w:rsidRPr="00101A66">
      <w:tab/>
    </w:r>
    <w:r w:rsidRPr="00101A66">
      <w:rPr>
        <w:b w:val="0"/>
        <w:i/>
        <w:color w:val="C0C0C0"/>
        <w:sz w:val="22"/>
      </w:rPr>
      <w:t>Suvienijusi įvairovę</w:t>
    </w:r>
    <w:r w:rsidRPr="00101A66">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07CE">
      <w:r>
        <w:separator/>
      </w:r>
    </w:p>
  </w:footnote>
  <w:footnote w:type="continuationSeparator" w:id="0">
    <w:p w:rsidR="00000000" w:rsidRDefault="00D1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AGRI"/>
    <w:docVar w:name="COMKEY" w:val="REGI"/>
    <w:docVar w:name="CopyToNetwork" w:val="-1"/>
    <w:docVar w:name="CVA" w:val="13"/>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3"/>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3434525 HideTWBInt;}}{\*\rsidtbl \rsid24658\rsid223860\rsid735077\rsid1718133\rsid2892074\rsid3434525_x000d__x000a_\rsid3565327\rsid4593208\rsid4666813\rsid6641733\rsid7823322\rsid9636012\rsid10377208\rsid11215221\rsid11549030\rsid12154954\rsid14382809\rsid14424199\rsid15204470\rsid15285974\rsid15950462\rsid16324206\rsid16662270}{\mmathPr\mmathFont34\mbrkBin0_x000d__x000a_\mbrkBinSub0\msmallFrac0\mdispDef1\mlMargin0\mrMargin0\mdefJc1\mwrapIndent1440\mintLim0\mnaryLim1}{\info{\author MANYIK Krisztina}{\operator MANYIK Krisztina}{\creatim\yr2020\mo1\dy29\hr11\min32}{\revtim\yr2020\mo1\dy29\hr11\min32}{\version1}{\edmins0}_x000d__x000a_{\nofpages1}{\nofwords1}{\nofchars17}{\nofcharsws1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434525\newtblstyruls\nogrowautofit\usenormstyforlist\noindnmbrts\felnbrelev\nocxsptable\indrlsweleven\noafcnsttbl\afelev\utinl\hwelev\spltpgpar\notcvasp\notbrkcnstfrctbl\notvatxbx\krnprsnet\cachedcolbal _x000d__x000a_\nouicompat \fet0{\*\wgrffmtfilter 013f}\nofeaturethrottle1\ilfomacatclnup0{\*\template C:\\Users\\kmanyik\\AppData\\Local\\Temp\\Blank1.dotx}{\*\ftnsep \ltrpar \pard\plain \ltrpar_x000d__x000a_\ql \li0\ri0\widctlpar\wrapdefault\aspalpha\aspnum\faauto\adjustright\rin0\lin0\itap0 \rtlch\fcs1 \af0\afs20\alang1025 \ltrch\fcs0 \fs24\lang2057\langfe2057\cgrid\langnp2057\langfenp2057 {\rtlch\fcs1 \af0 \ltrch\fcs0 \insrsid4593208 \chftnsep _x000d__x000a_\par }}{\*\ftnsepc \ltrpar \pard\plain \ltrpar\ql \li0\ri0\widctlpar\wrapdefault\aspalpha\aspnum\faauto\adjustright\rin0\lin0\itap0 \rtlch\fcs1 \af0\afs20\alang1025 \ltrch\fcs0 \fs24\lang2057\langfe2057\cgrid\langnp2057\langfenp2057 {\rtlch\fcs1 \af0 _x000d__x000a_\ltrch\fcs0 \insrsid4593208 \chftnsepc _x000d__x000a_\par }}{\*\aftnsep \ltrpar \pard\plain \ltrpar\ql \li0\ri0\widctlpar\wrapdefault\aspalpha\aspnum\faauto\adjustright\rin0\lin0\itap0 \rtlch\fcs1 \af0\afs20\alang1025 \ltrch\fcs0 \fs24\lang2057\langfe2057\cgrid\langnp2057\langfenp2057 {\rtlch\fcs1 \af0 _x000d__x000a_\ltrch\fcs0 \insrsid4593208 \chftnsep _x000d__x000a_\par }}{\*\aftnsepc \ltrpar \pard\plain \ltrpar\ql \li0\ri0\widctlpar\wrapdefault\aspalpha\aspnum\faauto\adjustright\rin0\lin0\itap0 \rtlch\fcs1 \af0\afs20\alang1025 \ltrch\fcs0 \fs24\lang2057\langfe2057\cgrid\langnp2057\langfenp2057 {\rtlch\fcs1 \af0 _x000d__x000a_\ltrch\fcs0 \insrsid45932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3434525\charrsid13202075 {\*\bkmkstart ReplaceBookmark}#}{\rtlch\fcs1 \af1 \ltrch\fcs0 _x000d__x000a_\cs17\v\f1\fs20\cf15\insrsid3434525\charrsid13202075 &gt;&gt;&gt;CVAR@@AmendA}{\rtlch\fcs1 \af0 \ltrch\fcs0 \insrsid3434525\charrsid13202075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5_x000d__x000a_d65c8f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392757 HideTWBExt;}{_x000d__x000a_\s18\ql \li0\ri0\sa120\nowidctlpar\wrapdefault\aspalpha\aspnum\faauto\adjustright\rin0\lin0\itap0 \rtlch\fcs1 \af0\afs20\alang1025 \ltrch\fcs0 \fs24\lang2057\langfe2057\cgrid\langnp2057\langfenp2057 \sbasedon0 \snext18 \spriority0 \styrsid4392757 _x000d__x000a_Normal6a;}{\s19\ql \li0\ri0\nowidctlpar\wrapdefault\aspalpha\aspnum\faauto\adjustright\rin0\lin0\itap0 \rtlch\fcs1 \af0\afs20\alang1025 \ltrch\fcs0 \b\fs24\lang2057\langfe2057\cgrid\langnp2057\langfenp2057 \sbasedon0 \snext19 \spriority0 \styrsid4392757 _x000d__x000a_NormalBold;}{\*\cs20 \additive \v\f1\fs20\cf15 \spriority0 \styrsid4392757 HideTWBInt;}{\s21\qr \li0\ri0\sb240\sa240\nowidctlpar\wrapdefault\aspalpha\aspnum\faauto\adjustright\rin0\lin0\itap0 \rtlch\fcs1 \af0\afs20\alang1025 \ltrch\fcs0 _x000d__x000a_\fs24\lang2057\langfe2057\cgrid\langnp2057\langfenp2057 \sbasedon0 \snext21 \spriority0 \styrsid4392757 AmOrLang;}{\s22\qc \li0\ri0\sa240\nowidctlpar\wrapdefault\aspalpha\aspnum\faauto\adjustright\rin0\lin0\itap0 \rtlch\fcs1 \af0\afs20\alang1025 _x000d__x000a_\ltrch\fcs0 \i\fs24\lang2057\langfe2057\cgrid\langnp2057\langfenp2057 \sbasedon0 \snext22 \spriority0 \styrsid439275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4392757 AmNumberTabs;}{\s24\ql \li0\ri0\sb240\nowidctlpar\wrapdefault\aspalpha\aspnum\faauto\adjustright\rin0\lin0\itap0 \rtlch\fcs1 _x000d__x000a_\af0\afs20\alang1025 \ltrch\fcs0 \b\fs24\lang2057\langfe2057\cgrid\langnp2057\langfenp2057 \sbasedon0 \snext24 \spriority0 \styrsid4392757 NormalBold12b;}}{\*\rsidtbl \rsid24658\rsid223860\rsid735077\rsid1718133\rsid2892074\rsid3565327\rsid4326790_x000d__x000a_\rsid439275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MANYIK Krisztina}{\operator MANYIK Krisztina}{\creatim\yr2020\mo1\dy29\hr11\min18}{\revtim\yr2020\mo1\dy29\hr11\min18}{\version1}{\edmins0}{\nofpages1}_x000d__x000a_{\nofwords23}{\nofchars253}{\nofcharsws25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392757\newtblstyruls\nogrowautofit\usenormstyforlist\noindnmbrts\felnbrelev\nocxsptable\indrlsweleven\noafcnsttbl\afelev\utinl\hwelev\spltpgpar\notcvasp\notbrkcnstfrctbl\notvatxbx\krnprsnet\cachedcolbal _x000d__x000a_\nouicompat \fet0{\*\wgrffmtfilter 013f}\nofeaturethrottle1\ilfomacatclnup0{\*\template C:\\Users\\kmanyik\\AppData\\Local\\Temp\\Blank1.dotx}{\*\ftnsep \ltrpar \pard\plain \ltrpar_x000d__x000a_\ql \li0\ri0\widctlpar\wrapdefault\aspalpha\aspnum\faauto\adjustright\rin0\lin0\itap0 \rtlch\fcs1 \af0\afs20\alang1025 \ltrch\fcs0 \fs24\lang2057\langfe2057\cgrid\langnp2057\langfenp2057 {\rtlch\fcs1 \af0 \ltrch\fcs0 \insrsid4326790 \chftnsep _x000d__x000a_\par }}{\*\ftnsepc \ltrpar \pard\plain \ltrpar\ql \li0\ri0\widctlpar\wrapdefault\aspalpha\aspnum\faauto\adjustright\rin0\lin0\itap0 \rtlch\fcs1 \af0\afs20\alang1025 \ltrch\fcs0 \fs24\lang2057\langfe2057\cgrid\langnp2057\langfenp2057 {\rtlch\fcs1 \af0 _x000d__x000a_\ltrch\fcs0 \insrsid4326790 \chftnsepc _x000d__x000a_\par }}{\*\aftnsep \ltrpar \pard\plain \ltrpar\ql \li0\ri0\widctlpar\wrapdefault\aspalpha\aspnum\faauto\adjustright\rin0\lin0\itap0 \rtlch\fcs1 \af0\afs20\alang1025 \ltrch\fcs0 \fs24\lang2057\langfe2057\cgrid\langnp2057\langfenp2057 {\rtlch\fcs1 \af0 _x000d__x000a_\ltrch\fcs0 \insrsid4326790 \chftnsep _x000d__x000a_\par }}{\*\aftnsepc \ltrpar \pard\plain \ltrpar\ql \li0\ri0\widctlpar\wrapdefault\aspalpha\aspnum\faauto\adjustright\rin0\lin0\itap0 \rtlch\fcs1 \af0\afs20\alang1025 \ltrch\fcs0 \fs24\lang2057\langfe2057\cgrid\langnp2057\langfenp2057 {\rtlch\fcs1 \af0 _x000d__x000a_\ltrch\fcs0 \insrsid432679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4392757 \rtlch\fcs1 _x000d__x000a_\af0\afs20\alang1025 \ltrch\fcs0 \b\fs24\lang2057\langfe2057\cgrid\langnp2057\langfenp2057 {\rtlch\fcs1 \af0 \ltrch\fcs0 \cs17\b0\v\fs20\cf9\loch\af1\hich\af1\dbch\af31501\insrsid4392757\charrsid1867058 {\*\bkmkstart restartA}_x000d__x000a_\hich\af1\dbch\af31501\loch\f1 &lt;AmendA&gt;}{\rtlch\fcs1 \af0 \ltrch\fcs0 \insrsid4392757\charrsid1867058 Amendment\tab \tab }{\rtlch\fcs1 \af0 \ltrch\fcs0 \cs17\b0\v\fs20\cf9\loch\af1\hich\af1\dbch\af31501\insrsid4392757\charrsid1867058 _x000d__x000a_\hich\af1\dbch\af31501\loch\f1 &lt;NumAmA&gt;}{\rtlch\fcs1 \af0 \ltrch\fcs0 \insrsid4392757\charrsid1867058 #}{\rtlch\fcs1 \af1 \ltrch\fcs0 \cs20\v\f1\fs20\cf15\insrsid4392757\charrsid1867058 ENMIENDA@NRAM@}{\rtlch\fcs1 \af0 \ltrch\fcs0 _x000d__x000a_\insrsid4392757\charrsid1867058 #}{\rtlch\fcs1 \af0 \ltrch\fcs0 \cs17\b0\v\fs20\cf9\loch\af1\hich\af1\dbch\af31501\insrsid4392757\charrsid1867058 \hich\af1\dbch\af31501\loch\f1 &lt;/NumAmA&gt;}{\rtlch\fcs1 \af0 \ltrch\fcs0 \insrsid4392757\charrsid1867058 _x000d__x000a__x000d__x000a_\par }\pard\plain \ltrpar\s24\ql \li0\ri0\sb240\keepn\nowidctlpar\wrapdefault\aspalpha\aspnum\faauto\adjustright\rin0\lin0\itap0\pararsid4392757 \rtlch\fcs1 \af0\afs20\alang1025 \ltrch\fcs0 \b\fs24\lang2057\langfe2057\cgrid\langnp2057\langfenp2057 {_x000d__x000a_\rtlch\fcs1 \af0 \ltrch\fcs0 \cs17\b0\v\fs20\cf9\loch\af1\hich\af1\dbch\af31501\insrsid4392757\charrsid1867058 \hich\af1\dbch\af31501\loch\f1 &lt;DocAmend&gt;}{\rtlch\fcs1 \af0 \ltrch\fcs0 \insrsid4392757\charrsid1867058 Draft legislative resolution}{_x000d__x000a_\rtlch\fcs1 \af0 \ltrch\fcs0 \cs17\b0\v\fs20\cf9\loch\af1\hich\af1\dbch\af31501\insrsid4392757\charrsid1867058 \hich\af1\dbch\af31501\loch\f1 &lt;/DocAmend&gt;}{\rtlch\fcs1 \af0 \ltrch\fcs0 \insrsid4392757\charrsid1867058 _x000d__x000a_\par }\pard\plain \ltrpar\s19\ql \li0\ri0\nowidctlpar\wrapdefault\aspalpha\aspnum\faauto\adjustright\rin0\lin0\itap0\pararsid4392757 \rtlch\fcs1 \af0\afs20\alang1025 \ltrch\fcs0 \b\fs24\lang2057\langfe2057\cgrid\langnp2057\langfenp2057 {\rtlch\fcs1 \af0 _x000d__x000a_\ltrch\fcs0 \cs17\b0\v\fs20\cf9\loch\af1\hich\af1\dbch\af31501\insrsid4392757\charrsid1867058 \hich\af1\dbch\af31501\loch\f1 &lt;Article&gt;}{\rtlch\fcs1 \af0 \ltrch\fcs0 \cf10\insrsid4392757\charrsid1867058 \u9668\'3f}{\rtlch\fcs1 \af0 \ltrch\fcs0 _x000d__x000a_\insrsid4392757\charrsid1867058 #}{\rtlch\fcs1 \af1 \ltrch\fcs0 \cs20\v\f1\fs20\cf15\insrsid4392757\charrsid1867058 TVTRESPART@RESPART@}{\rtlch\fcs1 \af0 \ltrch\fcs0 \insrsid4392757\charrsid1867058 #}{\rtlch\fcs1 \af0 \ltrch\fcs0 _x000d__x000a_\cf10\insrsid4392757\charrsid1867058 \u9658\'3f}{\rtlch\fcs1 \af0 \ltrch\fcs0 \cs17\b0\v\fs20\cf9\loch\af1\hich\af1\dbch\af31501\insrsid4392757\charrsid1867058 \hich\af1\dbch\af31501\loch\f1 &lt;/Article&gt;}{\rtlch\fcs1 \af0 \ltrch\fcs0 _x000d__x000a_\insrsid4392757\charrsid1867058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392757\charrsid1867058 \cell }\pard\plain \ltrpar\ql \li0\ri0\widctlpar\intbl\wrapdefault\aspalpha\aspnum\faauto\adjustright\rin0\lin0 \rtlch\fcs1 _x000d__x000a_\af0\afs20\alang1025 \ltrch\fcs0 \fs24\lang2057\langfe2057\cgrid\langnp2057\langfenp2057 {\rtlch\fcs1 \af0 \ltrch\fcs0 \insrsid4392757\charrsid1867058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4392757\charrsid1867058 Draft legislative resolution\cell Amendment\cell }\pard\plain \ltrpar_x000d__x000a_\ql \li0\ri0\widctlpar\intbl\wrapdefault\aspalpha\aspnum\faauto\adjustright\rin0\lin0 \rtlch\fcs1 \af0\afs20\alang1025 \ltrch\fcs0 \fs24\lang2057\langfe2057\cgrid\langnp2057\langfenp2057 {\rtlch\fcs1 \af0 \ltrch\fcs0 \insrsid4392757\charrsid1867058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4392757\charrsid1867058 ##\cell ##}{\rtlch\fcs1 \af0\afs24 \ltrch\fcs0 \insrsid4392757\charrsid1867058 \cell }\pard\plain \ltrpar\ql \li0\ri0\widctlpar\intbl\wrapdefault\aspalpha\aspnum\faauto\adjustright\rin0\lin0 \rtlch\fcs1 _x000d__x000a_\af0\afs20\alang1025 \ltrch\fcs0 \fs24\lang2057\langfe2057\cgrid\langnp2057\langfenp2057 {\rtlch\fcs1 \af0 \ltrch\fcs0 \insrsid4392757\charrsid186705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4392757 \rtlch\fcs1 \af0\afs20\alang1025 \ltrch\fcs0 \fs24\lang2057\langfe2057\cgrid\langnp2057\langfenp2057 {\rtlch\fcs1 \af0 \ltrch\fcs0 _x000d__x000a_\insrsid4392757\charrsid1867058 Or. }{\rtlch\fcs1 \af0 \ltrch\fcs0 \cs17\v\fs20\cf9\loch\af1\hich\af1\dbch\af31501\insrsid4392757\charrsid1867058 \hich\af1\dbch\af31501\loch\f1 &lt;Original&gt;}{\rtlch\fcs1 \af0 \ltrch\fcs0 \insrsid4392757\charrsid1867058 #}{_x000d__x000a_\rtlch\fcs1 \af1 \ltrch\fcs0 \cs20\v\f1\fs20\cf15\insrsid4392757\charrsid1867058 MNU[ORLANGONE][ORLANGMORE]@CHOICE@ORLANGMNU}{\rtlch\fcs1 \af0 \ltrch\fcs0 \insrsid4392757\charrsid1867058 #}{\rtlch\fcs1 \af0 \ltrch\fcs0 _x000d__x000a_\cs17\v\fs20\cf9\loch\af1\hich\af1\dbch\af31501\insrsid4392757\charrsid1867058 \hich\af1\dbch\af31501\loch\f1 &lt;/Original&gt;}{\rtlch\fcs1 \af0 \ltrch\fcs0 \insrsid4392757\charrsid1867058 _x000d__x000a_\par }\pard\plain \ltrpar\ql \li0\ri0\widctlpar\wrapdefault\aspalpha\aspnum\faauto\adjustright\rin0\lin0\itap0\pararsid4392757 \rtlch\fcs1 \af0\afs20\alang1025 \ltrch\fcs0 \fs24\lang2057\langfe2057\cgrid\langnp2057\langfenp2057 {\rtlch\fcs1 \af0 \ltrch\fcs0 _x000d__x000a_\cs17\v\fs20\cf9\loch\af1\hich\af1\dbch\af31501\insrsid4392757\charrsid1867058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9_x000d__x000a_f0828d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rsidtbl \rsid24658\rsid223860\rsid474374\rsid735077\rsid1718133\rsid2892074\rsid3565327\rsid4666813\rsid5078067\rsid6641733\rsid7823322\rsid9636012_x000d__x000a_\rsid10377208\rsid11215221\rsid11549030\rsid12154954\rsid14382809\rsid14424199\rsid15204470\rsid15285974\rsid15950462\rsid16324206\rsid16662270}{\mmathPr\mmathFont34\mbrkBin0\mbrkBinSub0\msmallFrac0\mdispDef1\mlMargin0\mrMargin0\mdefJc1\mwrapIndent1440_x000d__x000a_\mintLim0\mnaryLim1}{\info{\author MONKUNIENE Neringa}{\operator MONKUNIENE Neringa}{\creatim\yr2020\mo4\dy28\hr10\min25}{\revtim\yr2020\mo4\dy28\hr10\min25}{\version1}{\edmins0}{\nofpages1}{\nofwords0}{\nofchars1}{\nofcharsws1}{\vern57449}}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74374\newtblstyruls\nogrowautofit\usenormstyforlist\noindnmbrts\felnbrelev\nocxsptable\indrlsweleven\noafcnsttbl\afelev\utinl\hwelev\spltpgpar\notcvasp\notbrkcnstfrctbl\notvatxbx\krnprsnet\cachedcolbal \nouicompat \fet0_x000d__x000a_{\*\wgrffmtfilter 013f}\nofeaturethrottle1\ilfomacatclnup0{\*\template D:\\USERS\\NMONKU~1\\AppData\\Local\\Temp\\Blank1.dotx}{\*\ftnsep \ltrpar \pard\plain \ltrpar\ql \li0\ri0\widctlpar\wrapdefault\aspalpha\aspnum\faauto\adjustright\rin0\lin0\itap0 _x000d__x000a_\rtlch\fcs1 \af0\afs20\alang1025 \ltrch\fcs0 \fs24\lang2057\langfe2057\cgrid\langnp2057\langfenp2057 {\rtlch\fcs1 \af0 \ltrch\fcs0 \insrsid5078067 \chftnsep _x000d__x000a_\par }}{\*\ftnsepc \ltrpar \pard\plain \ltrpar\ql \li0\ri0\widctlpar\wrapdefault\aspalpha\aspnum\faauto\adjustright\rin0\lin0\itap0 \rtlch\fcs1 \af0\afs20\alang1025 \ltrch\fcs0 \fs24\lang2057\langfe2057\cgrid\langnp2057\langfenp2057 {\rtlch\fcs1 \af0 _x000d__x000a_\ltrch\fcs0 \insrsid5078067 \chftnsepc _x000d__x000a_\par }}{\*\aftnsep \ltrpar \pard\plain \ltrpar\ql \li0\ri0\widctlpar\wrapdefault\aspalpha\aspnum\faauto\adjustright\rin0\lin0\itap0 \rtlch\fcs1 \af0\afs20\alang1025 \ltrch\fcs0 \fs24\lang2057\langfe2057\cgrid\langnp2057\langfenp2057 {\rtlch\fcs1 \af0 _x000d__x000a_\ltrch\fcs0 \insrsid5078067 \chftnsep _x000d__x000a_\par }}{\*\aftnsepc \ltrpar \pard\plain \ltrpar\ql \li0\ri0\widctlpar\wrapdefault\aspalpha\aspnum\faauto\adjustright\rin0\lin0\itap0 \rtlch\fcs1 \af0\afs20\alang1025 \ltrch\fcs0 \fs24\lang2057\langfe2057\cgrid\langnp2057\langfenp2057 {\rtlch\fcs1 \af0 _x000d__x000a_\ltrch\fcs0 \insrsid50780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insrsid474374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8_x000d__x000a_1f9c36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018862 HideTWBExt;}{_x000d__x000a_\s18\ql \li0\ri0\sa120\nowidctlpar\wrapdefault\aspalpha\aspnum\faauto\adjustright\rin0\lin0\itap0 \rtlch\fcs1 \af0\afs20\alang1025 \ltrch\fcs0 \fs24\lang2057\langfe2057\cgrid\langnp2057\langfenp2057 \sbasedon0 \snext18 \spriority0 \styrsid11018862 _x000d__x000a_Normal6a;}{\s19\ql \li0\ri0\nowidctlpar\wrapdefault\aspalpha\aspnum\faauto\adjustright\rin0\lin0\itap0 \rtlch\fcs1 \af0\afs20\alang1025 \ltrch\fcs0 \b\fs24\lang2057\langfe2057\cgrid\langnp2057\langfenp2057 \sbasedon0 \snext19 \spriority0 \styrsid11018862 _x000d__x000a_NormalBold;}{\s20\ql \li0\ri0\sa240\nowidctlpar\wrapdefault\aspalpha\aspnum\faauto\adjustright\rin0\lin0\itap0 \rtlch\fcs1 \af0\afs20\alang1025 \ltrch\fcs0 \i\fs24\lang2057\langfe2057\cgrid\langnp2057\langfenp2057 _x000d__x000a_\sbasedon0 \snext20 \spriority0 \styrsid11018862 AmJustText;}{\s21\qc \li0\ri0\sb240\sa240\nowidctlpar\wrapdefault\aspalpha\aspnum\faauto\adjustright\rin0\lin0\itap0 \rtlch\fcs1 \af0\afs20\alang1025 \ltrch\fcs0 _x000d__x000a_\i\fs24\lang2057\langfe2057\cgrid\langnp2057\langfenp2057 \sbasedon0 \snext21 \spriority0 \styrsid11018862 AmCrossRef;}{\*\cs22 \additive \v\f1\fs20\cf15 \spriority0 \styrsid11018862 HideTWBInt;}{_x000d__x000a_\s23\qc \li0\ri0\sb240\sa240\keepn\nowidctlpar\wrapdefault\aspalpha\aspnum\faauto\adjustright\rin0\lin0\itap0 \rtlch\fcs1 \af0\afs20\alang1025 \ltrch\fcs0 \i\fs24\lang2057\langfe2057\cgrid\langnp2057\langfenp2057 _x000d__x000a_\sbasedon0 \snext20 \spriority0 \styrsid11018862 AmJustTitle;}{\s24\qr \li0\ri0\sb240\sa240\nowidctlpar\wrapdefault\aspalpha\aspnum\faauto\adjustright\rin0\lin0\itap0 \rtlch\fcs1 \af0\afs20\alang1025 \ltrch\fcs0 _x000d__x000a_\fs24\lang2057\langfe2057\cgrid\langnp2057\langfenp2057 \sbasedon0 \snext24 \spriority0 \styrsid11018862 AmOrLang;}{\s25\qc \li0\ri0\sa240\nowidctlpar\wrapdefault\aspalpha\aspnum\faauto\adjustright\rin0\lin0\itap0 \rtlch\fcs1 \af0\afs20\alang1025 _x000d__x000a_\ltrch\fcs0 \i\fs24\lang2057\langfe2057\cgrid\langnp2057\langfenp2057 \sbasedon0 \snext25 \spriority0 \styrsid1101886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018862 AmNumberTabs;}{\s27\ql \li0\ri0\sb240\nowidctlpar\wrapdefault\aspalpha\aspnum\faauto\adjustright\rin0\lin0\itap0 \rtlch\fcs1 _x000d__x000a_\af0\afs20\alang1025 \ltrch\fcs0 \b\fs24\lang2057\langfe2057\cgrid\langnp2057\langfenp2057 \sbasedon0 \snext27 \spriority0 \styrsid11018862 NormalBold12b;}}{\*\rsidtbl \rsid24658\rsid223860\rsid735077\rsid1718133\rsid2892074\rsid3565327\rsid4666813_x000d__x000a_\rsid6641733\rsid7823322\rsid9636012\rsid10377208\rsid11018862\rsid11215221\rsid11549030\rsid12154954\rsid12203005\rsid14382809\rsid14424199\rsid15204470\rsid15285974\rsid15950462\rsid16324206\rsid16662270}{\mmathPr\mmathFont34\mbrkBin0\mbrkBinSub0_x000d__x000a_\msmallFrac0\mdispDef1\mlMargin0\mrMargin0\mdefJc1\mwrapIndent1440\mintLim0\mnaryLim1}{\info{\author MANYIK Krisztina}{\operator MANYIK Krisztina}{\creatim\yr2020\mo1\dy29\hr11\min18}{\revtim\yr2020\mo1\dy29\hr11\min18}{\version1}{\edmins0}{\nofpages1}_x000d__x000a_{\nofwords60}{\nofchars660}{\nofcharsws66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018862\newtblstyruls\nogrowautofit\usenormstyforlist\noindnmbrts\felnbrelev\nocxsptable\indrlsweleven\noafcnsttbl\afelev\utinl\hwelev\spltpgpar\notcvasp\notbrkcnstfrctbl\notvatxbx\krnprsnet\cachedcolbal _x000d__x000a_\nouicompat \fet0{\*\wgrffmtfilter 013f}\nofeaturethrottle1\ilfomacatclnup0{\*\template C:\\Users\\kmanyik\\AppData\\Local\\Temp\\Blank1.dotx}{\*\ftnsep \ltrpar \pard\plain \ltrpar_x000d__x000a_\ql \li0\ri0\widctlpar\wrapdefault\aspalpha\aspnum\faauto\adjustright\rin0\lin0\itap0 \rtlch\fcs1 \af0\afs20\alang1025 \ltrch\fcs0 \fs24\lang2057\langfe2057\cgrid\langnp2057\langfenp2057 {\rtlch\fcs1 \af0 \ltrch\fcs0 \insrsid12203005 \chftnsep _x000d__x000a_\par }}{\*\ftnsepc \ltrpar \pard\plain \ltrpar\ql \li0\ri0\widctlpar\wrapdefault\aspalpha\aspnum\faauto\adjustright\rin0\lin0\itap0 \rtlch\fcs1 \af0\afs20\alang1025 \ltrch\fcs0 \fs24\lang2057\langfe2057\cgrid\langnp2057\langfenp2057 {\rtlch\fcs1 \af0 _x000d__x000a_\ltrch\fcs0 \insrsid12203005 \chftnsepc _x000d__x000a_\par }}{\*\aftnsep \ltrpar \pard\plain \ltrpar\ql \li0\ri0\widctlpar\wrapdefault\aspalpha\aspnum\faauto\adjustright\rin0\lin0\itap0 \rtlch\fcs1 \af0\afs20\alang1025 \ltrch\fcs0 \fs24\lang2057\langfe2057\cgrid\langnp2057\langfenp2057 {\rtlch\fcs1 \af0 _x000d__x000a_\ltrch\fcs0 \insrsid12203005 \chftnsep _x000d__x000a_\par }}{\*\aftnsepc \ltrpar \pard\plain \ltrpar\ql \li0\ri0\widctlpar\wrapdefault\aspalpha\aspnum\faauto\adjustright\rin0\lin0\itap0 \rtlch\fcs1 \af0\afs20\alang1025 \ltrch\fcs0 \fs24\lang2057\langfe2057\cgrid\langnp2057\langfenp2057 {\rtlch\fcs1 \af0 _x000d__x000a_\ltrch\fcs0 \insrsid1220300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1018862 \rtlch\fcs1 _x000d__x000a_\af0\afs20\alang1025 \ltrch\fcs0 \b\fs24\lang2057\langfe2057\cgrid\langnp2057\langfenp2057 {\rtlch\fcs1 \af0 \ltrch\fcs0 \cs17\b0\v\fs20\cf9\loch\af1\hich\af1\dbch\af31501\insrsid11018862\charrsid1867058 {\*\bkmkstart restartB}_x000d__x000a_\hich\af1\dbch\af31501\loch\f1 &lt;AmendB&gt;}{\rtlch\fcs1 \af0 \ltrch\fcs0 \insrsid11018862\charrsid1867058 Amendment\tab \tab }{\rtlch\fcs1 \af0 \ltrch\fcs0 \cs17\b0\v\fs20\cf9\loch\af1\hich\af1\dbch\af31501\insrsid11018862\charrsid1867058 _x000d__x000a_\hich\af1\dbch\af31501\loch\f1 &lt;NumAmB&gt;}{\rtlch\fcs1 \af0 \ltrch\fcs0 \insrsid11018862\charrsid1867058 #}{\rtlch\fcs1 \af1 \ltrch\fcs0 \cs22\v\f1\fs20\cf15\insrsid11018862\charrsid1867058 ENMIENDA@NRAM@}{\rtlch\fcs1 \af0 \ltrch\fcs0 _x000d__x000a_\insrsid11018862\charrsid1867058 #}{\rtlch\fcs1 \af0 \ltrch\fcs0 \cs17\b0\v\fs20\cf9\loch\af1\hich\af1\dbch\af31501\insrsid11018862\charrsid1867058 \hich\af1\dbch\af31501\loch\f1 &lt;/NumAmB&gt;}{\rtlch\fcs1 \af0 \ltrch\fcs0 \insrsid11018862\charrsid1867058 _x000d__x000a__x000d__x000a_\par }\pard\plain \ltrpar\s27\ql \li0\ri0\sb240\keepn\nowidctlpar\wrapdefault\aspalpha\aspnum\faauto\adjustright\rin0\lin0\itap0\pararsid11018862 \rtlch\fcs1 \af0\afs20\alang1025 \ltrch\fcs0 \b\fs24\lang2057\langfe2057\cgrid\langnp2057\langfenp2057 {_x000d__x000a_\rtlch\fcs1 \af0 \ltrch\fcs0 \cs17\b0\v\fs20\cf9\loch\af1\hich\af1\dbch\af31501\insrsid11018862\charrsid1867058 \hich\af1\dbch\af31501\loch\f1 &lt;DocAmend&gt;}{\rtlch\fcs1 \af0 \ltrch\fcs0 \insrsid11018862\charrsid1867058 #}{\rtlch\fcs1 \af1 \ltrch\fcs0 _x000d__x000a_\cs22\v\f1\fs20\cf15\insrsid11018862\charrsid1867058 MNU[OPTPROPOSALCOD][OPTPROPOSALCNS][OPTPROPOSALNLE]@CHOICE@CODEMNU}{\rtlch\fcs1 \af0 \ltrch\fcs0 \insrsid11018862\charrsid1867058 ##}{\rtlch\fcs1 \af1 \ltrch\fcs0 _x000d__x000a_\cs22\v\f1\fs20\cf15\insrsid11018862\charrsid1867058 MNU[AMACTYES][NOTAPP]@CHOICE@AMACTMNU}{\rtlch\fcs1 \af0 \ltrch\fcs0 \insrsid11018862\charrsid1867058 #}{\rtlch\fcs1 \af0 \ltrch\fcs0 _x000d__x000a_\cs17\b0\v\fs20\cf9\loch\af1\hich\af1\dbch\af31501\insrsid11018862\charrsid1867058 \hich\af1\dbch\af31501\loch\f1 &lt;/DocAmend&gt;}{\rtlch\fcs1 \af0 \ltrch\fcs0 \insrsid11018862\charrsid1867058 _x000d__x000a_\par }\pard\plain \ltrpar\s19\ql \li0\ri0\keepn\nowidctlpar\wrapdefault\aspalpha\aspnum\faauto\adjustright\rin0\lin0\itap0\pararsid11018862 \rtlch\fcs1 \af0\afs20\alang1025 \ltrch\fcs0 \b\fs24\lang2057\langfe2057\cgrid\langnp2057\langfenp2057 {\rtlch\fcs1 _x000d__x000a_\af0 \ltrch\fcs0 \cs17\b0\v\fs20\cf9\loch\af1\hich\af1\dbch\af31501\insrsid11018862\charrsid1867058 \hich\af1\dbch\af31501\loch\f1 &lt;Article&gt;}{\rtlch\fcs1 \af0 \ltrch\fcs0 \insrsid11018862\charrsid1867058 #}{\rtlch\fcs1 \af1 \ltrch\fcs0 _x000d__x000a_\cs22\v\f1\fs20\cf15\insrsid11018862\charrsid1867058 MNU[AMACTPARTYES][AMACTPARTNO]@CHOICE@AMACTMNU}{\rtlch\fcs1 \af0 \ltrch\fcs0 \insrsid11018862\charrsid1867058 #}{\rtlch\fcs1 \af0 \ltrch\fcs0 _x000d__x000a_\cs17\b0\v\fs20\cf9\loch\af1\hich\af1\dbch\af31501\insrsid11018862\charrsid1867058 \hich\af1\dbch\af31501\loch\f1 &lt;/Article&gt;}{\rtlch\fcs1 \af0 \ltrch\fcs0 \insrsid11018862\charrsid1867058 _x000d__x000a_\par }\pard\plain \ltrpar\ql \li0\ri0\keepn\widctlpar\wrapdefault\aspalpha\aspnum\faauto\adjustright\rin0\lin0\itap0\pararsid11018862 \rtlch\fcs1 \af0\afs20\alang1025 \ltrch\fcs0 \fs24\lang2057\langfe2057\cgrid\langnp2057\langfenp2057 {\rtlch\fcs1 \af0 _x000d__x000a_\ltrch\fcs0 \cs17\v\fs20\cf9\loch\af1\hich\af1\dbch\af31501\insrsid11018862\charrsid1867058 \hich\af1\dbch\af31501\loch\f1 &lt;DocAmend2&gt;&lt;OptDel&gt;}{\rtlch\fcs1 \af0 \ltrch\fcs0 \insrsid11018862\charrsid1867058 #}{\rtlch\fcs1 \af1 \ltrch\fcs0 _x000d__x000a_\cs22\v\f1\fs20\cf15\insrsid11018862\charrsid1867058 MNU[OPTNRACTYES][NOTAPP]@CHOICE@AMACTMNU}{\rtlch\fcs1 \af0 \ltrch\fcs0 \insrsid11018862\charrsid1867058 #}{\rtlch\fcs1 \af0 \ltrch\fcs0 _x000d__x000a_\cs17\v\fs20\cf9\loch\af1\hich\af1\dbch\af31501\insrsid11018862\charrsid1867058 \hich\af1\dbch\af31501\loch\f1 &lt;/OptDel&gt;&lt;/DocAmend2&gt;}{\rtlch\fcs1 \af0 \ltrch\fcs0 \insrsid11018862\charrsid1867058 _x000d__x000a_\par }\pard \ltrpar\ql \li0\ri0\widctlpar\wrapdefault\aspalpha\aspnum\faauto\adjustright\rin0\lin0\itap0\pararsid11018862 {\rtlch\fcs1 \af0 \ltrch\fcs0 \cs17\v\fs20\cf9\loch\af1\hich\af1\dbch\af31501\insrsid11018862\charrsid1867058 _x000d__x000a_\hich\af1\dbch\af31501\loch\f1 &lt;Article2&gt;&lt;OptDel&gt;}{\rtlch\fcs1 \af0 \ltrch\fcs0 \insrsid11018862\charrsid1867058 #}{\rtlch\fcs1 \af1 \ltrch\fcs0 \cs22\v\f1\fs20\cf15\insrsid11018862\charrsid1867058 MNU[OPTACTPARTYES][NOTAPP]@CHOICE@AMACTMNU}{\rtlch\fcs1 _x000d__x000a_\af0 \ltrch\fcs0 \insrsid11018862\charrsid1867058 #}{\rtlch\fcs1 \af0 \ltrch\fcs0 \cs17\v\fs20\cf9\loch\af1\hich\af1\dbch\af31501\insrsid11018862\charrsid1867058 \hich\af1\dbch\af31501\loch\f1 &lt;/OptDel&gt;&lt;/Article2&gt;}{\rtlch\fcs1 \af0 \ltrch\fcs0 _x000d__x000a_\insrsid11018862\charrsid1867058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1018862\charrsid1867058 \cell }\pard\plain \ltrpar\ql \li0\ri0\widctlpar\intbl\wrapdefault\aspalpha\aspnum\faauto\adjustright\rin0\lin0 \rtlch\fcs1 _x000d__x000a_\af0\afs20\alang1025 \ltrch\fcs0 \fs24\lang2057\langfe2057\cgrid\langnp2057\langfenp2057 {\rtlch\fcs1 \af0 \ltrch\fcs0 \insrsid11018862\charrsid1867058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018862\charrsid1867058 #}{\rtlch\fcs1 \af1 \ltrch\fcs0 \cs22\v\f1\fs20\cf15\insrsid11018862\charrsid1867058 MNU[OPTLEFTAMACT][LEFTPROP]@CHOICE@AMACTMNU}{\rtlch\fcs1 \af0 \ltrch\fcs0 \insrsid11018862\charrsid1867058 #\cell Amendment\cell _x000d__x000a_}\pard\plain \ltrpar\ql \li0\ri0\widctlpar\intbl\wrapdefault\aspalpha\aspnum\faauto\adjustright\rin0\lin0 \rtlch\fcs1 \af0\afs20\alang1025 \ltrch\fcs0 \fs24\lang2057\langfe2057\cgrid\langnp2057\langfenp2057 {\rtlch\fcs1 \af0 \ltrch\fcs0 _x000d__x000a_\insrsid11018862\charrsid1867058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1018862\charrsid1867058 ##\cell ##}{\rtlch\fcs1 \af0\afs24 \ltrch\fcs0 \insrsid11018862\charrsid1867058 \cell }\pard\plain \ltrpar\ql \li0\ri0\widctlpar\intbl\wrapdefault\aspalpha\aspnum\faauto\adjustright\rin0\lin0 _x000d__x000a_\rtlch\fcs1 \af0\afs20\alang1025 \ltrch\fcs0 \fs24\lang2057\langfe2057\cgrid\langnp2057\langfenp2057 {\rtlch\fcs1 \af0 \ltrch\fcs0 \insrsid11018862\charrsid186705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018862 \rtlch\fcs1 \af0\afs20\alang1025 \ltrch\fcs0 \fs24\lang2057\langfe2057\cgrid\langnp2057\langfenp2057 {\rtlch\fcs1 \af0 \ltrch\fcs0 _x000d__x000a_\insrsid11018862\charrsid1867058 Or. }{\rtlch\fcs1 \af0 \ltrch\fcs0 \cs17\v\fs20\cf9\loch\af1\hich\af1\dbch\af31501\insrsid11018862\charrsid1867058 \hich\af1\dbch\af31501\loch\f1 &lt;Original&gt;}{\rtlch\fcs1 \af0 \ltrch\fcs0 \insrsid11018862\charrsid1867058 #}_x000d__x000a_{\rtlch\fcs1 \af1 \ltrch\fcs0 \cs22\v\f1\fs20\cf15\insrsid11018862\charrsid1867058 MNU[ORLANGONE][ORLANGMORE]@CHOICE@ORLANGMNU}{\rtlch\fcs1 \af0 \ltrch\fcs0 \insrsid11018862\charrsid1867058 #}{\rtlch\fcs1 \af0 \ltrch\fcs0 _x000d__x000a_\cs17\v\fs20\cf9\loch\af1\hich\af1\dbch\af31501\insrsid11018862\charrsid1867058 \hich\af1\dbch\af31501\loch\f1 &lt;/Original&gt;}{\rtlch\fcs1 \af0 \ltrch\fcs0 \insrsid11018862\charrsid1867058 _x000d__x000a_\par }\pard\plain \ltrpar\s21\qc \li0\ri0\sb240\sa240\nowidctlpar\wrapdefault\aspalpha\aspnum\faauto\adjustright\rin0\lin0\itap0\pararsid11018862 \rtlch\fcs1 \af0\afs20\alang1025 \ltrch\fcs0 \i\fs24\lang2057\langfe2057\cgrid\langnp2057\langfenp2057 {_x000d__x000a_\rtlch\fcs1 \af0 \ltrch\fcs0 \cs17\i0\v\fs20\cf9\loch\af1\hich\af1\dbch\af31501\insrsid11018862\charrsid1867058 \hich\af1\dbch\af31501\loch\f1 &lt;OptDel&gt;}{\rtlch\fcs1 \af0 \ltrch\fcs0 \insrsid11018862\charrsid1867058 #}{\rtlch\fcs1 \af1 \ltrch\fcs0 _x000d__x000a_\cs22\v\f1\fs20\cf15\insrsid11018862\charrsid1867058 MNU[CROSSREFNO][CROSSREFYES]@CHOICE@}{\rtlch\fcs1 \af0 \ltrch\fcs0 \insrsid11018862\charrsid1867058 #}{\rtlch\fcs1 \af0 \ltrch\fcs0 _x000d__x000a_\cs17\i0\v\fs20\cf9\loch\af1\hich\af1\dbch\af31501\insrsid11018862\charrsid1867058 \hich\af1\dbch\af31501\loch\f1 &lt;/OptDel&gt;}{\rtlch\fcs1 \af0 \ltrch\fcs0 \insrsid11018862\charrsid1867058 _x000d__x000a_\par }\pard\plain \ltrpar\s23\qc \li0\ri0\sb240\sa240\keepn\nowidctlpar\wrapdefault\aspalpha\aspnum\faauto\adjustright\rin0\lin0\itap0\pararsid11018862 \rtlch\fcs1 \af0\afs20\alang1025 \ltrch\fcs0 \i\fs24\lang2057\langfe2057\cgrid\langnp2057\langfenp2057 {_x000d__x000a_\rtlch\fcs1 \af0 \ltrch\fcs0 \cs17\i0\v\fs20\cf9\loch\af1\hich\af1\dbch\af31501\insrsid11018862\charrsid1867058 \hich\af1\dbch\af31501\loch\f1 &lt;TitreJust&gt;}{\rtlch\fcs1 \af0 \ltrch\fcs0 \insrsid11018862\charrsid1867058 Justification}{\rtlch\fcs1 \af0 _x000d__x000a_\ltrch\fcs0 \cs17\i0\v\fs20\cf9\loch\af1\hich\af1\dbch\af31501\insrsid11018862\charrsid1867058 \hich\af1\dbch\af31501\loch\f1 &lt;/TitreJust&gt;}{\rtlch\fcs1 \af0 \ltrch\fcs0 \insrsid11018862\charrsid1867058 _x000d__x000a_\par }\pard\plain \ltrpar\s20\ql \li0\ri0\sa240\nowidctlpar\wrapdefault\aspalpha\aspnum\faauto\adjustright\rin0\lin0\itap0\pararsid11018862 \rtlch\fcs1 \af0\afs20\alang1025 \ltrch\fcs0 \i\fs24\lang2057\langfe2057\cgrid\langnp2057\langfenp2057 {\rtlch\fcs1 _x000d__x000a_\af0 \ltrch\fcs0 \cs17\i0\v\fs20\cf9\loch\af1\hich\af1\dbch\af31501\insrsid11018862\charrsid1867058 \hich\af1\dbch\af31501\loch\f1 &lt;OptDelPrev&gt;}{\rtlch\fcs1 \af0 \ltrch\fcs0 \insrsid11018862\charrsid1867058 #}{\rtlch\fcs1 \af1 \ltrch\fcs0 _x000d__x000a_\cs22\v\f1\fs20\cf15\insrsid11018862\charrsid1867058 MNU[TEXTJUSTYES][TEXTJUSTNO]@CHOICE@}{\rtlch\fcs1 \af0 \ltrch\fcs0 \insrsid11018862\charrsid1867058 #}{\rtlch\fcs1 \af0 \ltrch\fcs0 _x000d__x000a_\cs17\i0\v\fs20\cf9\loch\af1\hich\af1\dbch\af31501\insrsid11018862\charrsid1867058 \hich\af1\dbch\af31501\loch\f1 &lt;/OptDelPrev&gt;}{\rtlch\fcs1 \af0 \ltrch\fcs0 \insrsid11018862\charrsid1867058 _x000d__x000a_\par }\pard\plain \ltrpar\ql \li0\ri0\widctlpar\wrapdefault\aspalpha\aspnum\faauto\adjustright\rin0\lin0\itap0\pararsid11018862 \rtlch\fcs1 \af0\afs20\alang1025 \ltrch\fcs0 \fs24\lang2057\langfe2057\cgrid\langnp2057\langfenp2057 {\rtlch\fcs1 \af0 \ltrch\fcs0 _x000d__x000a_\cs17\v\fs20\cf9\loch\af1\hich\af1\dbch\af31501\insrsid11018862\charrsid1867058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6_x000d__x000a_ce838d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228054 HideTWBExt;}{_x000d__x000a_\s18\ql \li0\ri0\sa120\nowidctlpar\wrapdefault\aspalpha\aspnum\faauto\adjustright\rin0\lin0\itap0 \rtlch\fcs1 \af0\afs20\alang1025 \ltrch\fcs0 \fs24\lang2057\langfe2057\cgrid\langnp2057\langfenp2057 \sbasedon0 \snext18 \spriority0 \styrsid15228054 _x000d__x000a_Normal6a;}{\s19\ql \li0\ri0\nowidctlpar\wrapdefault\aspalpha\aspnum\faauto\adjustright\rin0\lin0\itap0 \rtlch\fcs1 \af0\afs20\alang1025 \ltrch\fcs0 \b\fs24\lang2057\langfe2057\cgrid\langnp2057\langfenp2057 \sbasedon0 \snext19 \spriority0 \styrsid15228054 _x000d__x000a_NormalBold;}{\s20\ql \li0\ri0\sa240\nowidctlpar\wrapdefault\aspalpha\aspnum\faauto\adjustright\rin0\lin0\itap0 \rtlch\fcs1 \af0\afs20\alang1025 \ltrch\fcs0 \i\fs24\lang2057\langfe2057\cgrid\langnp2057\langfenp2057 _x000d__x000a_\sbasedon0 \snext20 \spriority0 \styrsid15228054 AmJustText;}{\s21\qc \li0\ri0\sb240\sa240\nowidctlpar\wrapdefault\aspalpha\aspnum\faauto\adjustright\rin0\lin0\itap0 \rtlch\fcs1 \af0\afs20\alang1025 \ltrch\fcs0 _x000d__x000a_\i\fs24\lang2057\langfe2057\cgrid\langnp2057\langfenp2057 \sbasedon0 \snext21 \spriority0 \styrsid15228054 AmCrossRef;}{\*\cs22 \additive \v\f1\fs20\cf15 \spriority0 \styrsid15228054 HideTWBInt;}{_x000d__x000a_\s23\qc \li0\ri0\sb240\sa240\keepn\nowidctlpar\wrapdefault\aspalpha\aspnum\faauto\adjustright\rin0\lin0\itap0 \rtlch\fcs1 \af0\afs20\alang1025 \ltrch\fcs0 \i\fs24\lang2057\langfe2057\cgrid\langnp2057\langfenp2057 _x000d__x000a_\sbasedon0 \snext20 \spriority0 \styrsid15228054 AmJustTitle;}{\s24\qr \li0\ri0\sb240\sa240\nowidctlpar\wrapdefault\aspalpha\aspnum\faauto\adjustright\rin0\lin0\itap0 \rtlch\fcs1 \af0\afs20\alang1025 \ltrch\fcs0 _x000d__x000a_\fs24\lang2057\langfe2057\cgrid\langnp2057\langfenp2057 \sbasedon0 \snext24 \spriority0 \styrsid15228054 AmOrLang;}{\s25\qc \li0\ri0\sa240\nowidctlpar\wrapdefault\aspalpha\aspnum\faauto\adjustright\rin0\lin0\itap0 \rtlch\fcs1 \af0\afs20\alang1025 _x000d__x000a_\ltrch\fcs0 \i\fs24\lang2057\langfe2057\cgrid\langnp2057\langfenp2057 \sbasedon0 \snext25 \spriority0 \styrsid15228054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228054 AmNumberTabs;}{\s27\ql \li0\ri0\sb240\nowidctlpar\wrapdefault\aspalpha\aspnum\faauto\adjustright\rin0\lin0\itap0 \rtlch\fcs1 _x000d__x000a_\af0\afs20\alang1025 \ltrch\fcs0 \b\fs24\lang2057\langfe2057\cgrid\langnp2057\langfenp2057 \sbasedon0 \snext27 \spriority0 \styrsid15228054 NormalBold12b;}}{\*\rsidtbl \rsid24658\rsid223860\rsid735077\rsid1718133\rsid2892074\rsid3565327\rsid4666813_x000d__x000a_\rsid6641733\rsid7823322\rsid9636012\rsid10377208\rsid11215221\rsid11409446\rsid11549030\rsid12154954\rsid14382809\rsid14424199\rsid15204470\rsid15228054\rsid15285974\rsid15950462\rsid16324206\rsid16662270}{\mmathPr\mmathFont34\mbrkBin0\mbrkBinSub0_x000d__x000a_\msmallFrac0\mdispDef1\mlMargin0\mrMargin0\mdefJc1\mwrapIndent1440\mintLim0\mnaryLim1}{\info{\author MANYIK Krisztina}{\operator MANYIK Krisztina}{\creatim\yr2020\mo1\dy29\hr11\min32}{\revtim\yr2020\mo1\dy29\hr11\min32}{\version1}{\edmins0}{\nofpages1}_x000d__x000a_{\nofwords60}{\nofchars656}{\nofcharsws661}{\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228054\newtblstyruls\nogrowautofit\usenormstyforlist\noindnmbrts\felnbrelev\nocxsptable\indrlsweleven\noafcnsttbl\afelev\utinl\hwelev\spltpgpar\notcvasp\notbrkcnstfrctbl\notvatxbx\krnprsnet\cachedcolbal _x000d__x000a_\nouicompat \fet0{\*\wgrffmtfilter 013f}\nofeaturethrottle1\ilfomacatclnup0{\*\template C:\\Users\\kmanyik\\AppData\\Local\\Temp\\Blank1.dotx}{\*\ftnsep \ltrpar \pard\plain \ltrpar_x000d__x000a_\ql \li0\ri0\widctlpar\wrapdefault\aspalpha\aspnum\faauto\adjustright\rin0\lin0\itap0 \rtlch\fcs1 \af0\afs20\alang1025 \ltrch\fcs0 \fs24\lang2057\langfe2057\cgrid\langnp2057\langfenp2057 {\rtlch\fcs1 \af0 \ltrch\fcs0 \insrsid11409446 \chftnsep _x000d__x000a_\par }}{\*\ftnsepc \ltrpar \pard\plain \ltrpar\ql \li0\ri0\widctlpar\wrapdefault\aspalpha\aspnum\faauto\adjustright\rin0\lin0\itap0 \rtlch\fcs1 \af0\afs20\alang1025 \ltrch\fcs0 \fs24\lang2057\langfe2057\cgrid\langnp2057\langfenp2057 {\rtlch\fcs1 \af0 _x000d__x000a_\ltrch\fcs0 \insrsid11409446 \chftnsepc _x000d__x000a_\par }}{\*\aftnsep \ltrpar \pard\plain \ltrpar\ql \li0\ri0\widctlpar\wrapdefault\aspalpha\aspnum\faauto\adjustright\rin0\lin0\itap0 \rtlch\fcs1 \af0\afs20\alang1025 \ltrch\fcs0 \fs24\lang2057\langfe2057\cgrid\langnp2057\langfenp2057 {\rtlch\fcs1 \af0 _x000d__x000a_\ltrch\fcs0 \insrsid11409446 \chftnsep _x000d__x000a_\par }}{\*\aftnsepc \ltrpar \pard\plain \ltrpar\ql \li0\ri0\widctlpar\wrapdefault\aspalpha\aspnum\faauto\adjustright\rin0\lin0\itap0 \rtlch\fcs1 \af0\afs20\alang1025 \ltrch\fcs0 \fs24\lang2057\langfe2057\cgrid\langnp2057\langfenp2057 {\rtlch\fcs1 \af0 _x000d__x000a_\ltrch\fcs0 \insrsid1140944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5228054 \rtlch\fcs1 _x000d__x000a_\af0\afs20\alang1025 \ltrch\fcs0 \b\fs24\lang2057\langfe2057\cgrid\langnp2057\langfenp2057 {\rtlch\fcs1 \af0 \ltrch\fcs0 \cs17\b0\v\fs20\cf9\loch\af1\hich\af1\dbch\af31501\insrsid15228054\charrsid13202075 {\*\bkmkstart restart}_x000d__x000a_\hich\af1\dbch\af31501\loch\f1 &lt;}{\rtlch\fcs1 \af0 \ltrch\fcs0 \cs17\b0\v\fs20\cf9\lang1024\langfe1024\loch\af1\hich\af1\dbch\af31501\noproof\insrsid15228054 \hich\af1\dbch\af31501\loch\f1 Amend}{\rtlch\fcs1 \af0 \ltrch\fcs0 _x000d__x000a_\cs17\b0\v\fs20\cf9\loch\af1\hich\af1\dbch\af31501\insrsid15228054\charrsid13202075 \hich\af1\dbch\af31501\loch\f1 &gt;}{\rtlch\fcs1 \af0 \ltrch\fcs0 \insrsid15228054\charrsid13202075 Amendment\tab \tab }{\rtlch\fcs1 \af0 \ltrch\fcs0 _x000d__x000a_\cs17\b0\v\fs20\cf9\loch\af1\hich\af1\dbch\af31501\insrsid15228054\charrsid13202075 \hich\af1\dbch\af31501\loch\f1 &lt;}{\rtlch\fcs1 \af0 \ltrch\fcs0 \cs17\b0\v\fs20\cf9\lang1024\langfe1024\loch\af1\hich\af1\dbch\af31501\noproof\insrsid15228054 _x000d__x000a_\hich\af1\dbch\af31501\loch\f1 NumAm&gt;}{\rtlch\fcs1 \af0 \ltrch\fcs0 \insrsid15228054\charrsid13202075 #}{\rtlch\fcs1 \af1 \ltrch\fcs0 \cs22\v\f1\fs20\cf15\insrsid15228054\charrsid13202075 ENMIENDA@NRAM@}{\rtlch\fcs1 \af0 \ltrch\fcs0 _x000d__x000a_\insrsid15228054\charrsid13202075 #}{\rtlch\fcs1 \af0 \ltrch\fcs0 \cs17\b0\v\fs20\cf9\loch\af1\hich\af1\dbch\af31501\insrsid15228054\charrsid13202075 \hich\af1\dbch\af31501\loch\f1 &lt;/}{\rtlch\fcs1 \af0 \ltrch\fcs0 _x000d__x000a_\cs17\b0\v\fs20\cf9\lang1024\langfe1024\loch\af1\hich\af1\dbch\af31501\noproof\insrsid15228054 \hich\af1\dbch\af31501\loch\f1 NumAm&gt;}{\rtlch\fcs1 \af0 \ltrch\fcs0 \insrsid15228054\charrsid13202075 _x000d__x000a_\par }\pard\plain \ltrpar\s27\ql \li0\ri0\sb240\keepn\nowidctlpar\wrapdefault\aspalpha\aspnum\faauto\adjustright\rin0\lin0\itap0\pararsid15228054 \rtlch\fcs1 \af0\afs20\alang1025 \ltrch\fcs0 \b\fs24\lang2057\langfe2057\cgrid\langnp2057\langfenp2057 {_x000d__x000a_\rtlch\fcs1 \af0 \ltrch\fcs0 \cs17\b0\v\fs20\cf9\loch\af1\hich\af1\dbch\af31501\insrsid15228054\charrsid13202075 \hich\af1\dbch\af31501\loch\f1 &lt;DocAmend&gt;}{\rtlch\fcs1 \af0 \ltrch\fcs0 \insrsid15228054\charrsid13202075 #}{\rtlch\fcs1 \af1 \ltrch\fcs0 _x000d__x000a_\cs22\v\f1\fs20\cf15\insrsid15228054\charrsid13202075 MNU[OPTPROPOSALCOD][OPTPROPOSALCNS][OPTPROPOSALNLE]@CHOICE@CODEMNU}{\rtlch\fcs1 \af0 \ltrch\fcs0 \insrsid15228054\charrsid13202075 ##}{\rtlch\fcs1 \af1 \ltrch\fcs0 _x000d__x000a_\cs22\v\f1\fs20\cf15\insrsid15228054\charrsid13202075 MNU[AMACTYES][NOTAPP]@CHOICE@AMACTMNU}{\rtlch\fcs1 \af0 \ltrch\fcs0 \insrsid15228054\charrsid13202075 #}{\rtlch\fcs1 \af0 \ltrch\fcs0 _x000d__x000a_\cs17\b0\v\fs20\cf9\loch\af1\hich\af1\dbch\af31501\insrsid15228054\charrsid13202075 \hich\af1\dbch\af31501\loch\f1 &lt;/DocAmend&gt;}{\rtlch\fcs1 \af0 \ltrch\fcs0 \insrsid15228054\charrsid13202075 _x000d__x000a_\par }\pard\plain \ltrpar\s19\ql \li0\ri0\keepn\nowidctlpar\wrapdefault\aspalpha\aspnum\faauto\adjustright\rin0\lin0\itap0\pararsid15228054 \rtlch\fcs1 \af0\afs20\alang1025 \ltrch\fcs0 \b\fs24\lang2057\langfe2057\cgrid\langnp2057\langfenp2057 {\rtlch\fcs1 _x000d__x000a_\af0 \ltrch\fcs0 \cs17\b0\v\fs20\cf9\loch\af1\hich\af1\dbch\af31501\insrsid15228054\charrsid13202075 \hich\af1\dbch\af31501\loch\f1 &lt;Article&gt;}{\rtlch\fcs1 \af0 \ltrch\fcs0 \insrsid15228054\charrsid13202075 #}{\rtlch\fcs1 \af1 \ltrch\fcs0 _x000d__x000a_\cs22\v\f1\fs20\cf15\insrsid15228054\charrsid13202075 MNU[AMACTPARTYES][AMACTPARTNO]@CHOICE@AMACTMNU}{\rtlch\fcs1 \af0 \ltrch\fcs0 \insrsid15228054\charrsid13202075 #}{\rtlch\fcs1 \af0 \ltrch\fcs0 _x000d__x000a_\cs17\b0\v\fs20\cf9\loch\af1\hich\af1\dbch\af31501\insrsid15228054\charrsid13202075 \hich\af1\dbch\af31501\loch\f1 &lt;/Article&gt;}{\rtlch\fcs1 \af0 \ltrch\fcs0 \insrsid15228054\charrsid13202075 _x000d__x000a_\par }\pard\plain \ltrpar\ql \li0\ri0\keepn\widctlpar\wrapdefault\aspalpha\aspnum\faauto\adjustright\rin0\lin0\itap0\pararsid15228054 \rtlch\fcs1 \af0\afs20\alang1025 \ltrch\fcs0 \fs24\lang2057\langfe2057\cgrid\langnp2057\langfenp2057 {\rtlch\fcs1 \af0 _x000d__x000a_\ltrch\fcs0 \cs17\v\fs20\cf9\loch\af1\hich\af1\dbch\af31501\insrsid15228054\charrsid13202075 \hich\af1\dbch\af31501\loch\f1 &lt;DocAmend2&gt;&lt;OptDel&gt;}{\rtlch\fcs1 \af0 \ltrch\fcs0 \insrsid15228054\charrsid13202075 #}{\rtlch\fcs1 \af1 \ltrch\fcs0 _x000d__x000a_\cs22\v\f1\fs20\cf15\insrsid15228054\charrsid13202075 MNU[OPTNRACTYES][NOTAPP]@CHOICE@AMACTMNU}{\rtlch\fcs1 \af0 \ltrch\fcs0 \insrsid15228054\charrsid13202075 #}{\rtlch\fcs1 \af0 \ltrch\fcs0 _x000d__x000a_\cs17\v\fs20\cf9\loch\af1\hich\af1\dbch\af31501\insrsid15228054\charrsid13202075 \hich\af1\dbch\af31501\loch\f1 &lt;/OptDel&gt;&lt;/DocAmend2&gt;}{\rtlch\fcs1 \af0 \ltrch\fcs0 \insrsid15228054\charrsid13202075 _x000d__x000a_\par }\pard \ltrpar\ql \li0\ri0\widctlpar\wrapdefault\aspalpha\aspnum\faauto\adjustright\rin0\lin0\itap0\pararsid15228054 {\rtlch\fcs1 \af0 \ltrch\fcs0 \cs17\v\fs20\cf9\loch\af1\hich\af1\dbch\af31501\insrsid15228054\charrsid13202075 _x000d__x000a_\hich\af1\dbch\af31501\loch\f1 &lt;Article2&gt;&lt;OptDel&gt;}{\rtlch\fcs1 \af0 \ltrch\fcs0 \insrsid15228054\charrsid13202075 #}{\rtlch\fcs1 \af1 \ltrch\fcs0 \cs22\v\f1\fs20\cf15\insrsid15228054\charrsid13202075 MNU[OPTACTPARTYES][NOTAPP]@CHOICE@AMACTMNU}{_x000d__x000a_\rtlch\fcs1 \af0 \ltrch\fcs0 \insrsid15228054\charrsid13202075 #}{\rtlch\fcs1 \af0 \ltrch\fcs0 \cs17\v\fs20\cf9\loch\af1\hich\af1\dbch\af31501\insrsid15228054\charrsid13202075 \hich\af1\dbch\af31501\loch\f1 &lt;/OptDel&gt;&lt;/Article2&gt;}{\rtlch\fcs1 \af0 _x000d__x000a_\ltrch\fcs0 \insrsid15228054\charrsid13202075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5228054\charrsid13202075 \cell }\pard\plain \ltrpar\ql \li0\ri0\widctlpar\intbl\wrapdefault\aspalpha\aspnum\faauto\adjustright\rin0\lin0 _x000d__x000a_\rtlch\fcs1 \af0\afs20\alang1025 \ltrch\fcs0 \fs24\lang2057\langfe2057\cgrid\langnp2057\langfenp2057 {\rtlch\fcs1 \af0 \ltrch\fcs0 \insrsid15228054\charrsid13202075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5228054\charrsid13202075 #}{\rtlch\fcs1 \af1 \ltrch\fcs0 \cs22\v\f1\fs20\cf15\insrsid15228054\charrsid13202075 MNU[OPTLEFTAMACT][LEFTPROP]@CHOICE@AMACTMNU}{\rtlch\fcs1 \af0 \ltrch\fcs0 \insrsid15228054\charrsid13202075 #\cell Amendment\cell _x000d__x000a_}\pard\plain \ltrpar\ql \li0\ri0\widctlpar\intbl\wrapdefault\aspalpha\aspnum\faauto\adjustright\rin0\lin0 \rtlch\fcs1 \af0\afs20\alang1025 \ltrch\fcs0 \fs24\lang2057\langfe2057\cgrid\langnp2057\langfenp2057 {\rtlch\fcs1 \af0 \ltrch\fcs0 _x000d__x000a_\insrsid15228054\charrsid13202075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5228054\charrsid13202075 ##\cell ##}{\rtlch\fcs1 \af0\afs24 \ltrch\fcs0 \insrsid15228054\charrsid13202075 \cell }\pard\plain \ltrpar_x000d__x000a_\ql \li0\ri0\widctlpar\intbl\wrapdefault\aspalpha\aspnum\faauto\adjustright\rin0\lin0 \rtlch\fcs1 \af0\afs20\alang1025 \ltrch\fcs0 \fs24\lang2057\langfe2057\cgrid\langnp2057\langfenp2057 {\rtlch\fcs1 \af0 \ltrch\fcs0 \insrsid15228054\charrsid13202075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228054 \rtlch\fcs1 \af0\afs20\alang1025 \ltrch\fcs0 \fs24\lang2057\langfe2057\cgrid\langnp2057\langfenp2057 {\rtlch\fcs1 \af0 \ltrch\fcs0 _x000d__x000a_\insrsid15228054\charrsid13202075 Or. }{\rtlch\fcs1 \af0 \ltrch\fcs0 \cs17\v\fs20\cf9\loch\af1\hich\af1\dbch\af31501\insrsid15228054\charrsid13202075 \hich\af1\dbch\af31501\loch\f1 &lt;Original&gt;}{\rtlch\fcs1 \af0 \ltrch\fcs0 _x000d__x000a_\insrsid15228054\charrsid13202075 #}{\rtlch\fcs1 \af1 \ltrch\fcs0 \cs22\v\f1\fs20\cf15\insrsid15228054\charrsid13202075 MNU[ORLANGONE][ORLANGMORE]@CHOICE@ORLANGMNU}{\rtlch\fcs1 \af0 \ltrch\fcs0 \insrsid15228054\charrsid13202075 #}{\rtlch\fcs1 \af0 _x000d__x000a_\ltrch\fcs0 \cs17\v\fs20\cf9\loch\af1\hich\af1\dbch\af31501\insrsid15228054\charrsid13202075 \hich\af1\dbch\af31501\loch\f1 &lt;/Original&gt;}{\rtlch\fcs1 \af0 \ltrch\fcs0 \insrsid15228054\charrsid13202075 _x000d__x000a_\par }\pard\plain \ltrpar\s21\qc \li0\ri0\sb240\sa240\nowidctlpar\wrapdefault\aspalpha\aspnum\faauto\adjustright\rin0\lin0\itap0\pararsid15228054 \rtlch\fcs1 \af0\afs20\alang1025 \ltrch\fcs0 \i\fs24\lang2057\langfe2057\cgrid\langnp2057\langfenp2057 {_x000d__x000a_\rtlch\fcs1 \af0 \ltrch\fcs0 \cs17\i0\v\fs20\cf9\loch\af1\hich\af1\dbch\af31501\insrsid15228054\charrsid13202075 \hich\af1\dbch\af31501\loch\f1 &lt;OptDel&gt;}{\rtlch\fcs1 \af0 \ltrch\fcs0 \insrsid15228054\charrsid13202075 #}{\rtlch\fcs1 \af1 \ltrch\fcs0 _x000d__x000a_\cs22\v\f1\fs20\cf15\insrsid15228054\charrsid13202075 MNU[CROSSREFNO][CROSSREFYES]@CHOICE@}{\rtlch\fcs1 \af0 \ltrch\fcs0 \insrsid15228054\charrsid13202075 #}{\rtlch\fcs1 \af0 \ltrch\fcs0 _x000d__x000a_\cs17\i0\v\fs20\cf9\loch\af1\hich\af1\dbch\af31501\insrsid15228054\charrsid13202075 \hich\af1\dbch\af31501\loch\f1 &lt;/OptDel&gt;}{\rtlch\fcs1 \af0 \ltrch\fcs0 \insrsid15228054\charrsid13202075 _x000d__x000a_\par }\pard\plain \ltrpar\s23\qc \li0\ri0\sb240\sa240\keepn\nowidctlpar\wrapdefault\aspalpha\aspnum\faauto\adjustright\rin0\lin0\itap0\pararsid15228054 \rtlch\fcs1 \af0\afs20\alang1025 \ltrch\fcs0 \i\fs24\lang2057\langfe2057\cgrid\langnp2057\langfenp2057 {_x000d__x000a_\rtlch\fcs1 \af0 \ltrch\fcs0 \cs17\i0\v\fs20\cf9\loch\af1\hich\af1\dbch\af31501\insrsid15228054\charrsid13202075 \hich\af1\dbch\af31501\loch\f1 &lt;TitreJust&gt;}{\rtlch\fcs1 \af0 \ltrch\fcs0 \insrsid15228054\charrsid13202075 Justification}{\rtlch\fcs1 \af0 _x000d__x000a_\ltrch\fcs0 \cs17\i0\v\fs20\cf9\loch\af1\hich\af1\dbch\af31501\insrsid15228054\charrsid13202075 \hich\af1\dbch\af31501\loch\f1 &lt;/TitreJust&gt;}{\rtlch\fcs1 \af0 \ltrch\fcs0 \insrsid15228054\charrsid13202075 _x000d__x000a_\par }\pard\plain \ltrpar\s20\ql \li0\ri0\sa240\nowidctlpar\wrapdefault\aspalpha\aspnum\faauto\adjustright\rin0\lin0\itap0\pararsid15228054 \rtlch\fcs1 \af0\afs20\alang1025 \ltrch\fcs0 \i\fs24\lang2057\langfe2057\cgrid\langnp2057\langfenp2057 {\rtlch\fcs1 _x000d__x000a_\af0 \ltrch\fcs0 \cs17\i0\v\fs20\cf9\loch\af1\hich\af1\dbch\af31501\insrsid15228054\charrsid13202075 \hich\af1\dbch\af31501\loch\f1 &lt;OptDelPrev&gt;}{\rtlch\fcs1 \af0 \ltrch\fcs0 \insrsid15228054\charrsid13202075 #}{\rtlch\fcs1 \af1 \ltrch\fcs0 _x000d__x000a_\cs22\v\f1\fs20\cf15\insrsid15228054\charrsid13202075 MNU[TEXTJUSTYES][TEXTJUSTNO]@CHOICE@}{\rtlch\fcs1 \af0 \ltrch\fcs0 \insrsid15228054\charrsid13202075 #}{\rtlch\fcs1 \af0 \ltrch\fcs0 _x000d__x000a_\cs17\i0\v\fs20\cf9\loch\af1\hich\af1\dbch\af31501\insrsid15228054\charrsid13202075 \hich\af1\dbch\af31501\loch\f1 &lt;/OptDelPrev&gt;}{\rtlch\fcs1 \af0 \ltrch\fcs0 \insrsid15228054\charrsid13202075 _x000d__x000a_\par }\pard\plain \ltrpar\ql \li0\ri0\widctlpar\wrapdefault\aspalpha\aspnum\faauto\adjustright\rin0\lin0\itap0\pararsid15228054 \rtlch\fcs1 \af0\afs20\alang1025 \ltrch\fcs0 \fs24\lang2057\langfe2057\cgrid\langnp2057\langfenp2057 {\rtlch\fcs1 \af0 \ltrch\fcs0 _x000d__x000a_\cs17\v\fs20\cf9\loch\af1\hich\af1\dbch\af31501\insrsid15228054\charrsid13202075 \hich\af1\dbch\af31501\loch\f1 &lt;/}{\rtlch\fcs1 \af0 \ltrch\fcs0 \cs17\v\fs20\cf9\lang1024\langfe1024\loch\af1\hich\af1\dbch\af31501\noproof\insrsid15228054 _x000d__x000a_\hich\af1\dbch\af31501\loch\f1 Amend}{\rtlch\fcs1 \af0 \ltrch\fcs0 \cs17\v\fs20\cf9\loch\af1\hich\af1\dbch\af31501\insrsid15228054\charrsid13202075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9_x000d__x000a_a35d8f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665315 HideTWBExt;}{_x000d__x000a_\s18\ql \li0\ri0\sa120\nowidctlpar\wrapdefault\aspalpha\aspnum\faauto\adjustright\rin0\lin0\itap0 \rtlch\fcs1 \af0\afs20\alang1025 \ltrch\fcs0 \fs24\lang2057\langfe2057\cgrid\langnp2057\langfenp2057 \sbasedon0 \snext18 \spriority0 \styrsid4665315 _x000d__x000a_Normal6a;}{\s19\ql \li0\ri0\nowidctlpar\wrapdefault\aspalpha\aspnum\faauto\adjustright\rin0\lin0\itap0 \rtlch\fcs1 \af0\afs20\alang1025 \ltrch\fcs0 \b\fs24\lang2057\langfe2057\cgrid\langnp2057\langfenp2057 \sbasedon0 \snext19 \spriority0 \styrsid4665315 _x000d__x000a_NormalBold;}{\s20\qc \li0\ri0\sa240\nowidctlpar\wrapdefault\aspalpha\aspnum\faauto\adjustright\rin0\lin0\itap0 \rtlch\fcs1 \af0\afs20\alang1025 \ltrch\fcs0 \i\fs24\lang2057\langfe2057\cgrid\langnp2057\langfenp2057 _x000d__x000a_\sbasedon0 \snext20 \spriority0 \styrsid4665315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4665315 AmNumberTabs;}{\s22\ql \li0\ri0\sb240\nowidctlpar\wrapdefault\aspalpha\aspnum\faauto\adjustright\rin0\lin0\itap0 \rtlch\fcs1 _x000d__x000a_\af0\afs20\alang1025 \ltrch\fcs0 \b\fs24\lang2057\langfe2057\cgrid\langnp2057\langfenp2057 \sbasedon0 \snext22 \spriority0 \styrsid4665315 NormalBold12b;}}{\*\rsidtbl \rsid24658\rsid223860\rsid735077\rsid1718133\rsid2892074\rsid3565327\rsid4665315_x000d__x000a_\rsid4666813\rsid6641733\rsid7823322\rsid9636012\rsid10377208\rsid11215221\rsid11549030\rsid12154954\rsid13107291\rsid14382809\rsid14424199\rsid15204470\rsid15285974\rsid15950462\rsid16324206\rsid16662270}{\mmathPr\mmathFont34\mbrkBin0\mbrkBinSub0_x000d__x000a_\msmallFrac0\mdispDef1\mlMargin0\mrMargin0\mdefJc1\mwrapIndent1440\mintLim0\mnaryLim1}{\info{\author MONKUNIENE Neringa}{\operator MONKUNIENE Neringa}{\creatim\yr2020\mo4\dy28\hr10\min25}{\revtim\yr2020\mo4\dy28\hr10\min25}{\version1}{\edmins0}_x000d__x000a_{\nofpages1}{\nofwords24}{\nofchars139}{\nofcharsws162}{\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65315\newtblstyruls\nogrowautofit\usenormstyforlist\noindnmbrts\felnbrelev\nocxsptable\indrlsweleven\noafcnsttbl\afelev\utinl\hwelev\spltpgpar\notcvasp\notbrkcnstfrctbl\notvatxbx\krnprsnet\cachedcolbal _x000d__x000a_\nouicompat \fet0{\*\wgrffmtfilter 013f}\nofeaturethrottle1\ilfomacatclnup0{\*\template D:\\USERS\\NMONKU~1\\AppData\\Local\\Temp\\Blank1.dotx}{\*\ftnsep \ltrpar \pard\plain \ltrpar_x000d__x000a_\ql \li0\ri0\widctlpar\wrapdefault\aspalpha\aspnum\faauto\adjustright\rin0\lin0\itap0 \rtlch\fcs1 \af0\afs20\alang1025 \ltrch\fcs0 \fs24\lang2057\langfe2057\cgrid\langnp2057\langfenp2057 {\rtlch\fcs1 \af0 \ltrch\fcs0 \insrsid13107291 \chftnsep _x000d__x000a_\par }}{\*\ftnsepc \ltrpar \pard\plain \ltrpar\ql \li0\ri0\widctlpar\wrapdefault\aspalpha\aspnum\faauto\adjustright\rin0\lin0\itap0 \rtlch\fcs1 \af0\afs20\alang1025 \ltrch\fcs0 \fs24\lang2057\langfe2057\cgrid\langnp2057\langfenp2057 {\rtlch\fcs1 \af0 _x000d__x000a_\ltrch\fcs0 \insrsid13107291 \chftnsepc _x000d__x000a_\par }}{\*\aftnsep \ltrpar \pard\plain \ltrpar\ql \li0\ri0\widctlpar\wrapdefault\aspalpha\aspnum\faauto\adjustright\rin0\lin0\itap0 \rtlch\fcs1 \af0\afs20\alang1025 \ltrch\fcs0 \fs24\lang2057\langfe2057\cgrid\langnp2057\langfenp2057 {\rtlch\fcs1 \af0 _x000d__x000a_\ltrch\fcs0 \insrsid13107291 \chftnsep _x000d__x000a_\par }}{\*\aftnsepc \ltrpar \pard\plain \ltrpar\ql \li0\ri0\widctlpar\wrapdefault\aspalpha\aspnum\faauto\adjustright\rin0\lin0\itap0 \rtlch\fcs1 \af0\afs20\alang1025 \ltrch\fcs0 \fs24\lang2057\langfe2057\cgrid\langnp2057\langfenp2057 {\rtlch\fcs1 \af0 _x000d__x000a_\ltrch\fcs0 \insrsid1310729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15225733 \rtlch\fcs1 _x000d__x000a_\af0\afs20\alang1025 \ltrch\fcs0 \b\fs24\lang2057\langfe2057\cgrid\langnp2057\langfenp2057 {\rtlch\fcs1 \af0 \ltrch\fcs0 \cs17\b0\v\fs20\cf9\lang1024\langfe1024\loch\af1\hich\af1\dbch\af31501\noproof\insrsid4665315\charrsid15879488 {\*\bkmkstart restartA}_x000d__x000a_\hich\af1\dbch\af31501\loch\f1 &lt;AmendA&gt;}{\rtlch\fcs1 \af0 \ltrch\fcs0 \insrsid4665315\charrsid15879488 [ZAMENDMENT]\tab \tab }{\rtlch\fcs1 \af0 \ltrch\fcs0 _x000d__x000a_\cs17\b0\v\fs20\cf9\lang1024\langfe1024\loch\af1\hich\af1\dbch\af31501\noproof\insrsid4665315\charrsid15879488 \hich\af1\dbch\af31501\loch\f1 &lt;NumAmA&gt;}{\rtlch\fcs1 \af0 \ltrch\fcs0 \insrsid4665315\charrsid15879488 [ZNRAM]}{\rtlch\fcs1 \af0 \ltrch\fcs0 _x000d__x000a_\cs17\b0\v\fs20\cf9\lang1024\langfe1024\loch\af1\hich\af1\dbch\af31501\noproof\insrsid4665315\charrsid15879488 \hich\af1\dbch\af31501\loch\f1 &lt;/NumAmA&gt;}{\rtlch\fcs1 \af0 \ltrch\fcs0 \insrsid4665315\charrsid15879488 _x000d__x000a_\par }\pard\plain \ltrpar\s22\ql \li0\ri0\sb240\keepn\nowidctlpar\wrapdefault\aspalpha\aspnum\faauto\adjustright\rin0\lin0\itap0\pararsid15225733 \rtlch\fcs1 \af0\afs20\alang1025 \ltrch\fcs0 \b\fs24\lang2057\langfe2057\cgrid\langnp2057\langfenp2057 {_x000d__x000a_\rtlch\fcs1 \af0 \ltrch\fcs0 \cs17\b0\v\fs20\cf9\lang1024\langfe1024\loch\af1\hich\af1\dbch\af31501\noproof\langnp1036\insrsid4665315\charrsid11356624 \hich\af1\dbch\af31501\loch\f1 &lt;DocAmend&gt;}{\rtlch\fcs1 \af0 \ltrch\fcs0 _x000d__x000a_\lang1036\langfe2057\langnp1036\insrsid4665315\charrsid11356624 [ZRESOLUTION]}{\rtlch\fcs1 \af0 \ltrch\fcs0 \cs17\b0\v\fs20\cf9\lang1024\langfe1024\loch\af1\hich\af1\dbch\af31501\noproof\langnp1036\insrsid4665315\charrsid11356624 _x000d__x000a_\hich\af1\dbch\af31501\loch\f1 &lt;/DocAmend&gt;}{\rtlch\fcs1 \af0 \ltrch\fcs0 \lang1036\langfe2057\langnp1036\insrsid4665315\charrsid11356624 _x000d__x000a_\par }\pard\plain \ltrpar\s19\ql \li0\ri0\nowidctlpar\wrapdefault\aspalpha\aspnum\faauto\adjustright\rin0\lin0\itap0\pararsid15225733 \rtlch\fcs1 \af0\afs20\alang1025 \ltrch\fcs0 \b\fs24\lang2057\langfe2057\cgrid\langnp2057\langfenp2057 {\rtlch\fcs1 \af0 _x000d__x000a_\ltrch\fcs0 \cs17\b0\v\fs20\cf9\lang1024\langfe1024\loch\af1\hich\af1\dbch\af31501\noproof\langnp1036\insrsid4665315\charrsid11356624 \hich\af1\dbch\af31501\loch\f1 &lt;Article&gt;}{\rtlch\fcs1 \af0 \ltrch\fcs0 _x000d__x000a_\lang1036\langfe2057\langnp1036\insrsid4665315\charrsid11356624 [ZRESPART]}{\rtlch\fcs1 \af0 \ltrch\fcs0 \cs17\b0\v\fs20\cf9\lang1024\langfe1024\loch\af1\hich\af1\dbch\af31501\noproof\langnp1036\insrsid4665315\charrsid11356624 _x000d__x000a_\hich\af1\dbch\af31501\loch\f1 &lt;/Article&gt;}{\rtlch\fcs1 \af0 \ltrch\fcs0 \lang1036\langfe2057\langnp1036\insrsid4665315\charrsid11356624 _x000d__x000a_\par \ltrrow}\trowd \ltrrow\ts11\trqc\trgaph340\trleft-340\trftsWidth1\trftsWidthB3\trpaddl340\trpaddr340\trpaddfl3\trpaddft3\trpaddfb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4665315\charrsid11356624 \cell }\pard \ltrpar_x000d__x000a_\ql \li0\ri0\widctlpar\intbl\wrapdefault\aspalpha\aspnum\faauto\adjustright\rin0\lin0 {\rtlch\fcs1 \af0 \ltrch\fcs0 \insrsid4665315\charrsid11356624 \trowd \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1\trftsWidthB3\trpaddl340\trpaddr340\trpaddfl3\trpaddft3\trpaddfb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0\qc \li0\ri0\sa240\keepn\nowidctlpar\intbl\wrapdefault\aspalpha\aspnum\faauto\adjustright\rin0\lin0\pararsid14374628 \rtlch\fcs1 \af0\afs20\alang1025 \ltrch\fcs0 \i\fs24\lang2057\langfe2057\cgrid\langnp2057\langfenp2057 {_x000d__x000a_\rtlch\fcs1 \af0 \ltrch\fcs0 \insrsid4665315\charrsid15879488 [ZLEFTA]\cell [ZRIGHT]\cell }\pard\plain \ltrpar\ql \li0\ri0\widctlpar\intbl\wrapdefault\aspalpha\aspnum\faauto\adjustright\rin0\lin0 \rtlch\fcs1 \af0\afs20\alang1025 \ltrch\fcs0 _x000d__x000a_\fs24\lang2057\langfe2057\cgrid\langnp2057\langfenp2057 {\rtlch\fcs1 \af0 \ltrch\fcs0 \insrsid4665315\charrsid15879488 \trowd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4665315\charrsid15879488 [ZTEXTL]\cell [ZTEXTR]}{\rtlch\fcs1 \af0\afs24 \ltrch\fcs0 \insrsid4665315\charrsid15879488 \cell }\pard\plain \ltrpar\ql \li0\ri0\widctlpar\intbl\wrapdefault\aspalpha\aspnum\faauto\adjustright\rin0\lin0 \rtlch\fcs1 _x000d__x000a_\af0\afs20\alang1025 \ltrch\fcs0 \fs24\lang2057\langfe2057\cgrid\langnp2057\langfenp2057 {\rtlch\fcs1 \af0 \ltrch\fcs0 \insrsid4665315\charrsid15879488 \trowd \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5225733 {\rtlch\fcs1 \af0 \ltrch\fcs0 \cs17\v\fs20\cf9\lang1024\langfe1024\loch\af1\hich\af1\dbch\af31501\noproof\insrsid4665315\charrsid15879488 _x000d__x000a_\hich\af1\dbch\af31501\loch\f1 &lt;/AmendA&gt;}{\rtlch\fcs1 \af0 \ltrch\fcs0 \insrsid466531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8_x000d__x000a_e29e36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767474 HideTWBExt;}{_x000d__x000a_\s18\ql \li0\ri0\sa120\nowidctlpar\wrapdefault\aspalpha\aspnum\faauto\adjustright\rin0\lin0\itap0 \rtlch\fcs1 \af0\afs20\alang1025 \ltrch\fcs0 \fs24\lang2057\langfe2057\cgrid\langnp2057\langfenp2057 \sbasedon0 \snext18 \spriority0 \styrsid14767474 _x000d__x000a_Normal6a;}{\s19\ql \li0\ri0\nowidctlpar\wrapdefault\aspalpha\aspnum\faauto\adjustright\rin0\lin0\itap0 \rtlch\fcs1 \af0\afs20\alang1025 \ltrch\fcs0 \b\fs24\lang2057\langfe2057\cgrid\langnp2057\langfenp2057 \sbasedon0 \snext19 \spriority0 \styrsid14767474 _x000d__x000a_NormalBold;}{\s20\ql \li0\ri0\sa240\nowidctlpar\wrapdefault\aspalpha\aspnum\faauto\adjustright\rin0\lin0\itap0 \rtlch\fcs1 \af0\afs20\alang1025 \ltrch\fcs0 \i\fs24\lang2057\langfe2057\cgrid\langnp2057\langfenp2057 _x000d__x000a_\sbasedon0 \snext20 \spriority0 \styrsid14767474 AmJustText;}{\s21\qc \li0\ri0\sb240\sa240\nowidctlpar\wrapdefault\aspalpha\aspnum\faauto\adjustright\rin0\lin0\itap0 \rtlch\fcs1 \af0\afs20\alang1025 \ltrch\fcs0 _x000d__x000a_\i\fs24\lang2057\langfe2057\cgrid\langnp2057\langfenp2057 \sbasedon0 \snext21 \spriority0 \styrsid14767474 AmCrossRef;}{\s22\qc \li0\ri0\sb240\sa240\keepn\nowidctlpar\wrapdefault\aspalpha\aspnum\faauto\adjustright\rin0\lin0\itap0 \rtlch\fcs1 _x000d__x000a_\af0\afs20\alang1025 \ltrch\fcs0 \i\fs24\lang2057\langfe2057\cgrid\langnp2057\langfenp2057 \sbasedon0 \snext20 \spriority0 \styrsid14767474 AmJustTitle;}{\s23\qc \li0\ri0\sa240\nowidctlpar\wrapdefault\aspalpha\aspnum\faauto\adjustright\rin0\lin0\itap0 _x000d__x000a_\rtlch\fcs1 \af0\afs20\alang1025 \ltrch\fcs0 \i\fs24\lang2057\langfe2057\cgrid\langnp2057\langfenp2057 \sbasedon0 \snext23 \spriority0 \styrsid14767474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4767474 AmNumberTabs;}{\s25\ql \li0\ri0\sb240\nowidctlpar\wrapdefault\aspalpha\aspnum\faauto\adjustright\rin0\lin0\itap0 \rtlch\fcs1 _x000d__x000a_\af0\afs20\alang1025 \ltrch\fcs0 \b\fs24\lang2057\langfe2057\cgrid\langnp2057\langfenp2057 \sbasedon0 \snext25 \spriority0 \styrsid14767474 NormalBold12b;}}{\*\rsidtbl \rsid24658\rsid223860\rsid735077\rsid1718133\rsid2427506\rsid2892074\rsid3565327_x000d__x000a_\rsid4666813\rsid6641733\rsid7823322\rsid9636012\rsid10377208\rsid11215221\rsid11549030\rsid12154954\rsid14382809\rsid14424199\rsid14767474\rsid15204470\rsid15285974\rsid15950462\rsid16324206\rsid16662270}{\mmathPr\mmathFont34\mbrkBin0\mbrkBinSub0_x000d__x000a_\msmallFrac0\mdispDef1\mlMargin0\mrMargin0\mdefJc1\mwrapIndent1440\mintLim0\mnaryLim1}{\info{\author MONKUNIENE Neringa}{\operator MONKUNIENE Neringa}{\creatim\yr2020\mo4\dy28\hr10\min25}{\revtim\yr2020\mo4\dy28\hr10\min25}{\version1}{\edmins0}_x000d__x000a_{\nofpages1}{\nofwords55}{\nofchars317}{\nofcharsws371}{\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767474\newtblstyruls\nogrowautofit\usenormstyforlist\noindnmbrts\felnbrelev\nocxsptable\indrlsweleven\noafcnsttbl\afelev\utinl\hwelev\spltpgpar\notcvasp\notbrkcnstfrctbl\notvatxbx\krnprsnet\cachedcolbal _x000d__x000a_\nouicompat \fet0{\*\wgrffmtfilter 013f}\nofeaturethrottle1\ilfomacatclnup0{\*\template D:\\USERS\\NMONKU~1\\AppData\\Local\\Temp\\Blank1.dotx}{\*\ftnsep \ltrpar \pard\plain \ltrpar_x000d__x000a_\ql \li0\ri0\widctlpar\wrapdefault\aspalpha\aspnum\faauto\adjustright\rin0\lin0\itap0 \rtlch\fcs1 \af0\afs20\alang1025 \ltrch\fcs0 \fs24\lang2057\langfe2057\cgrid\langnp2057\langfenp2057 {\rtlch\fcs1 \af0 \ltrch\fcs0 \insrsid2427506 \chftnsep _x000d__x000a_\par }}{\*\ftnsepc \ltrpar \pard\plain \ltrpar\ql \li0\ri0\widctlpar\wrapdefault\aspalpha\aspnum\faauto\adjustright\rin0\lin0\itap0 \rtlch\fcs1 \af0\afs20\alang1025 \ltrch\fcs0 \fs24\lang2057\langfe2057\cgrid\langnp2057\langfenp2057 {\rtlch\fcs1 \af0 _x000d__x000a_\ltrch\fcs0 \insrsid2427506 \chftnsepc _x000d__x000a_\par }}{\*\aftnsep \ltrpar \pard\plain \ltrpar\ql \li0\ri0\widctlpar\wrapdefault\aspalpha\aspnum\faauto\adjustright\rin0\lin0\itap0 \rtlch\fcs1 \af0\afs20\alang1025 \ltrch\fcs0 \fs24\lang2057\langfe2057\cgrid\langnp2057\langfenp2057 {\rtlch\fcs1 \af0 _x000d__x000a_\ltrch\fcs0 \insrsid2427506 \chftnsep _x000d__x000a_\par }}{\*\aftnsepc \ltrpar \pard\plain \ltrpar\ql \li0\ri0\widctlpar\wrapdefault\aspalpha\aspnum\faauto\adjustright\rin0\lin0\itap0 \rtlch\fcs1 \af0\afs20\alang1025 \ltrch\fcs0 \fs24\lang2057\langfe2057\cgrid\langnp2057\langfenp2057 {\rtlch\fcs1 \af0 _x000d__x000a_\ltrch\fcs0 \insrsid24275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5956237 \rtlch\fcs1 _x000d__x000a_\af0\afs20\alang1025 \ltrch\fcs0 \b\fs24\lang2057\langfe2057\cgrid\langnp2057\langfenp2057 {\rtlch\fcs1 \af0 \ltrch\fcs0 \cs17\b0\v\fs20\cf9\lang1024\langfe1024\loch\af1\hich\af1\dbch\af31501\noproof\insrsid14767474\charrsid15879488 {\*\bkmkstart restartB_x000d__x000a_}\hich\af1\dbch\af31501\loch\f1 &lt;AmendB&gt;}{\rtlch\fcs1 \af0 \ltrch\fcs0 \insrsid14767474\charrsid15879488 [ZAMENDMENT]\tab \tab }{\rtlch\fcs1 \af0 \ltrch\fcs0 _x000d__x000a_\cs17\b0\v\fs20\cf9\lang1024\langfe1024\loch\af1\hich\af1\dbch\af31501\noproof\insrsid14767474\charrsid15879488 \hich\af1\dbch\af31501\loch\f1 &lt;NumAmB&gt;}{\rtlch\fcs1 \af0 \ltrch\fcs0 \insrsid14767474\charrsid15879488 [ZNRAM]}{\rtlch\fcs1 \af0 \ltrch\fcs0 _x000d__x000a_\cs17\b0\v\fs20\cf9\lang1024\langfe1024\loch\af1\hich\af1\dbch\af31501\noproof\insrsid14767474\charrsid15879488 \hich\af1\dbch\af31501\loch\f1 &lt;/NumAmB&gt;}{\rtlch\fcs1 \af0 \ltrch\fcs0 \insrsid14767474\charrsid15879488 _x000d__x000a_\par }\pard\plain \ltrpar\s25\ql \li0\ri0\sb240\keepn\nowidctlpar\wrapdefault\aspalpha\aspnum\faauto\adjustright\rin0\lin0\itap0\pararsid15956237 \rtlch\fcs1 \af0\afs20\alang1025 \ltrch\fcs0 \b\fs24\lang2057\langfe2057\cgrid\langnp2057\langfenp2057 {_x000d__x000a_\rtlch\fcs1 \af0 \ltrch\fcs0 \cs17\b0\v\fs20\cf9\lang1024\langfe1024\loch\af1\hich\af1\dbch\af31501\noproof\insrsid14767474\charrsid15879488 \hich\af1\dbch\af31501\loch\f1 &lt;DocAmend&gt;}{\rtlch\fcs1 \af0 \ltrch\fcs0 \insrsid14767474\charrsid15879488 _x000d__x000a_[ZPROPOSAL][ZAMACT]}{\rtlch\fcs1 \af0 \ltrch\fcs0 \cs17\b0\v\fs20\cf9\lang1024\langfe1024\loch\af1\hich\af1\dbch\af31501\noproof\insrsid14767474\charrsid15879488 \hich\af1\dbch\af31501\loch\f1 &lt;/DocAmend&gt;}{\rtlch\fcs1 \af0 \ltrch\fcs0 _x000d__x000a_\insrsid14767474\charrsid15879488 _x000d__x000a_\par }\pard\plain \ltrpar\s19\ql \li0\ri0\keepn\nowidctlpar\wrapdefault\aspalpha\aspnum\faauto\adjustright\rin0\lin0\itap0\pararsid15956237 \rtlch\fcs1 \af0\afs20\alang1025 \ltrch\fcs0 \b\fs24\lang2057\langfe2057\cgrid\langnp2057\langfenp2057 {\rtlch\fcs1 _x000d__x000a_\af0 \ltrch\fcs0 \cs17\b0\v\fs20\cf9\lang1024\langfe1024\loch\af1\hich\af1\dbch\af31501\noproof\insrsid14767474\charrsid15879488 \hich\af1\dbch\af31501\loch\f1 &lt;Article&gt;}{\rtlch\fcs1 \af0 \ltrch\fcs0 \insrsid14767474\charrsid15879488 [ZAMPART]}{_x000d__x000a_\rtlch\fcs1 \af0 \ltrch\fcs0 \cs17\b0\v\fs20\cf9\lang1024\langfe1024\loch\af1\hich\af1\dbch\af31501\noproof\insrsid14767474\charrsid15879488 \hich\af1\dbch\af31501\loch\f1 &lt;/Article&gt;}{\rtlch\fcs1 \af0 \ltrch\fcs0 \insrsid14767474\charrsid15879488 _x000d__x000a_\par }\pard\plain \ltrpar\ql \li0\ri0\keepn\widctlpar\wrapdefault\aspalpha\aspnum\faauto\adjustright\rin0\lin0\itap0\pararsid15956237 \rtlch\fcs1 \af0\afs20\alang1025 \ltrch\fcs0 \fs24\lang2057\langfe2057\cgrid\langnp2057\langfenp2057 {\rtlch\fcs1 \af0 _x000d__x000a_\ltrch\fcs0 \cs17\v\fs20\cf9\lang1024\langfe1024\loch\af1\hich\af1\dbch\af31501\noproof\insrsid14767474\charrsid15879488 \hich\af1\dbch\af31501\loch\f1 &lt;DocAmend2&gt;&lt;OptDel&gt;}{\rtlch\fcs1 \af0 \ltrch\fcs0 \insrsid14767474\charrsid15879488 [ZNRACT]}{_x000d__x000a_\rtlch\fcs1 \af0 \ltrch\fcs0 \cs17\v\fs20\cf9\lang1024\langfe1024\loch\af1\hich\af1\dbch\af31501\noproof\insrsid14767474\charrsid15879488 \hich\af1\dbch\af31501\loch\f1 &lt;/OptDel&gt;&lt;/DocAmend2&gt;}{\rtlch\fcs1 \af0 \ltrch\fcs0 \insrsid14767474\charrsid15879488 _x000d__x000a__x000d__x000a_\par }\pard \ltrpar\ql \li0\ri0\widctlpar\wrapdefault\aspalpha\aspnum\faauto\adjustright\rin0\lin0\itap0\pararsid15956237 {\rtlch\fcs1 \af0 \ltrch\fcs0 _x000d__x000a_\cs17\v\fs20\cf9\lang1024\langfe1024\loch\af1\hich\af1\dbch\af31501\noproof\langnp1036\insrsid14767474\charrsid11356624 \hich\af1\dbch\af31501\loch\f1 &lt;Article2&gt;&lt;OptDel&gt;}{\rtlch\fcs1 \af0 \ltrch\fcs0 _x000d__x000a_\lang1036\langfe2057\langnp1036\insrsid14767474\charrsid11356624 [ZACTPART]}{\rtlch\fcs1 \af0 \ltrch\fcs0 \cs17\v\fs20\cf9\lang1024\langfe1024\loch\af1\hich\af1\dbch\af31501\noproof\langnp1036\insrsid14767474\charrsid11356624 _x000d__x000a_\hich\af1\dbch\af31501\loch\f1 &lt;/OptDel&gt;&lt;/Article2&gt;}{\rtlch\fcs1 \af0 \ltrch\fcs0 \lang1036\langfe2057\langnp1036\insrsid14767474\charrsid11356624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 \ltrpar\ql \li0\ri0\keepn\widctlpar\intbl\wrapdefault\aspalpha\aspnum\faauto\adjustright\rin0\lin0\pararsid14374628 {\rtlch\fcs1 \af0 \ltrch\fcs0 _x000d__x000a_\lang1036\langfe2057\langnp1036\insrsid14767474\charrsid11356624 \cell }\pard \ltrpar\ql \li0\ri0\widctlpar\intbl\wrapdefault\aspalpha\aspnum\faauto\adjustright\rin0\lin0 {\rtlch\fcs1 \af0 \ltrch\fcs0 \insrsid14767474\charrsid11356624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14767474\charrsid15879488 [ZLEFTB]\cell [ZRIGHT]\cell }\pard\plain \ltrpar_x000d__x000a_\ql \li0\ri0\widctlpar\intbl\wrapdefault\aspalpha\aspnum\faauto\adjustright\rin0\lin0 \rtlch\fcs1 \af0\afs20\alang1025 \ltrch\fcs0 \fs24\lang2057\langfe2057\cgrid\langnp2057\langfenp2057 {\rtlch\fcs1 \af0 \ltrch\fcs0 \insrsid14767474\charrsid15879488 _x000d__x000a_\trowd \ltrrow\ts11\trqc\trgaph340\trleft-340\trftsWidth3\trwWidth9752\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4767474\charrsid15879488 [ZTEXTL]\cell [ZTEXTR]}{\rtlch\fcs1 \af0\afs24 \ltrch\fcs0 \insrsid14767474\charrsid15879488 \cell }\pard\plain \ltrpar\ql \li0\ri0\widctlpar\intbl\wrapdefault\aspalpha\aspnum\faauto\adjustright\rin0\lin0 \rtlch\fcs1 _x000d__x000a_\af0\afs20\alang1025 \ltrch\fcs0 \fs24\lang2057\langfe2057\cgrid\langnp2057\langfenp2057 {\rtlch\fcs1 \af0 \ltrch\fcs0 \insrsid14767474\charrsid15879488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5956237 \rtlch\fcs1 \af0\afs20\alang1025 \ltrch\fcs0 \i\fs24\lang2057\langfe2057\cgrid\langnp2057\langfenp2057 {\rtlch\fcs1 \af0 \ltrch\fcs0 _x000d__x000a_\cs17\i0\v\fs20\cf9\lang1024\langfe1024\loch\af1\hich\af1\dbch\af31501\noproof\insrsid14767474\charrsid15879488 \hich\af1\dbch\af31501\loch\f1 &lt;OptDel&gt;}{\rtlch\fcs1 \af0 \ltrch\fcs0 \insrsid14767474\charrsid15879488 [ZCROSSREF]}{\rtlch\fcs1 \af0 _x000d__x000a_\ltrch\fcs0 \cs17\i0\v\fs20\cf9\lang1024\langfe1024\loch\af1\hich\af1\dbch\af31501\noproof\insrsid14767474\charrsid15879488 \hich\af1\dbch\af31501\loch\f1 &lt;/OptDel&gt;}{\rtlch\fcs1 \af0 \ltrch\fcs0 \insrsid14767474\charrsid15879488 _x000d__x000a_\par }\pard\plain \ltrpar\s22\qc \li0\ri0\sb240\sa240\keepn\nowidctlpar\wrapdefault\aspalpha\aspnum\faauto\adjustright\rin0\lin0\itap0\pararsid15956237 \rtlch\fcs1 \af0\afs20\alang1025 \ltrch\fcs0 \i\fs24\lang2057\langfe2057\cgrid\langnp2057\langfenp2057 {_x000d__x000a_\rtlch\fcs1 \af0 \ltrch\fcs0 \cs17\i0\v\fs20\cf9\lang1024\langfe1024\loch\af1\hich\af1\dbch\af31501\noproof\insrsid14767474\charrsid15879488 \hich\af1\dbch\af31501\loch\f1 &lt;TitreJust&gt;}{\rtlch\fcs1 \af0 \ltrch\fcs0 \insrsid14767474\charrsid15879488 _x000d__x000a_[ZJUSTIFICATION]}{\rtlch\fcs1 \af0 \ltrch\fcs0 \cs17\i0\v\fs20\cf9\lang1024\langfe1024\loch\af1\hich\af1\dbch\af31501\noproof\insrsid14767474\charrsid15879488 \hich\af1\dbch\af31501\loch\f1 &lt;/TitreJust&gt;}{\rtlch\fcs1 \af0 \ltrch\fcs0 _x000d__x000a_\insrsid14767474\charrsid15879488 _x000d__x000a_\par }\pard\plain \ltrpar\s20\ql \li0\ri0\sa240\nowidctlpar\wrapdefault\aspalpha\aspnum\faauto\adjustright\rin0\lin0\itap0\pararsid15956237 \rtlch\fcs1 \af0\afs20\alang1025 \ltrch\fcs0 \i\fs24\lang2057\langfe2057\cgrid\langnp2057\langfenp2057 {\rtlch\fcs1 _x000d__x000a_\af0 \ltrch\fcs0 \cs17\i0\v\fs20\cf9\lang1024\langfe1024\loch\af1\hich\af1\dbch\af31501\noproof\insrsid14767474\charrsid15879488 \hich\af1\dbch\af31501\loch\f1 &lt;OptDelPrev&gt;}{\rtlch\fcs1 \af0 \ltrch\fcs0 \insrsid14767474\charrsid15879488 [ZTEXTJUST]}{_x000d__x000a_\rtlch\fcs1 \af0 \ltrch\fcs0 \cs17\i0\v\fs20\cf9\lang1024\langfe1024\loch\af1\hich\af1\dbch\af31501\noproof\insrsid14767474\charrsid15879488 \hich\af1\dbch\af31501\loch\f1 &lt;/OptDelPrev&gt;}{\rtlch\fcs1 \af0 \ltrch\fcs0 \insrsid14767474\charrsid15879488 _x000d__x000a__x000d__x000a_\par }\pard\plain \ltrpar\ql \li0\ri0\widctlpar\wrapdefault\aspalpha\aspnum\faauto\adjustright\rin0\lin0\itap0\pararsid15956237 \rtlch\fcs1 \af0\afs20\alang1025 \ltrch\fcs0 \fs24\lang2057\langfe2057\cgrid\langnp2057\langfenp2057 {\rtlch\fcs1 \af0 \ltrch\fcs0 _x000d__x000a_\cs17\v\fs20\cf9\lang1024\langfe1024\loch\af1\hich\af1\dbch\af31501\noproof\insrsid14767474\charrsid15879488 \hich\af1\dbch\af31501\loch\f1 &lt;/AmendB&gt;}{\rtlch\fcs1 \af0 \ltrch\fcs0 \insrsid1476747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f_x000d__x000a_39a036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559287 HideTWBExt;}{_x000d__x000a_\s18\ql \li0\ri0\sa120\nowidctlpar\wrapdefault\aspalpha\aspnum\faauto\adjustright\rin0\lin0\itap0 \rtlch\fcs1 \af0\afs20\alang1025 \ltrch\fcs0 \fs24\lang2057\langfe2057\cgrid\langnp2057\langfenp2057 \sbasedon0 \snext18 \spriority0 \styrsid3559287 _x000d__x000a_Normal6a;}{\s19\ql \li0\ri0\nowidctlpar\wrapdefault\aspalpha\aspnum\faauto\adjustright\rin0\lin0\itap0 \rtlch\fcs1 \af0\afs20\alang1025 \ltrch\fcs0 \b\fs24\lang2057\langfe2057\cgrid\langnp2057\langfenp2057 \sbasedon0 \snext19 \spriority0 \styrsid3559287 _x000d__x000a_NormalBold;}{\s20\ql \li0\ri0\sa240\nowidctlpar\wrapdefault\aspalpha\aspnum\faauto\adjustright\rin0\lin0\itap0 \rtlch\fcs1 \af0\afs20\alang1025 \ltrch\fcs0 \i\fs24\lang2057\langfe2057\cgrid\langnp2057\langfenp2057 _x000d__x000a_\sbasedon0 \snext20 \spriority0 \styrsid3559287 AmJustText;}{\s21\qc \li0\ri0\sb240\sa240\nowidctlpar\wrapdefault\aspalpha\aspnum\faauto\adjustright\rin0\lin0\itap0 \rtlch\fcs1 \af0\afs20\alang1025 \ltrch\fcs0 _x000d__x000a_\i\fs24\lang2057\langfe2057\cgrid\langnp2057\langfenp2057 \sbasedon0 \snext21 \spriority0 \styrsid3559287 AmCrossRef;}{\s22\qc \li0\ri0\sb240\sa240\keepn\nowidctlpar\wrapdefault\aspalpha\aspnum\faauto\adjustright\rin0\lin0\itap0 \rtlch\fcs1 _x000d__x000a_\af0\afs20\alang1025 \ltrch\fcs0 \i\fs24\lang2057\langfe2057\cgrid\langnp2057\langfenp2057 \sbasedon0 \snext20 \spriority0 \styrsid3559287 AmJustTitle;}{\s23\qc \li0\ri0\sa240\nowidctlpar\wrapdefault\aspalpha\aspnum\faauto\adjustright\rin0\lin0\itap0 _x000d__x000a_\rtlch\fcs1 \af0\afs20\alang1025 \ltrch\fcs0 \i\fs24\lang2057\langfe2057\cgrid\langnp2057\langfenp2057 \sbasedon0 \snext23 \spriority0 \styrsid3559287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3559287 AmNumberTabs;}{\s25\ql \li0\ri0\sb240\nowidctlpar\wrapdefault\aspalpha\aspnum\faauto\adjustright\rin0\lin0\itap0 \rtlch\fcs1 _x000d__x000a_\af0\afs20\alang1025 \ltrch\fcs0 \b\fs24\lang2057\langfe2057\cgrid\langnp2057\langfenp2057 \sbasedon0 \snext25 \spriority0 \styrsid3559287 NormalBold12b;}}{\*\rsidtbl \rsid24658\rsid223860\rsid735077\rsid1718133\rsid2892074\rsid3559287\rsid3565327_x000d__x000a_\rsid4666813\rsid6641733\rsid7823322\rsid9636012\rsid10377208\rsid11215221\rsid11549030\rsid12154954\rsid12529135\rsid14382809\rsid14424199\rsid15204470\rsid15285974\rsid15950462\rsid16324206\rsid16662270}{\mmathPr\mmathFont34\mbrkBin0\mbrkBinSub0_x000d__x000a_\msmallFrac0\mdispDef1\mlMargin0\mrMargin0\mdefJc1\mwrapIndent1440\mintLim0\mnaryLim1}{\info{\author MONKUNIENE Neringa}{\operator MONKUNIENE Neringa}{\creatim\yr2020\mo4\dy28\hr10\min25}{\revtim\yr2020\mo4\dy28\hr10\min25}{\version1}{\edmins0}_x000d__x000a_{\nofpages1}{\nofwords55}{\nofchars317}{\nofcharsws371}{\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559287\newtblstyruls\nogrowautofit\usenormstyforlist\noindnmbrts\felnbrelev\nocxsptable\indrlsweleven\noafcnsttbl\afelev\utinl\hwelev\spltpgpar\notcvasp\notbrkcnstfrctbl\notvatxbx\krnprsnet\cachedcolbal _x000d__x000a_\nouicompat \fet0{\*\wgrffmtfilter 013f}\nofeaturethrottle1\ilfomacatclnup0{\*\template D:\\USERS\\NMONKU~1\\AppData\\Local\\Temp\\Blank1.dotx}{\*\ftnsep \ltrpar \pard\plain \ltrpar_x000d__x000a_\ql \li0\ri0\widctlpar\wrapdefault\aspalpha\aspnum\faauto\adjustright\rin0\lin0\itap0 \rtlch\fcs1 \af0\afs20\alang1025 \ltrch\fcs0 \fs24\lang2057\langfe2057\cgrid\langnp2057\langfenp2057 {\rtlch\fcs1 \af0 \ltrch\fcs0 \insrsid12529135 \chftnsep _x000d__x000a_\par }}{\*\ftnsepc \ltrpar \pard\plain \ltrpar\ql \li0\ri0\widctlpar\wrapdefault\aspalpha\aspnum\faauto\adjustright\rin0\lin0\itap0 \rtlch\fcs1 \af0\afs20\alang1025 \ltrch\fcs0 \fs24\lang2057\langfe2057\cgrid\langnp2057\langfenp2057 {\rtlch\fcs1 \af0 _x000d__x000a_\ltrch\fcs0 \insrsid12529135 \chftnsepc _x000d__x000a_\par }}{\*\aftnsep \ltrpar \pard\plain \ltrpar\ql \li0\ri0\widctlpar\wrapdefault\aspalpha\aspnum\faauto\adjustright\rin0\lin0\itap0 \rtlch\fcs1 \af0\afs20\alang1025 \ltrch\fcs0 \fs24\lang2057\langfe2057\cgrid\langnp2057\langfenp2057 {\rtlch\fcs1 \af0 _x000d__x000a_\ltrch\fcs0 \insrsid12529135 \chftnsep _x000d__x000a_\par }}{\*\aftnsepc \ltrpar \pard\plain \ltrpar\ql \li0\ri0\widctlpar\wrapdefault\aspalpha\aspnum\faauto\adjustright\rin0\lin0\itap0 \rtlch\fcs1 \af0\afs20\alang1025 \ltrch\fcs0 \fs24\lang2057\langfe2057\cgrid\langnp2057\langfenp2057 {\rtlch\fcs1 \af0 _x000d__x000a_\ltrch\fcs0 \insrsid1252913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5956237 \rtlch\fcs1 _x000d__x000a_\af0\afs20\alang1025 \ltrch\fcs0 \b\fs24\lang2057\langfe2057\cgrid\langnp2057\langfenp2057 {\rtlch\fcs1 \af0 \ltrch\fcs0 \cs17\b0\v\fs20\cf9\lang1024\langfe1024\loch\af1\hich\af1\dbch\af31501\noproof\insrsid3559287\charrsid15879488 {\*\bkmkstart restartB}_x000d__x000a_\hich\af1\dbch\af31501\loch\f1 &lt;AmendB&gt;}{\rtlch\fcs1 \af0 \ltrch\fcs0 \insrsid3559287\charrsid15879488 [ZAMENDMENT]\tab \tab }{\rtlch\fcs1 \af0 \ltrch\fcs0 _x000d__x000a_\cs17\b0\v\fs20\cf9\lang1024\langfe1024\loch\af1\hich\af1\dbch\af31501\noproof\insrsid3559287\charrsid15879488 \hich\af1\dbch\af31501\loch\f1 &lt;NumAmB&gt;}{\rtlch\fcs1 \af0 \ltrch\fcs0 \insrsid3559287\charrsid15879488 [ZNRAM]}{\rtlch\fcs1 \af0 \ltrch\fcs0 _x000d__x000a_\cs17\b0\v\fs20\cf9\lang1024\langfe1024\loch\af1\hich\af1\dbch\af31501\noproof\insrsid3559287\charrsid15879488 \hich\af1\dbch\af31501\loch\f1 &lt;/NumAmB&gt;}{\rtlch\fcs1 \af0 \ltrch\fcs0 \insrsid3559287\charrsid15879488 _x000d__x000a_\par }\pard\plain \ltrpar\s25\ql \li0\ri0\sb240\keepn\nowidctlpar\wrapdefault\aspalpha\aspnum\faauto\adjustright\rin0\lin0\itap0\pararsid15956237 \rtlch\fcs1 \af0\afs20\alang1025 \ltrch\fcs0 \b\fs24\lang2057\langfe2057\cgrid\langnp2057\langfenp2057 {_x000d__x000a_\rtlch\fcs1 \af0 \ltrch\fcs0 \cs17\b0\v\fs20\cf9\lang1024\langfe1024\loch\af1\hich\af1\dbch\af31501\noproof\insrsid3559287\charrsid15879488 \hich\af1\dbch\af31501\loch\f1 &lt;DocAmend&gt;}{\rtlch\fcs1 \af0 \ltrch\fcs0 \insrsid3559287\charrsid15879488 _x000d__x000a_[ZPROPOSAL][ZAMACT]}{\rtlch\fcs1 \af0 \ltrch\fcs0 \cs17\b0\v\fs20\cf9\lang1024\langfe1024\loch\af1\hich\af1\dbch\af31501\noproof\insrsid3559287\charrsid15879488 \hich\af1\dbch\af31501\loch\f1 &lt;/DocAmend&gt;}{\rtlch\fcs1 \af0 \ltrch\fcs0 _x000d__x000a_\insrsid3559287\charrsid15879488 _x000d__x000a_\par }\pard\plain \ltrpar\s19\ql \li0\ri0\keepn\nowidctlpar\wrapdefault\aspalpha\aspnum\faauto\adjustright\rin0\lin0\itap0\pararsid15956237 \rtlch\fcs1 \af0\afs20\alang1025 \ltrch\fcs0 \b\fs24\lang2057\langfe2057\cgrid\langnp2057\langfenp2057 {\rtlch\fcs1 _x000d__x000a_\af0 \ltrch\fcs0 \cs17\b0\v\fs20\cf9\lang1024\langfe1024\loch\af1\hich\af1\dbch\af31501\noproof\insrsid3559287\charrsid15879488 \hich\af1\dbch\af31501\loch\f1 &lt;Article&gt;}{\rtlch\fcs1 \af0 \ltrch\fcs0 \insrsid3559287\charrsid15879488 [ZAMPART]}{\rtlch\fcs1 _x000d__x000a_\af0 \ltrch\fcs0 \cs17\b0\v\fs20\cf9\lang1024\langfe1024\loch\af1\hich\af1\dbch\af31501\noproof\insrsid3559287\charrsid15879488 \hich\af1\dbch\af31501\loch\f1 &lt;/Article&gt;}{\rtlch\fcs1 \af0 \ltrch\fcs0 \insrsid3559287\charrsid15879488 _x000d__x000a_\par }\pard\plain \ltrpar\ql \li0\ri0\keepn\widctlpar\wrapdefault\aspalpha\aspnum\faauto\adjustright\rin0\lin0\itap0\pararsid15956237 \rtlch\fcs1 \af0\afs20\alang1025 \ltrch\fcs0 \fs24\lang2057\langfe2057\cgrid\langnp2057\langfenp2057 {\rtlch\fcs1 \af0 _x000d__x000a_\ltrch\fcs0 \cs17\v\fs20\cf9\lang1024\langfe1024\loch\af1\hich\af1\dbch\af31501\noproof\insrsid3559287\charrsid15879488 \hich\af1\dbch\af31501\loch\f1 &lt;DocAmend2&gt;&lt;OptDel&gt;}{\rtlch\fcs1 \af0 \ltrch\fcs0 \insrsid3559287\charrsid15879488 [ZNRACT]}{_x000d__x000a_\rtlch\fcs1 \af0 \ltrch\fcs0 \cs17\v\fs20\cf9\lang1024\langfe1024\loch\af1\hich\af1\dbch\af31501\noproof\insrsid3559287\charrsid15879488 \hich\af1\dbch\af31501\loch\f1 &lt;/OptDel&gt;&lt;/DocAmend2&gt;}{\rtlch\fcs1 \af0 \ltrch\fcs0 \insrsid3559287\charrsid15879488 _x000d__x000a__x000d__x000a_\par }\pard \ltrpar\ql \li0\ri0\widctlpar\wrapdefault\aspalpha\aspnum\faauto\adjustright\rin0\lin0\itap0\pararsid15956237 {\rtlch\fcs1 \af0 \ltrch\fcs0 _x000d__x000a_\cs17\v\fs20\cf9\lang1024\langfe1024\loch\af1\hich\af1\dbch\af31501\noproof\langnp1036\insrsid3559287\charrsid11356624 \hich\af1\dbch\af31501\loch\f1 &lt;Article2&gt;&lt;OptDel&gt;}{\rtlch\fcs1 \af0 \ltrch\fcs0 _x000d__x000a_\lang1036\langfe2057\langnp1036\insrsid3559287\charrsid11356624 [ZACTPART]}{\rtlch\fcs1 \af0 \ltrch\fcs0 \cs17\v\fs20\cf9\lang1024\langfe1024\loch\af1\hich\af1\dbch\af31501\noproof\langnp1036\insrsid3559287\charrsid11356624 \hich\af1\dbch\af31501\loch\f1 _x000d__x000a_&lt;/OptDel&gt;&lt;/Article2&gt;}{\rtlch\fcs1 \af0 \ltrch\fcs0 \lang1036\langfe2057\langnp1036\insrsid3559287\charrsid11356624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 \ltrpar\ql \li0\ri0\keepn\widctlpar\intbl\wrapdefault\aspalpha\aspnum\faauto\adjustright\rin0\lin0\pararsid14374628 {\rtlch\fcs1 \af0 \ltrch\fcs0 _x000d__x000a_\lang1036\langfe2057\langnp1036\insrsid3559287\charrsid11356624 \cell }\pard \ltrpar\ql \li0\ri0\widctlpar\intbl\wrapdefault\aspalpha\aspnum\faauto\adjustright\rin0\lin0 {\rtlch\fcs1 \af0 \ltrch\fcs0 \insrsid3559287\charrsid11356624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3559287\charrsid15879488 [ZLEFTB]\cell [ZRIGHT]\cell }\pard\plain \ltrpar\ql \li0\ri0\widctlpar\intbl\wrapdefault\aspalpha\aspnum\faauto\adjustright\rin0\lin0 _x000d__x000a_\rtlch\fcs1 \af0\afs20\alang1025 \ltrch\fcs0 \fs24\lang2057\langfe2057\cgrid\langnp2057\langfenp2057 {\rtlch\fcs1 \af0 \ltrch\fcs0 \insrsid3559287\charrsid15879488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3559287\charrsid15879488 [ZTEXTL]\cell [ZTEXTR]}{\rtlch\fcs1 \af0\afs24 \ltrch\fcs0 \insrsid3559287\charrsid15879488 \cell }\pard\plain \ltrpar\ql \li0\ri0\widctlpar\intbl\wrapdefault\aspalpha\aspnum\faauto\adjustright\rin0\lin0 \rtlch\fcs1 _x000d__x000a_\af0\afs20\alang1025 \ltrch\fcs0 \fs24\lang2057\langfe2057\cgrid\langnp2057\langfenp2057 {\rtlch\fcs1 \af0 \ltrch\fcs0 \insrsid3559287\charrsid15879488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5956237 \rtlch\fcs1 \af0\afs20\alang1025 \ltrch\fcs0 \i\fs24\lang2057\langfe2057\cgrid\langnp2057\langfenp2057 {\rtlch\fcs1 \af0 \ltrch\fcs0 _x000d__x000a_\cs17\i0\v\fs20\cf9\lang1024\langfe1024\loch\af1\hich\af1\dbch\af31501\noproof\insrsid3559287\charrsid15879488 \hich\af1\dbch\af31501\loch\f1 &lt;OptDel&gt;}{\rtlch\fcs1 \af0 \ltrch\fcs0 \insrsid3559287\charrsid15879488 [ZCROSSREF]}{\rtlch\fcs1 \af0 _x000d__x000a_\ltrch\fcs0 \cs17\i0\v\fs20\cf9\lang1024\langfe1024\loch\af1\hich\af1\dbch\af31501\noproof\insrsid3559287\charrsid15879488 \hich\af1\dbch\af31501\loch\f1 &lt;/OptDel&gt;}{\rtlch\fcs1 \af0 \ltrch\fcs0 \insrsid3559287\charrsid15879488 _x000d__x000a_\par }\pard\plain \ltrpar\s22\qc \li0\ri0\sb240\sa240\keepn\nowidctlpar\wrapdefault\aspalpha\aspnum\faauto\adjustright\rin0\lin0\itap0\pararsid15956237 \rtlch\fcs1 \af0\afs20\alang1025 \ltrch\fcs0 \i\fs24\lang2057\langfe2057\cgrid\langnp2057\langfenp2057 {_x000d__x000a_\rtlch\fcs1 \af0 \ltrch\fcs0 \cs17\i0\v\fs20\cf9\lang1024\langfe1024\loch\af1\hich\af1\dbch\af31501\noproof\insrsid3559287\charrsid15879488 \hich\af1\dbch\af31501\loch\f1 &lt;TitreJust&gt;}{\rtlch\fcs1 \af0 \ltrch\fcs0 \insrsid3559287\charrsid15879488 _x000d__x000a_[ZJUSTIFICATION]}{\rtlch\fcs1 \af0 \ltrch\fcs0 \cs17\i0\v\fs20\cf9\lang1024\langfe1024\loch\af1\hich\af1\dbch\af31501\noproof\insrsid3559287\charrsid15879488 \hich\af1\dbch\af31501\loch\f1 &lt;/TitreJust&gt;}{\rtlch\fcs1 \af0 \ltrch\fcs0 _x000d__x000a_\insrsid3559287\charrsid15879488 _x000d__x000a_\par }\pard\plain \ltrpar\s20\ql \li0\ri0\sa240\nowidctlpar\wrapdefault\aspalpha\aspnum\faauto\adjustright\rin0\lin0\itap0\pararsid15956237 \rtlch\fcs1 \af0\afs20\alang1025 \ltrch\fcs0 \i\fs24\lang2057\langfe2057\cgrid\langnp2057\langfenp2057 {\rtlch\fcs1 _x000d__x000a_\af0 \ltrch\fcs0 \cs17\i0\v\fs20\cf9\lang1024\langfe1024\loch\af1\hich\af1\dbch\af31501\noproof\insrsid3559287\charrsid15879488 \hich\af1\dbch\af31501\loch\f1 &lt;OptDelPrev&gt;}{\rtlch\fcs1 \af0 \ltrch\fcs0 \insrsid3559287\charrsid15879488 [ZTEXTJUST]}{_x000d__x000a_\rtlch\fcs1 \af0 \ltrch\fcs0 \cs17\i0\v\fs20\cf9\lang1024\langfe1024\loch\af1\hich\af1\dbch\af31501\noproof\insrsid3559287\charrsid15879488 \hich\af1\dbch\af31501\loch\f1 &lt;/OptDelPrev&gt;}{\rtlch\fcs1 \af0 \ltrch\fcs0 \insrsid3559287\charrsid15879488 _x000d__x000a_\par }\pard\plain \ltrpar\ql \li0\ri0\widctlpar\wrapdefault\aspalpha\aspnum\faauto\adjustright\rin0\lin0\itap0\pararsid15956237 \rtlch\fcs1 \af0\afs20\alang1025 \ltrch\fcs0 \fs24\lang2057\langfe2057\cgrid\langnp2057\langfenp2057 {\rtlch\fcs1 \af0 \ltrch\fcs0 _x000d__x000a_\cs17\v\fs20\cf9\lang1024\langfe1024\loch\af1\hich\af1\dbch\af31501\noproof\insrsid3559287\charrsid15879488 \hich\af1\dbch\af31501\loch\f1 &lt;/AmendB&gt;}{\rtlch\fcs1 \af0 \ltrch\fcs0 \insrsid355928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7_x000d__x000a_879d36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3"/>
    <w:docVar w:name="TITLECODMNU" w:val=" 1"/>
    <w:docVar w:name="TVTAMPART" w:val="a"/>
    <w:docVar w:name="TXTLANGUE" w:val="LT"/>
    <w:docVar w:name="TXTLANGUEMIN" w:val="lt"/>
    <w:docVar w:name="TXTNRC" w:val="0162/2019"/>
    <w:docVar w:name="TXTNRCOM" w:val="(2019)0581"/>
    <w:docVar w:name="TXTNRFIRSTAM" w:val="1"/>
    <w:docVar w:name="TXTNRLASTAM" w:val="13"/>
    <w:docVar w:name="TXTNRPE" w:val="646.963"/>
    <w:docVar w:name="TXTNRPROC" w:val="2019/0254"/>
    <w:docVar w:name="TXTPEorAP" w:val="PE"/>
    <w:docVar w:name="TXTROUTE" w:val="AD\1203904LT.docx"/>
    <w:docVar w:name="TXTVERSION" w:val="04-00"/>
  </w:docVars>
  <w:rsids>
    <w:rsidRoot w:val="00C9729B"/>
    <w:rsid w:val="00026559"/>
    <w:rsid w:val="00027FA8"/>
    <w:rsid w:val="00033BC8"/>
    <w:rsid w:val="0004474F"/>
    <w:rsid w:val="00082EC4"/>
    <w:rsid w:val="000D44A6"/>
    <w:rsid w:val="000F53A3"/>
    <w:rsid w:val="00101A66"/>
    <w:rsid w:val="00122C05"/>
    <w:rsid w:val="00134974"/>
    <w:rsid w:val="001363BA"/>
    <w:rsid w:val="00140A4A"/>
    <w:rsid w:val="00141CD7"/>
    <w:rsid w:val="00147FBF"/>
    <w:rsid w:val="001616BD"/>
    <w:rsid w:val="001820A9"/>
    <w:rsid w:val="001A0556"/>
    <w:rsid w:val="001B0A1E"/>
    <w:rsid w:val="001B3D63"/>
    <w:rsid w:val="001C0886"/>
    <w:rsid w:val="001D5154"/>
    <w:rsid w:val="001E30DB"/>
    <w:rsid w:val="001E3AC4"/>
    <w:rsid w:val="0020077A"/>
    <w:rsid w:val="00207509"/>
    <w:rsid w:val="0022789D"/>
    <w:rsid w:val="0023131B"/>
    <w:rsid w:val="00236799"/>
    <w:rsid w:val="002A67EE"/>
    <w:rsid w:val="002A7DBC"/>
    <w:rsid w:val="002B1EA3"/>
    <w:rsid w:val="002B22E0"/>
    <w:rsid w:val="002B64B0"/>
    <w:rsid w:val="002D0241"/>
    <w:rsid w:val="00304EA8"/>
    <w:rsid w:val="003320F1"/>
    <w:rsid w:val="00341A99"/>
    <w:rsid w:val="00357CD3"/>
    <w:rsid w:val="00360FAA"/>
    <w:rsid w:val="0038294E"/>
    <w:rsid w:val="003858C5"/>
    <w:rsid w:val="003905BD"/>
    <w:rsid w:val="003A2F84"/>
    <w:rsid w:val="003B0C92"/>
    <w:rsid w:val="003C7390"/>
    <w:rsid w:val="003E1280"/>
    <w:rsid w:val="003F128E"/>
    <w:rsid w:val="0040055C"/>
    <w:rsid w:val="0041397A"/>
    <w:rsid w:val="004263B5"/>
    <w:rsid w:val="00487596"/>
    <w:rsid w:val="004B3A53"/>
    <w:rsid w:val="004C2A0D"/>
    <w:rsid w:val="004F1D2F"/>
    <w:rsid w:val="00502B76"/>
    <w:rsid w:val="00513F6F"/>
    <w:rsid w:val="00522B51"/>
    <w:rsid w:val="00524707"/>
    <w:rsid w:val="005539B7"/>
    <w:rsid w:val="00571233"/>
    <w:rsid w:val="00583D8D"/>
    <w:rsid w:val="00587FE8"/>
    <w:rsid w:val="005A413F"/>
    <w:rsid w:val="005C1D16"/>
    <w:rsid w:val="00613134"/>
    <w:rsid w:val="00626D52"/>
    <w:rsid w:val="00643DA8"/>
    <w:rsid w:val="00657D5C"/>
    <w:rsid w:val="00683DD1"/>
    <w:rsid w:val="00691B1C"/>
    <w:rsid w:val="006A0F0A"/>
    <w:rsid w:val="006A48AA"/>
    <w:rsid w:val="006B1267"/>
    <w:rsid w:val="006D1B53"/>
    <w:rsid w:val="006D292E"/>
    <w:rsid w:val="006D2C41"/>
    <w:rsid w:val="006D5E42"/>
    <w:rsid w:val="00712462"/>
    <w:rsid w:val="00716BAA"/>
    <w:rsid w:val="0078548A"/>
    <w:rsid w:val="00793FEE"/>
    <w:rsid w:val="007B7CE3"/>
    <w:rsid w:val="007F187F"/>
    <w:rsid w:val="00817D13"/>
    <w:rsid w:val="00820C7D"/>
    <w:rsid w:val="00833D11"/>
    <w:rsid w:val="00836FD3"/>
    <w:rsid w:val="008375A8"/>
    <w:rsid w:val="00872A52"/>
    <w:rsid w:val="00876A73"/>
    <w:rsid w:val="008824D6"/>
    <w:rsid w:val="0089388A"/>
    <w:rsid w:val="008F3DB0"/>
    <w:rsid w:val="00904864"/>
    <w:rsid w:val="009052FE"/>
    <w:rsid w:val="009215FC"/>
    <w:rsid w:val="00924555"/>
    <w:rsid w:val="009368B3"/>
    <w:rsid w:val="009747F8"/>
    <w:rsid w:val="00982B83"/>
    <w:rsid w:val="009857B4"/>
    <w:rsid w:val="009D4463"/>
    <w:rsid w:val="009E7319"/>
    <w:rsid w:val="00A701C3"/>
    <w:rsid w:val="00A71228"/>
    <w:rsid w:val="00A74E25"/>
    <w:rsid w:val="00AC2A60"/>
    <w:rsid w:val="00AD49D0"/>
    <w:rsid w:val="00AD7D7F"/>
    <w:rsid w:val="00AE42ED"/>
    <w:rsid w:val="00AE459E"/>
    <w:rsid w:val="00B00EE6"/>
    <w:rsid w:val="00B476DC"/>
    <w:rsid w:val="00B556CD"/>
    <w:rsid w:val="00B62D4B"/>
    <w:rsid w:val="00B735E3"/>
    <w:rsid w:val="00B904FA"/>
    <w:rsid w:val="00BD1F76"/>
    <w:rsid w:val="00BE20CF"/>
    <w:rsid w:val="00BE5522"/>
    <w:rsid w:val="00C22327"/>
    <w:rsid w:val="00C335C6"/>
    <w:rsid w:val="00C36610"/>
    <w:rsid w:val="00C4219C"/>
    <w:rsid w:val="00C52A28"/>
    <w:rsid w:val="00C709B7"/>
    <w:rsid w:val="00C75E98"/>
    <w:rsid w:val="00C81C5B"/>
    <w:rsid w:val="00C83B35"/>
    <w:rsid w:val="00C9729B"/>
    <w:rsid w:val="00CA25F3"/>
    <w:rsid w:val="00D107CE"/>
    <w:rsid w:val="00D25CF2"/>
    <w:rsid w:val="00D56CE0"/>
    <w:rsid w:val="00D6254D"/>
    <w:rsid w:val="00D67D0A"/>
    <w:rsid w:val="00D74FD1"/>
    <w:rsid w:val="00D943A5"/>
    <w:rsid w:val="00D9581F"/>
    <w:rsid w:val="00DB56E4"/>
    <w:rsid w:val="00E20753"/>
    <w:rsid w:val="00E21AA7"/>
    <w:rsid w:val="00E27F01"/>
    <w:rsid w:val="00E30DDC"/>
    <w:rsid w:val="00E53388"/>
    <w:rsid w:val="00E54BF8"/>
    <w:rsid w:val="00E60B4C"/>
    <w:rsid w:val="00E77FF5"/>
    <w:rsid w:val="00E94D64"/>
    <w:rsid w:val="00EA3802"/>
    <w:rsid w:val="00EC5BB1"/>
    <w:rsid w:val="00EF1432"/>
    <w:rsid w:val="00EF33D5"/>
    <w:rsid w:val="00F13416"/>
    <w:rsid w:val="00F15744"/>
    <w:rsid w:val="00F24D40"/>
    <w:rsid w:val="00F61A01"/>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D11E82-D135-443D-B976-9DB0799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link w:val="NormalBold12bChar"/>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Normal6Char">
    <w:name w:val="Normal6 Char"/>
    <w:basedOn w:val="DefaultParagraphFont"/>
    <w:link w:val="Normal6"/>
    <w:locked/>
    <w:rsid w:val="000F53A3"/>
    <w:rPr>
      <w:sz w:val="24"/>
      <w:lang w:val="lt-LT"/>
    </w:rPr>
  </w:style>
  <w:style w:type="paragraph" w:customStyle="1" w:styleId="Normal6">
    <w:name w:val="Normal6"/>
    <w:basedOn w:val="Normal"/>
    <w:link w:val="Normal6Char"/>
    <w:rsid w:val="000F53A3"/>
    <w:pPr>
      <w:spacing w:after="120"/>
    </w:pPr>
    <w:rPr>
      <w:szCs w:val="20"/>
    </w:rPr>
  </w:style>
  <w:style w:type="character" w:customStyle="1" w:styleId="NormalBoldChar">
    <w:name w:val="NormalBold Char"/>
    <w:basedOn w:val="DefaultParagraphFont"/>
    <w:link w:val="NormalBold"/>
    <w:locked/>
    <w:rsid w:val="000F53A3"/>
    <w:rPr>
      <w:b/>
      <w:sz w:val="24"/>
    </w:rPr>
  </w:style>
  <w:style w:type="paragraph" w:customStyle="1" w:styleId="ColumnHeading">
    <w:name w:val="ColumnHeading"/>
    <w:basedOn w:val="Normal"/>
    <w:rsid w:val="000F53A3"/>
    <w:pPr>
      <w:spacing w:after="240"/>
      <w:jc w:val="center"/>
    </w:pPr>
    <w:rPr>
      <w:i/>
      <w:szCs w:val="20"/>
    </w:rPr>
  </w:style>
  <w:style w:type="paragraph" w:customStyle="1" w:styleId="AMNumberTabs0">
    <w:name w:val="AMNumberTabs"/>
    <w:basedOn w:val="Normal"/>
    <w:rsid w:val="000F53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CrossRef">
    <w:name w:val="CrossRef"/>
    <w:basedOn w:val="Normal"/>
    <w:rsid w:val="000F53A3"/>
    <w:pPr>
      <w:spacing w:before="240"/>
      <w:jc w:val="center"/>
    </w:pPr>
    <w:rPr>
      <w:i/>
      <w:szCs w:val="20"/>
    </w:rPr>
  </w:style>
  <w:style w:type="paragraph" w:customStyle="1" w:styleId="Olang">
    <w:name w:val="Olang"/>
    <w:rsid w:val="000F53A3"/>
    <w:pPr>
      <w:jc w:val="right"/>
    </w:pPr>
  </w:style>
  <w:style w:type="paragraph" w:styleId="Footer">
    <w:name w:val="footer"/>
    <w:basedOn w:val="Normal"/>
    <w:link w:val="FooterChar"/>
    <w:rsid w:val="000F53A3"/>
    <w:pPr>
      <w:tabs>
        <w:tab w:val="center" w:pos="4513"/>
        <w:tab w:val="right" w:pos="9026"/>
      </w:tabs>
    </w:pPr>
  </w:style>
  <w:style w:type="character" w:customStyle="1" w:styleId="FooterChar">
    <w:name w:val="Footer Char"/>
    <w:basedOn w:val="DefaultParagraphFont"/>
    <w:link w:val="Footer"/>
    <w:rsid w:val="000F53A3"/>
    <w:rPr>
      <w:sz w:val="24"/>
      <w:szCs w:val="24"/>
    </w:rPr>
  </w:style>
  <w:style w:type="paragraph" w:styleId="BalloonText">
    <w:name w:val="Balloon Text"/>
    <w:basedOn w:val="Normal"/>
    <w:link w:val="BalloonTextChar"/>
    <w:rsid w:val="001B3D63"/>
    <w:rPr>
      <w:rFonts w:ascii="Segoe UI" w:hAnsi="Segoe UI" w:cs="Segoe UI"/>
      <w:sz w:val="18"/>
      <w:szCs w:val="18"/>
    </w:rPr>
  </w:style>
  <w:style w:type="character" w:customStyle="1" w:styleId="BalloonTextChar">
    <w:name w:val="Balloon Text Char"/>
    <w:basedOn w:val="DefaultParagraphFont"/>
    <w:link w:val="BalloonText"/>
    <w:rsid w:val="001B3D63"/>
    <w:rPr>
      <w:rFonts w:ascii="Segoe UI" w:hAnsi="Segoe UI" w:cs="Segoe UI"/>
      <w:sz w:val="18"/>
      <w:szCs w:val="18"/>
    </w:rPr>
  </w:style>
  <w:style w:type="character" w:styleId="CommentReference">
    <w:name w:val="annotation reference"/>
    <w:basedOn w:val="DefaultParagraphFont"/>
    <w:rsid w:val="00EC5BB1"/>
    <w:rPr>
      <w:sz w:val="16"/>
      <w:szCs w:val="16"/>
    </w:rPr>
  </w:style>
  <w:style w:type="paragraph" w:styleId="CommentText">
    <w:name w:val="annotation text"/>
    <w:basedOn w:val="Normal"/>
    <w:link w:val="CommentTextChar"/>
    <w:rsid w:val="00EC5BB1"/>
    <w:rPr>
      <w:sz w:val="20"/>
      <w:szCs w:val="20"/>
    </w:rPr>
  </w:style>
  <w:style w:type="character" w:customStyle="1" w:styleId="CommentTextChar">
    <w:name w:val="Comment Text Char"/>
    <w:basedOn w:val="DefaultParagraphFont"/>
    <w:link w:val="CommentText"/>
    <w:rsid w:val="00EC5BB1"/>
  </w:style>
  <w:style w:type="paragraph" w:styleId="CommentSubject">
    <w:name w:val="annotation subject"/>
    <w:basedOn w:val="CommentText"/>
    <w:next w:val="CommentText"/>
    <w:link w:val="CommentSubjectChar"/>
    <w:uiPriority w:val="99"/>
    <w:rsid w:val="00EC5BB1"/>
    <w:rPr>
      <w:b/>
      <w:bCs/>
    </w:rPr>
  </w:style>
  <w:style w:type="character" w:customStyle="1" w:styleId="CommentSubjectChar">
    <w:name w:val="Comment Subject Char"/>
    <w:basedOn w:val="CommentTextChar"/>
    <w:link w:val="CommentSubject"/>
    <w:uiPriority w:val="99"/>
    <w:rsid w:val="00EC5BB1"/>
    <w:rPr>
      <w:b/>
      <w:bCs/>
    </w:rPr>
  </w:style>
  <w:style w:type="paragraph" w:styleId="Revision">
    <w:name w:val="Revision"/>
    <w:hidden/>
    <w:uiPriority w:val="99"/>
    <w:semiHidden/>
    <w:rsid w:val="00EC5BB1"/>
    <w:rPr>
      <w:sz w:val="24"/>
      <w:szCs w:val="24"/>
    </w:rPr>
  </w:style>
  <w:style w:type="character" w:customStyle="1" w:styleId="NormalBold12bChar">
    <w:name w:val="NormalBold12b Char"/>
    <w:basedOn w:val="DefaultParagraphFont"/>
    <w:link w:val="NormalBold12b"/>
    <w:locked/>
    <w:rsid w:val="001363BA"/>
    <w:rPr>
      <w:b/>
      <w:sz w:val="24"/>
    </w:rPr>
  </w:style>
  <w:style w:type="paragraph" w:customStyle="1" w:styleId="Normal12Italic">
    <w:name w:val="Normal12Italic"/>
    <w:basedOn w:val="Normal"/>
    <w:rsid w:val="001363BA"/>
    <w:pPr>
      <w:spacing w:after="240"/>
    </w:pPr>
    <w:rPr>
      <w:i/>
      <w:noProof/>
      <w:szCs w:val="20"/>
    </w:rPr>
  </w:style>
  <w:style w:type="paragraph" w:customStyle="1" w:styleId="JustificationTitle">
    <w:name w:val="JustificationTitle"/>
    <w:basedOn w:val="Normal"/>
    <w:next w:val="Normal"/>
    <w:rsid w:val="001363BA"/>
    <w:pPr>
      <w:keepNext/>
      <w:spacing w:before="240" w:after="240"/>
      <w:jc w:val="center"/>
    </w:pPr>
    <w:rPr>
      <w:i/>
      <w:noProof/>
      <w:szCs w:val="20"/>
    </w:rPr>
  </w:style>
  <w:style w:type="paragraph" w:customStyle="1" w:styleId="Default">
    <w:name w:val="Default"/>
    <w:rsid w:val="001363BA"/>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uiPriority w:val="99"/>
    <w:unhideWhenUsed/>
    <w:rsid w:val="001363BA"/>
    <w:pPr>
      <w:widowControl/>
      <w:jc w:val="both"/>
    </w:pPr>
    <w:rPr>
      <w:rFonts w:eastAsiaTheme="minorHAnsi"/>
      <w:sz w:val="20"/>
      <w:szCs w:val="20"/>
      <w:lang w:eastAsia="en-US"/>
    </w:rPr>
  </w:style>
  <w:style w:type="character" w:customStyle="1" w:styleId="FootnoteTextChar">
    <w:name w:val="Footnote Text Char"/>
    <w:basedOn w:val="DefaultParagraphFont"/>
    <w:link w:val="FootnoteText"/>
    <w:uiPriority w:val="99"/>
    <w:rsid w:val="001363BA"/>
    <w:rPr>
      <w:rFonts w:eastAsiaTheme="minorHAnsi"/>
      <w:lang w:val="lt-LT" w:eastAsia="en-US"/>
    </w:rPr>
  </w:style>
  <w:style w:type="character" w:styleId="FootnoteReference">
    <w:name w:val="footnote reference"/>
    <w:basedOn w:val="DefaultParagraphFont"/>
    <w:uiPriority w:val="99"/>
    <w:unhideWhenUsed/>
    <w:rsid w:val="001363BA"/>
    <w:rPr>
      <w:vertAlign w:val="superscript"/>
    </w:rPr>
  </w:style>
  <w:style w:type="paragraph" w:customStyle="1" w:styleId="RollCallSymbols14pt">
    <w:name w:val="RollCallSymbols14pt"/>
    <w:basedOn w:val="Normal"/>
    <w:rsid w:val="001363BA"/>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1363BA"/>
    <w:pPr>
      <w:tabs>
        <w:tab w:val="center" w:pos="284"/>
        <w:tab w:val="left" w:pos="426"/>
      </w:tabs>
    </w:pPr>
    <w:rPr>
      <w:snapToGrid w:val="0"/>
      <w:szCs w:val="20"/>
      <w:lang w:eastAsia="en-US"/>
    </w:rPr>
  </w:style>
  <w:style w:type="paragraph" w:customStyle="1" w:styleId="RollCallVotes">
    <w:name w:val="RollCallVotes"/>
    <w:basedOn w:val="Normal"/>
    <w:rsid w:val="001363BA"/>
    <w:pPr>
      <w:spacing w:before="120" w:after="120"/>
      <w:jc w:val="center"/>
    </w:pPr>
    <w:rPr>
      <w:b/>
      <w:bCs/>
      <w:snapToGrid w:val="0"/>
      <w:sz w:val="16"/>
      <w:szCs w:val="20"/>
      <w:lang w:eastAsia="en-US"/>
    </w:rPr>
  </w:style>
  <w:style w:type="paragraph" w:customStyle="1" w:styleId="RollCallTable">
    <w:name w:val="RollCallTable"/>
    <w:basedOn w:val="Normal"/>
    <w:rsid w:val="001363BA"/>
    <w:pPr>
      <w:spacing w:before="120" w:after="120"/>
    </w:pPr>
    <w:rPr>
      <w:snapToGrid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BDC6-5161-4C7F-93F7-7672A2F4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7E4E71A.dotm</Template>
  <TotalTime>1</TotalTime>
  <Pages>54</Pages>
  <Words>13352</Words>
  <Characters>93492</Characters>
  <Application>Microsoft Office Word</Application>
  <DocSecurity>0</DocSecurity>
  <Lines>779</Lines>
  <Paragraphs>213</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106631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MANYIK Krisztina</dc:creator>
  <cp:lastModifiedBy>MIKUCIONIS Kazimieras</cp:lastModifiedBy>
  <cp:revision>2</cp:revision>
  <cp:lastPrinted>2020-01-31T10:53:00Z</cp:lastPrinted>
  <dcterms:created xsi:type="dcterms:W3CDTF">2020-05-11T16:00:00Z</dcterms:created>
  <dcterms:modified xsi:type="dcterms:W3CDTF">2020-05-11T16:00:00Z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1203904</vt:lpwstr>
  </property>
  <property fmtid="{D5CDD505-2E9C-101B-9397-08002B2CF9AE}" pid="4" name="&lt;Model&gt;">
    <vt:lpwstr>PA_Legam</vt:lpwstr>
  </property>
  <property fmtid="{D5CDD505-2E9C-101B-9397-08002B2CF9AE}" pid="5" name="&lt;ModelCod&gt;">
    <vt:lpwstr>\\eiciBRUpr1\pdocep$\DocEP\DOCS\General\PA\PA_Legam.dotx(15/10/2019 06:17:18)</vt:lpwstr>
  </property>
  <property fmtid="{D5CDD505-2E9C-101B-9397-08002B2CF9AE}" pid="6" name="&lt;ModelTra&gt;">
    <vt:lpwstr>\\eiciBRUpr1\pdocep$\DocEP\TRANSFIL\EN\PA_Legam.EN(03/09/2019 15:40:00)</vt:lpwstr>
  </property>
  <property fmtid="{D5CDD505-2E9C-101B-9397-08002B2CF9AE}" pid="7" name="&lt;Type&gt;">
    <vt:lpwstr>AD</vt:lpwstr>
  </property>
  <property fmtid="{D5CDD505-2E9C-101B-9397-08002B2CF9AE}" pid="8" name="Bookout">
    <vt:lpwstr>OK - 2020/05/11 17:59</vt:lpwstr>
  </property>
  <property fmtid="{D5CDD505-2E9C-101B-9397-08002B2CF9AE}" pid="9" name="Created with">
    <vt:lpwstr>9.8.0 Build [20191010]</vt:lpwstr>
  </property>
  <property fmtid="{D5CDD505-2E9C-101B-9397-08002B2CF9AE}" pid="10" name="FooterPath">
    <vt:lpwstr>AD\1203904LT.docx</vt:lpwstr>
  </property>
  <property fmtid="{D5CDD505-2E9C-101B-9397-08002B2CF9AE}" pid="11" name="LastEdited with">
    <vt:lpwstr>9.8.0 Build [20191010]</vt:lpwstr>
  </property>
  <property fmtid="{D5CDD505-2E9C-101B-9397-08002B2CF9AE}" pid="12" name="PE number">
    <vt:lpwstr>646.963</vt:lpwstr>
  </property>
  <property fmtid="{D5CDD505-2E9C-101B-9397-08002B2CF9AE}" pid="13" name="SDLStudio">
    <vt:lpwstr/>
  </property>
  <property fmtid="{D5CDD505-2E9C-101B-9397-08002B2CF9AE}" pid="14" name="SendToEpades">
    <vt:lpwstr>OK - 2020/02/03 16:07</vt:lpwstr>
  </property>
  <property fmtid="{D5CDD505-2E9C-101B-9397-08002B2CF9AE}" pid="15" name="SubscribeElise">
    <vt:lpwstr/>
  </property>
</Properties>
</file>