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2544DF" w:rsidRPr="00DA7AD1" w14:paraId="3AF87E5B" w14:textId="77777777" w:rsidTr="00BB70F1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08A8BF60" w14:textId="77777777" w:rsidR="002544DF" w:rsidRPr="00DA7AD1" w:rsidRDefault="000B7D36" w:rsidP="00BB70F1">
            <w:pPr>
              <w:pStyle w:val="EPName"/>
            </w:pPr>
            <w:r>
              <w:t>Parlament Europejski</w:t>
            </w:r>
          </w:p>
          <w:p w14:paraId="4CC28471" w14:textId="77777777" w:rsidR="002544DF" w:rsidRPr="00DA7AD1" w:rsidRDefault="000F31A2" w:rsidP="000F31A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5D5FB03A" w14:textId="77777777" w:rsidR="002544DF" w:rsidRPr="00DA7AD1" w:rsidRDefault="002707CB" w:rsidP="00BB70F1">
            <w:pPr>
              <w:pStyle w:val="EPLogo"/>
            </w:pPr>
            <w:r w:rsidRPr="00DA7AD1">
              <w:rPr>
                <w:lang w:val="en-GB"/>
              </w:rPr>
              <w:drawing>
                <wp:inline distT="0" distB="0" distL="0" distR="0" wp14:anchorId="5BBAFEA7" wp14:editId="2FC82A1B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4485D" w14:textId="77777777" w:rsidR="00E3537C" w:rsidRPr="00DA7AD1" w:rsidRDefault="00E3537C" w:rsidP="00E3537C">
      <w:pPr>
        <w:pStyle w:val="LineTop"/>
      </w:pPr>
    </w:p>
    <w:p w14:paraId="272919CA" w14:textId="77777777" w:rsidR="00E3537C" w:rsidRPr="00DA7AD1" w:rsidRDefault="00E3537C" w:rsidP="00E3537C"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{REGI}</w:t>
      </w:r>
      <w:r>
        <w:t>Komisja Rozwoju Regionalnego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14:paraId="6ECF137A" w14:textId="77777777" w:rsidR="00E3537C" w:rsidRPr="00DA7AD1" w:rsidRDefault="00E3537C" w:rsidP="00E3537C">
      <w:pPr>
        <w:pStyle w:val="LineBottom"/>
      </w:pPr>
    </w:p>
    <w:p w14:paraId="192B18E6" w14:textId="77777777" w:rsidR="00100069" w:rsidRPr="00DA7AD1" w:rsidRDefault="00100069">
      <w:pPr>
        <w:pStyle w:val="RefProc"/>
      </w:pPr>
      <w:r>
        <w:rPr>
          <w:rStyle w:val="HideTWBExt"/>
          <w:b w:val="0"/>
          <w:noProof w:val="0"/>
        </w:rPr>
        <w:t>&lt;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</w:t>
      </w:r>
      <w:r>
        <w:t>2017/2040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&gt;&lt;</w:t>
      </w:r>
      <w:r>
        <w:rPr>
          <w:rStyle w:val="HideTWBExt"/>
          <w:b w:val="0"/>
          <w:caps w:val="0"/>
          <w:noProof w:val="0"/>
        </w:rPr>
        <w:t>RefTypeProc</w:t>
      </w:r>
      <w:r>
        <w:rPr>
          <w:rStyle w:val="HideTWBExt"/>
          <w:b w:val="0"/>
          <w:noProof w:val="0"/>
        </w:rPr>
        <w:t>&gt;</w:t>
      </w:r>
      <w:r>
        <w:t>(INI)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RefTypeProc</w:t>
      </w:r>
      <w:r>
        <w:rPr>
          <w:rStyle w:val="HideTWBExt"/>
          <w:b w:val="0"/>
          <w:noProof w:val="0"/>
        </w:rPr>
        <w:t>&gt;</w:t>
      </w:r>
    </w:p>
    <w:p w14:paraId="2566E07C" w14:textId="77777777" w:rsidR="00100069" w:rsidRPr="00DA7AD1" w:rsidRDefault="00100069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{20/07/2017}</w:t>
      </w:r>
      <w:r>
        <w:t>20.7.2017</w:t>
      </w:r>
      <w:r>
        <w:rPr>
          <w:rStyle w:val="HideTWBExt"/>
          <w:noProof w:val="0"/>
        </w:rPr>
        <w:t>&lt;/Date&gt;</w:t>
      </w:r>
    </w:p>
    <w:p w14:paraId="76BEBFF9" w14:textId="77777777" w:rsidR="00100069" w:rsidRPr="00DA7AD1" w:rsidRDefault="00100069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PROJEKT SPRAWOZDANIA</w:t>
      </w:r>
      <w:r>
        <w:rPr>
          <w:rStyle w:val="HideTWBExt"/>
          <w:b w:val="0"/>
          <w:noProof w:val="0"/>
        </w:rPr>
        <w:t>&lt;/TitreType&gt;</w:t>
      </w:r>
    </w:p>
    <w:p w14:paraId="0ED7A5E0" w14:textId="12913998" w:rsidR="00100069" w:rsidRPr="00DA7AD1" w:rsidRDefault="00100069">
      <w:pPr>
        <w:pStyle w:val="CoverNormal"/>
      </w:pPr>
      <w:r>
        <w:rPr>
          <w:rStyle w:val="HideTWBExt"/>
          <w:noProof w:val="0"/>
        </w:rPr>
        <w:t>&lt;Titre&gt;</w:t>
      </w:r>
      <w:r>
        <w:t>w sprawie wdrażania strategii makroregionalnych UE</w:t>
      </w:r>
      <w:r>
        <w:rPr>
          <w:rStyle w:val="HideTWBExt"/>
          <w:noProof w:val="0"/>
        </w:rPr>
        <w:t>&lt;/Titre&gt;</w:t>
      </w:r>
    </w:p>
    <w:p w14:paraId="020343F1" w14:textId="77777777" w:rsidR="00100069" w:rsidRPr="00DA7AD1" w:rsidRDefault="00100069">
      <w:pPr>
        <w:pStyle w:val="Cover24"/>
      </w:pPr>
      <w:r>
        <w:rPr>
          <w:rStyle w:val="HideTWBExt"/>
          <w:noProof w:val="0"/>
        </w:rPr>
        <w:t>&lt;DocRef&gt;</w:t>
      </w:r>
      <w:r>
        <w:t>(2017/2040(INI))</w:t>
      </w:r>
      <w:r>
        <w:rPr>
          <w:rStyle w:val="HideTWBExt"/>
          <w:noProof w:val="0"/>
        </w:rPr>
        <w:t>&lt;/DocRef&gt;</w:t>
      </w:r>
    </w:p>
    <w:p w14:paraId="5252258E" w14:textId="77777777" w:rsidR="00100069" w:rsidRPr="00DA7AD1" w:rsidRDefault="00100069">
      <w:pPr>
        <w:pStyle w:val="Cover24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{REGI}</w:t>
      </w:r>
      <w:r>
        <w:t>Komisja Rozwoju Regionalnego</w:t>
      </w:r>
      <w:r>
        <w:rPr>
          <w:rStyle w:val="HideTWBExt"/>
          <w:noProof w:val="0"/>
        </w:rPr>
        <w:t>&lt;/Commission&gt;</w:t>
      </w:r>
    </w:p>
    <w:p w14:paraId="34778A7C" w14:textId="77777777" w:rsidR="00100069" w:rsidRPr="00DA7AD1" w:rsidRDefault="000B7D36">
      <w:pPr>
        <w:pStyle w:val="Cover24"/>
      </w:pPr>
      <w:r>
        <w:t xml:space="preserve">Sprawozdawca: </w:t>
      </w:r>
      <w:r>
        <w:rPr>
          <w:rStyle w:val="HideTWBExt"/>
          <w:noProof w:val="0"/>
        </w:rPr>
        <w:t>&lt;Depute&gt;</w:t>
      </w:r>
      <w:r>
        <w:t>Andrea Cozzolino</w:t>
      </w:r>
      <w:r>
        <w:rPr>
          <w:rStyle w:val="HideTWBExt"/>
          <w:noProof w:val="0"/>
        </w:rPr>
        <w:t>&lt;/Depute&gt;</w:t>
      </w:r>
    </w:p>
    <w:p w14:paraId="690895FB" w14:textId="77777777" w:rsidR="00E155CA" w:rsidRPr="00DA7AD1" w:rsidRDefault="00E155CA" w:rsidP="00E155CA">
      <w:pPr>
        <w:pStyle w:val="CoverNormal"/>
      </w:pPr>
    </w:p>
    <w:p w14:paraId="096E9D59" w14:textId="77777777" w:rsidR="00100069" w:rsidRPr="00DA7AD1" w:rsidRDefault="00100069" w:rsidP="002544DF">
      <w:pPr>
        <w:widowControl/>
        <w:tabs>
          <w:tab w:val="center" w:pos="4677"/>
        </w:tabs>
      </w:pPr>
      <w:r>
        <w:br w:type="page"/>
      </w:r>
    </w:p>
    <w:p w14:paraId="739706AB" w14:textId="77777777" w:rsidR="00100069" w:rsidRPr="00DA7AD1" w:rsidRDefault="000B7D36" w:rsidP="002544DF">
      <w:pPr>
        <w:widowControl/>
        <w:tabs>
          <w:tab w:val="center" w:pos="4677"/>
        </w:tabs>
      </w:pPr>
      <w:r>
        <w:lastRenderedPageBreak/>
        <w:t>PR_INI_ImplReport</w:t>
      </w:r>
    </w:p>
    <w:p w14:paraId="03E7B5D3" w14:textId="77777777" w:rsidR="00100069" w:rsidRPr="00DA7AD1" w:rsidRDefault="000B7D36">
      <w:pPr>
        <w:pStyle w:val="TOCHeading"/>
      </w:pPr>
      <w:r>
        <w:t>SPIS TREŚCI</w:t>
      </w:r>
    </w:p>
    <w:p w14:paraId="6B37221D" w14:textId="77777777" w:rsidR="00100069" w:rsidRPr="00DA7AD1" w:rsidRDefault="000B7D36">
      <w:pPr>
        <w:pStyle w:val="TOCPage"/>
      </w:pPr>
      <w:r>
        <w:t>Strona</w:t>
      </w:r>
    </w:p>
    <w:p w14:paraId="04809F3A" w14:textId="77777777" w:rsidR="002218B8" w:rsidRDefault="00A26D21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DA7AD1">
        <w:rPr>
          <w:b/>
        </w:rPr>
        <w:fldChar w:fldCharType="begin"/>
      </w:r>
      <w:r w:rsidRPr="00DA7AD1">
        <w:rPr>
          <w:b/>
        </w:rPr>
        <w:instrText xml:space="preserve"> TOC \t "PageHeading</w:instrText>
      </w:r>
      <w:r w:rsidR="00576294">
        <w:rPr>
          <w:b/>
        </w:rPr>
        <w:instrText>;</w:instrText>
      </w:r>
      <w:r w:rsidRPr="00DA7AD1">
        <w:rPr>
          <w:b/>
        </w:rPr>
        <w:instrText xml:space="preserve">1" </w:instrText>
      </w:r>
      <w:r w:rsidRPr="00DA7AD1">
        <w:rPr>
          <w:b/>
        </w:rPr>
        <w:fldChar w:fldCharType="separate"/>
      </w:r>
      <w:r w:rsidR="002218B8">
        <w:rPr>
          <w:noProof/>
        </w:rPr>
        <w:t>UZASADNIENIE – STRESZCZENIE FAKTÓW I USTALENIA</w:t>
      </w:r>
      <w:r w:rsidR="002218B8">
        <w:rPr>
          <w:noProof/>
        </w:rPr>
        <w:tab/>
      </w:r>
      <w:r w:rsidR="002218B8">
        <w:rPr>
          <w:noProof/>
        </w:rPr>
        <w:fldChar w:fldCharType="begin"/>
      </w:r>
      <w:r w:rsidR="002218B8">
        <w:rPr>
          <w:noProof/>
        </w:rPr>
        <w:instrText xml:space="preserve"> PAGEREF _Toc491075559 \h </w:instrText>
      </w:r>
      <w:r w:rsidR="002218B8">
        <w:rPr>
          <w:noProof/>
        </w:rPr>
      </w:r>
      <w:r w:rsidR="002218B8">
        <w:rPr>
          <w:noProof/>
        </w:rPr>
        <w:fldChar w:fldCharType="separate"/>
      </w:r>
      <w:r w:rsidR="002218B8">
        <w:rPr>
          <w:noProof/>
        </w:rPr>
        <w:t>3</w:t>
      </w:r>
      <w:r w:rsidR="002218B8">
        <w:rPr>
          <w:noProof/>
        </w:rPr>
        <w:fldChar w:fldCharType="end"/>
      </w:r>
    </w:p>
    <w:p w14:paraId="55693555" w14:textId="77777777" w:rsidR="002218B8" w:rsidRDefault="002218B8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PROJEKT REZOLUCJI PARLAMENTU EUROPEJSKIEGO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_Toc491075560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09CB8A" w14:textId="77777777" w:rsidR="00A10D23" w:rsidRPr="00DA7AD1" w:rsidRDefault="00A26D21" w:rsidP="00A26D21">
      <w:r w:rsidRPr="00DA7AD1">
        <w:rPr>
          <w:b/>
        </w:rPr>
        <w:fldChar w:fldCharType="end"/>
      </w:r>
    </w:p>
    <w:p w14:paraId="67D24938" w14:textId="77777777" w:rsidR="00E155CA" w:rsidRPr="00DA7AD1" w:rsidRDefault="00E155CA" w:rsidP="00E155CA"/>
    <w:p w14:paraId="094FCC41" w14:textId="77777777" w:rsidR="00E155CA" w:rsidRPr="00DA7AD1" w:rsidRDefault="00E155CA">
      <w:pPr>
        <w:pStyle w:val="PageHeading"/>
      </w:pPr>
    </w:p>
    <w:p w14:paraId="555B8419" w14:textId="77777777" w:rsidR="00B3564F" w:rsidRPr="00DA7AD1" w:rsidRDefault="00100069" w:rsidP="00B3564F">
      <w:pPr>
        <w:pStyle w:val="PageHeading"/>
      </w:pPr>
      <w:r>
        <w:br w:type="page"/>
      </w:r>
      <w:bookmarkStart w:id="0" w:name="_Toc488327333"/>
      <w:bookmarkStart w:id="1" w:name="_Toc26759888"/>
      <w:bookmarkStart w:id="2" w:name="_Toc86200285"/>
      <w:bookmarkStart w:id="3" w:name="_Toc491075559"/>
      <w:r>
        <w:lastRenderedPageBreak/>
        <w:t>UZASADNIENIE – STRESZCZENIE FAKTÓW I USTALENIA</w:t>
      </w:r>
      <w:bookmarkEnd w:id="0"/>
      <w:bookmarkEnd w:id="3"/>
    </w:p>
    <w:p w14:paraId="32E78C8C" w14:textId="77777777" w:rsidR="00B31965" w:rsidRPr="00DA7AD1" w:rsidRDefault="00B31965" w:rsidP="0014522C">
      <w:pPr>
        <w:pStyle w:val="Normal12"/>
        <w:spacing w:before="120"/>
      </w:pPr>
      <w:r>
        <w:rPr>
          <w:b/>
        </w:rPr>
        <w:t>Kontekst</w:t>
      </w:r>
    </w:p>
    <w:p w14:paraId="7807AC0D" w14:textId="77777777" w:rsidR="00B31965" w:rsidRPr="00DA7AD1" w:rsidRDefault="00B31965" w:rsidP="00B31965">
      <w:pPr>
        <w:pStyle w:val="Normal12"/>
      </w:pPr>
      <w:r>
        <w:t>W ostatnich latach wzrosło znaczenie strategii makroregionalnych jako platform współpracy międzynarodowej między państwami członkowskimi, a także współpracy z państwami trzecimi. Zapewniają one zintegrowane ramy, dzięki którym podejmować moż</w:t>
      </w:r>
      <w:bookmarkStart w:id="4" w:name="_GoBack"/>
      <w:bookmarkEnd w:id="4"/>
      <w:r>
        <w:t>na wspólne wyzwania i wykorzystywać wspólny potencjał. W okresie programowania 2014–2020 strategie makroregionalne zostały włączone do programów europejskich funduszy strukturalnych i inwestycyjnych.</w:t>
      </w:r>
    </w:p>
    <w:p w14:paraId="59605CB7" w14:textId="00B87F98" w:rsidR="00B31965" w:rsidRPr="00DA7AD1" w:rsidRDefault="00B31965" w:rsidP="00B31965">
      <w:pPr>
        <w:pStyle w:val="Normal12"/>
      </w:pPr>
      <w:r>
        <w:t>Obecnie cztery istniejące strategie makroregionalne (dla regionu Morza Bałtyckiego, regionu adriatycko-jońskiego, regionu Dunaju i regionu alpejskiego) zrzeszają 19 państw członkowskich UE i 8 państw spoza UE. Niektóre państwa członkowskie uczestniczą w</w:t>
      </w:r>
      <w:r w:rsidR="006525DB">
        <w:t> </w:t>
      </w:r>
      <w:r>
        <w:t>więcej niż jednej strategii makroregionalnej.</w:t>
      </w:r>
    </w:p>
    <w:p w14:paraId="60D1CB32" w14:textId="23BDB027" w:rsidR="00B31965" w:rsidRPr="00DA7AD1" w:rsidRDefault="00B31965" w:rsidP="00B31965">
      <w:pPr>
        <w:pStyle w:val="Normal12"/>
      </w:pPr>
      <w:r>
        <w:t>Strategie makroregionalne wpisują się w zasadę trzech „nie”: żadnych nowych środków unijnych, żadnych dodatkowych formalnych struktur unijnych ani żadnych nowych przepisów unijnych.</w:t>
      </w:r>
    </w:p>
    <w:p w14:paraId="6B6D1A86" w14:textId="77777777" w:rsidR="00B31965" w:rsidRPr="00DA7AD1" w:rsidRDefault="00B31965" w:rsidP="00B31965">
      <w:pPr>
        <w:pStyle w:val="Normal12"/>
      </w:pPr>
      <w:r>
        <w:t>Wsparcie finansowe pochodzi z programów współpracy transnarodowej w ramach europejskiej współpracy terytorialnej, a programy te finansowane są z Europejskiego Funduszu Rozwoju Regionalnego (EFRR). Cztery z takich programów wspierają wdrażanie strategii makroregionalnych (w nawiasie podano łączny budżet operacyjny programu).</w:t>
      </w:r>
    </w:p>
    <w:p w14:paraId="539F6CF5" w14:textId="77777777" w:rsidR="00B31965" w:rsidRPr="00DA7AD1" w:rsidRDefault="00A10D23" w:rsidP="00C12B0D">
      <w:pPr>
        <w:pStyle w:val="Normal12"/>
        <w:tabs>
          <w:tab w:val="left" w:pos="709"/>
        </w:tabs>
        <w:ind w:left="709" w:hanging="425"/>
      </w:pPr>
      <w:r>
        <w:t>-</w:t>
      </w:r>
      <w:r>
        <w:tab/>
        <w:t>Region Morza Bałtyckiego (333,414,456 EUR)</w:t>
      </w:r>
    </w:p>
    <w:p w14:paraId="2623CA99" w14:textId="77777777" w:rsidR="00B31965" w:rsidRPr="00DA7AD1" w:rsidRDefault="00A10D23" w:rsidP="00C12B0D">
      <w:pPr>
        <w:pStyle w:val="Normal12"/>
        <w:ind w:firstLine="284"/>
      </w:pPr>
      <w:r>
        <w:t>-</w:t>
      </w:r>
      <w:r>
        <w:tab/>
        <w:t>Region Dunaju (262,989,839 EUR)</w:t>
      </w:r>
    </w:p>
    <w:p w14:paraId="46201005" w14:textId="77777777" w:rsidR="00B31965" w:rsidRPr="00DA7AD1" w:rsidRDefault="00A10D23" w:rsidP="00C12B0D">
      <w:pPr>
        <w:pStyle w:val="Normal12"/>
        <w:ind w:firstLine="284"/>
      </w:pPr>
      <w:r>
        <w:t>-</w:t>
      </w:r>
      <w:r>
        <w:tab/>
        <w:t>Region adriatycko-joński (117,918,198 EUR)</w:t>
      </w:r>
    </w:p>
    <w:p w14:paraId="571371BF" w14:textId="77777777" w:rsidR="00B31965" w:rsidRPr="00DA7AD1" w:rsidRDefault="00A10D23" w:rsidP="00C12B0D">
      <w:pPr>
        <w:pStyle w:val="Normal12"/>
        <w:ind w:firstLine="284"/>
      </w:pPr>
      <w:r>
        <w:t>-</w:t>
      </w:r>
      <w:r>
        <w:tab/>
        <w:t>Region alpejski (139,751,456 EUR)</w:t>
      </w:r>
    </w:p>
    <w:p w14:paraId="1FFF95BD" w14:textId="4041A44E" w:rsidR="00B31965" w:rsidRPr="00DA7AD1" w:rsidRDefault="00B31965" w:rsidP="00B31965">
      <w:pPr>
        <w:pStyle w:val="Normal12"/>
      </w:pPr>
      <w:r>
        <w:t>Państwa zachęcane są do korzystania z różnych źródeł finansowania (europejskie fundusze strukturalne i inwestycyjne i inne instrumenty UE, programy IPA/ENI, krajowe, regionalne i</w:t>
      </w:r>
      <w:r w:rsidR="006525DB">
        <w:t> </w:t>
      </w:r>
      <w:r>
        <w:t xml:space="preserve">lokalne zasoby, źródła prywatne itd.), aby mogły przyczyniać się do realizacji wspólnych celów określonych w strategiach makroregionalnych. </w:t>
      </w:r>
    </w:p>
    <w:p w14:paraId="2B2035F9" w14:textId="17A80ABA" w:rsidR="00B31965" w:rsidRPr="00DA7AD1" w:rsidRDefault="00B31965" w:rsidP="00B31965">
      <w:pPr>
        <w:pStyle w:val="Normal12"/>
      </w:pPr>
      <w:r>
        <w:t>Jak stwierdziła Komisja</w:t>
      </w:r>
      <w:r w:rsidR="007E768F" w:rsidRPr="00DA7AD1">
        <w:rPr>
          <w:rStyle w:val="FootnoteReference"/>
        </w:rPr>
        <w:footnoteReference w:id="1"/>
      </w:r>
      <w:r>
        <w:t xml:space="preserve">, w strategiach makroregionalnych chodzi o coś więcej niż samo finansowanie, ponieważ strategie te „zbliżają do siebie obywateli różnych państw członkowskich i przyczyniają się do poprawy ich społecznych i gospodarczych warunków życia dzięki współpracy transgranicznej”. </w:t>
      </w:r>
    </w:p>
    <w:p w14:paraId="0DC361C9" w14:textId="77777777" w:rsidR="00B31965" w:rsidRPr="00DA7AD1" w:rsidRDefault="00B31965" w:rsidP="00B31965">
      <w:pPr>
        <w:pStyle w:val="Normal12"/>
      </w:pPr>
      <w:r>
        <w:t xml:space="preserve">Strategie makroregionalne mają różne struktury zarządcze i borykają się z różnymi wyzwaniami. Niektóre problemy są do pewnego stopnia wspólne, jak zapewnienie odpowiedniego poziomu zaangażowania politycznego i udostępnianie wystarczających </w:t>
      </w:r>
      <w:r>
        <w:lastRenderedPageBreak/>
        <w:t xml:space="preserve">zasobów. </w:t>
      </w:r>
    </w:p>
    <w:p w14:paraId="1B8B04B5" w14:textId="77777777" w:rsidR="00B31965" w:rsidRPr="00DA7AD1" w:rsidRDefault="00B31965" w:rsidP="00B31965">
      <w:pPr>
        <w:pStyle w:val="Normal12"/>
      </w:pPr>
      <w:r>
        <w:t xml:space="preserve">We wdrażaniu strategii makroregionalnych Komisja odgrywa rolę koordynacyjną. </w:t>
      </w:r>
    </w:p>
    <w:p w14:paraId="3F405F6F" w14:textId="3B49A0C6" w:rsidR="00B31965" w:rsidRPr="00DA7AD1" w:rsidRDefault="00B31965" w:rsidP="00B31965">
      <w:pPr>
        <w:pStyle w:val="Normal12"/>
      </w:pPr>
      <w:r>
        <w:t>W 2010 r. Komisja, w odpowiedzi na apele ze story Rady, utworzyła grupę wysokiego szczebla ds. strategii makroregionalnych, której powierzono zadanie „udzielania Komisji wsparcia w wykonywaniu jej uprawnień i obowiązków związanych z działaniem strategii makroregionalnych”, a także zadanie specjalne polegające na „zapewnianiu Komisji doradztwa w zakresie koordynacji i monitorowania strategii makroregionalnych”</w:t>
      </w:r>
      <w:r w:rsidRPr="00DA7AD1">
        <w:rPr>
          <w:vertAlign w:val="superscript"/>
        </w:rPr>
        <w:footnoteReference w:id="2"/>
      </w:r>
      <w:r>
        <w:t>. Członkami grupy wysokiego szczebla są przedstawiciele uczestniczących w strategiach makroregionalnych państw członkowskich i państw spoza UE. Do udziału w posiedzeniach grupy wysokiego szczebla w charakterze obserwatorów zapraszani są również przedstawiciele Komitetu Regionów i Europejskiego Banku Inwestycyjnego.</w:t>
      </w:r>
    </w:p>
    <w:p w14:paraId="2399EA56" w14:textId="77777777" w:rsidR="00B31965" w:rsidRPr="00DA7AD1" w:rsidRDefault="00B31965" w:rsidP="0014522C">
      <w:pPr>
        <w:pStyle w:val="Normal12"/>
        <w:spacing w:before="120"/>
        <w:rPr>
          <w:b/>
        </w:rPr>
      </w:pPr>
      <w:r>
        <w:rPr>
          <w:b/>
        </w:rPr>
        <w:t>Przyszłość</w:t>
      </w:r>
    </w:p>
    <w:p w14:paraId="62BFA3E1" w14:textId="77777777" w:rsidR="00B31965" w:rsidRPr="00DA7AD1" w:rsidRDefault="00B31965" w:rsidP="00A10D23">
      <w:pPr>
        <w:pStyle w:val="Normal12"/>
      </w:pPr>
      <w:r>
        <w:t>Debata na temat kształtu polityki spójności w okresie po 2020 r. trwa i najwyższy czas podjąć dyskusję na temat przyszłości strategii makroregionalnych w kontekście polityki spójności.</w:t>
      </w:r>
    </w:p>
    <w:p w14:paraId="6CFEE93E" w14:textId="77777777" w:rsidR="00B31965" w:rsidRPr="00DA7AD1" w:rsidRDefault="00B31965" w:rsidP="00A10D23">
      <w:pPr>
        <w:pStyle w:val="Normal12"/>
      </w:pPr>
      <w:r>
        <w:t>Jeżeli chodzi o przyszłość strategii makroregionalnych, należy udzielić odpowiedzi na kilka pytań:</w:t>
      </w:r>
    </w:p>
    <w:p w14:paraId="0A46EF0E" w14:textId="77777777" w:rsidR="00B31965" w:rsidRPr="00DA7AD1" w:rsidRDefault="00A10D23" w:rsidP="00C12B0D">
      <w:pPr>
        <w:pStyle w:val="Normal12"/>
        <w:ind w:left="709" w:hanging="425"/>
      </w:pPr>
      <w:bookmarkStart w:id="5" w:name="_Toc488326278"/>
      <w:r>
        <w:t>-</w:t>
      </w:r>
      <w:r>
        <w:tab/>
        <w:t>poczucie odpowiedzialności i zaangażowanie polityczne – jak dopilnować, by wszystkie państwa uczestniczące inwestowały wystarczającą ilość środków w strategie makroregionalne?</w:t>
      </w:r>
      <w:bookmarkEnd w:id="5"/>
    </w:p>
    <w:p w14:paraId="5E4DA58E" w14:textId="77777777" w:rsidR="00B31965" w:rsidRPr="00DA7AD1" w:rsidRDefault="00A10D23" w:rsidP="00C12B0D">
      <w:pPr>
        <w:pStyle w:val="Normal12"/>
        <w:ind w:left="709" w:hanging="425"/>
      </w:pPr>
      <w:bookmarkStart w:id="6" w:name="_Toc488326279"/>
      <w:r>
        <w:t>-</w:t>
      </w:r>
      <w:r>
        <w:tab/>
        <w:t>zorientowanie na wyniki – jak sprawić można, by wyniki strategii makroregionalnych były w większym stopniu mierzalne?</w:t>
      </w:r>
      <w:bookmarkEnd w:id="6"/>
    </w:p>
    <w:p w14:paraId="63D51EA3" w14:textId="77777777" w:rsidR="00B31965" w:rsidRPr="00DA7AD1" w:rsidRDefault="00A10D23" w:rsidP="00C12B0D">
      <w:pPr>
        <w:pStyle w:val="Normal12"/>
        <w:ind w:firstLine="284"/>
      </w:pPr>
      <w:bookmarkStart w:id="7" w:name="_Toc488326280"/>
      <w:r>
        <w:t>-</w:t>
      </w:r>
      <w:r>
        <w:tab/>
        <w:t>zakres – czy są powody do rozszerzenia koncepcji strategii makroregionalnych?</w:t>
      </w:r>
      <w:bookmarkEnd w:id="7"/>
    </w:p>
    <w:p w14:paraId="02053C32" w14:textId="2170C06B" w:rsidR="00B31965" w:rsidRPr="00DA7AD1" w:rsidRDefault="00B31965" w:rsidP="00A10D23">
      <w:pPr>
        <w:pStyle w:val="Normal12"/>
      </w:pPr>
      <w:bookmarkStart w:id="8" w:name="_Toc488326281"/>
      <w:r>
        <w:t>Rada, uznając znaczenie strategii makroregionalnych i potwierdzając zasadę trzech „nie”, jest nadal „gotowa analizować wszelkie wspólnie uzgodnione i dojrzałe inicjatywy – zmierzające do ustanowienia nowej strategii makroregionalnej – przedstawiane przez państwa członkowskie, które muszą stawiać czoła takim samym wyzwaniom na określonych obszarze geograficznym”</w:t>
      </w:r>
      <w:r w:rsidRPr="00DA7AD1">
        <w:rPr>
          <w:vertAlign w:val="superscript"/>
        </w:rPr>
        <w:footnoteReference w:id="3"/>
      </w:r>
      <w:r>
        <w:t>.</w:t>
      </w:r>
      <w:bookmarkEnd w:id="8"/>
    </w:p>
    <w:p w14:paraId="1DE2E9A3" w14:textId="35A10EC6" w:rsidR="00B31965" w:rsidRPr="00DA7AD1" w:rsidRDefault="00B31965" w:rsidP="00A10D23">
      <w:pPr>
        <w:pStyle w:val="Normal12"/>
      </w:pPr>
      <w:bookmarkStart w:id="9" w:name="_Toc488326282"/>
      <w:r>
        <w:t>Na posiedzeniu w dniach 12–13 lipca 2017 r. Komisja REGI zorganizuje warsztaty z</w:t>
      </w:r>
      <w:r w:rsidR="006525DB">
        <w:t> </w:t>
      </w:r>
      <w:r>
        <w:t>udziałem ekspertów w dziedzinie strategii makroregionalnych w celu wsparcia prac nad tym sprawozdaniem z wykonania. Ustalenia z tych warsztatów zostaną uwzględnione w</w:t>
      </w:r>
      <w:r w:rsidR="006525DB">
        <w:t> </w:t>
      </w:r>
      <w:r>
        <w:t>poprawkach do projektu sprawozdania.</w:t>
      </w:r>
      <w:bookmarkEnd w:id="9"/>
    </w:p>
    <w:p w14:paraId="2529D0C9" w14:textId="77777777" w:rsidR="00B31965" w:rsidRPr="00DA7AD1" w:rsidRDefault="00B31965" w:rsidP="00B31965">
      <w:pPr>
        <w:pStyle w:val="Normal12"/>
      </w:pPr>
    </w:p>
    <w:p w14:paraId="503B6CD6" w14:textId="77777777" w:rsidR="00A10D23" w:rsidRPr="00DA7AD1" w:rsidRDefault="00A10D23" w:rsidP="00A10D23">
      <w:pPr>
        <w:pStyle w:val="PageHeading"/>
      </w:pPr>
      <w:r>
        <w:br w:type="page"/>
      </w:r>
      <w:bookmarkStart w:id="10" w:name="_Toc488327334"/>
      <w:bookmarkStart w:id="11" w:name="_Toc491075560"/>
      <w:r>
        <w:lastRenderedPageBreak/>
        <w:t>PROJEKT REZOLUCJI PARLAMENTU EUROPEJSKIEGO</w:t>
      </w:r>
      <w:bookmarkEnd w:id="10"/>
      <w:bookmarkEnd w:id="11"/>
    </w:p>
    <w:bookmarkEnd w:id="1"/>
    <w:bookmarkEnd w:id="2"/>
    <w:p w14:paraId="12CB21F7" w14:textId="798474C4" w:rsidR="00100069" w:rsidRPr="00DA7AD1" w:rsidRDefault="000B7D36">
      <w:pPr>
        <w:pStyle w:val="NormalBold"/>
      </w:pPr>
      <w:r>
        <w:t>w sprawie wdrażania strategii makroregionalnych UE</w:t>
      </w:r>
    </w:p>
    <w:p w14:paraId="15E2BA81" w14:textId="77777777" w:rsidR="00100069" w:rsidRPr="00DA7AD1" w:rsidRDefault="000B7D36">
      <w:pPr>
        <w:pStyle w:val="Normal12Bold"/>
      </w:pPr>
      <w:r>
        <w:t>(2017/2040(INI))</w:t>
      </w:r>
    </w:p>
    <w:p w14:paraId="36199C10" w14:textId="77777777" w:rsidR="000F31A2" w:rsidRPr="00DA7AD1" w:rsidRDefault="000F31A2" w:rsidP="000F31A2">
      <w:pPr>
        <w:spacing w:after="240"/>
      </w:pPr>
      <w:r>
        <w:rPr>
          <w:i/>
        </w:rPr>
        <w:t>Parlament Europejski</w:t>
      </w:r>
      <w:r>
        <w:t>,</w:t>
      </w:r>
    </w:p>
    <w:p w14:paraId="0F84EA4E" w14:textId="77777777" w:rsidR="000F31A2" w:rsidRPr="00DA7AD1" w:rsidRDefault="000F31A2" w:rsidP="00A42625">
      <w:pPr>
        <w:pStyle w:val="Normal12Hanging"/>
      </w:pPr>
      <w:r>
        <w:t>–</w:t>
      </w:r>
      <w:r>
        <w:tab/>
        <w:t>uwzględniając Traktat o funkcjonowaniu Unii Europejskiej (TFUE), a w szczególności jego tytuł XVIII,</w:t>
      </w:r>
    </w:p>
    <w:p w14:paraId="791D79AA" w14:textId="7B266FC3" w:rsidR="000F31A2" w:rsidRPr="00DA7AD1" w:rsidRDefault="000F31A2" w:rsidP="00A42625">
      <w:pPr>
        <w:pStyle w:val="Normal12Hanging"/>
      </w:pPr>
      <w:r>
        <w:t>–</w:t>
      </w:r>
      <w:r>
        <w:tab/>
        <w:t>uwzględniając rozporządzenie Parlamentu Europejskiego i Rady (UE) nr 1303/2013 z</w:t>
      </w:r>
      <w:r w:rsidR="006525DB">
        <w:t> </w:t>
      </w:r>
      <w:r>
        <w:t>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6525DB">
        <w:t> </w:t>
      </w:r>
      <w:r>
        <w:t>Rybackiego oraz uchylające rozporządzenie Rady (WE) nr 1083/2006 (zwane dalej „rozporządzeniem w sprawie wspólnych przepisów”)</w:t>
      </w:r>
      <w:r w:rsidR="0014522C" w:rsidRPr="00DA7AD1">
        <w:rPr>
          <w:vertAlign w:val="superscript"/>
        </w:rPr>
        <w:footnoteReference w:id="4"/>
      </w:r>
      <w:r>
        <w:t>,</w:t>
      </w:r>
    </w:p>
    <w:p w14:paraId="7AD16BF6" w14:textId="3121DF1E" w:rsidR="000F31A2" w:rsidRPr="00DA7AD1" w:rsidRDefault="000F31A2" w:rsidP="00A42625">
      <w:pPr>
        <w:pStyle w:val="Normal12Hanging"/>
      </w:pPr>
      <w:r>
        <w:t>–</w:t>
      </w:r>
      <w:r>
        <w:tab/>
        <w:t>uwzględniając rozporządzenie Parlamentu Europejskiego i Rady (UE) nr 1299/2013 z</w:t>
      </w:r>
      <w:r w:rsidR="006525DB">
        <w:t> </w:t>
      </w:r>
      <w:r>
        <w:t>dnia 17 grudnia 2013 r. w sprawie przepisów szczegółowych dotyczących wsparcia z</w:t>
      </w:r>
      <w:r w:rsidR="006525DB">
        <w:t> </w:t>
      </w:r>
      <w:r>
        <w:t>Europejskiego Funduszu Rozwoju Regionalnego w ramach celu „Europejska współpraca terytorialna”</w:t>
      </w:r>
      <w:r w:rsidR="0014522C" w:rsidRPr="00DA7AD1">
        <w:rPr>
          <w:rStyle w:val="FootnoteReference"/>
        </w:rPr>
        <w:footnoteReference w:id="5"/>
      </w:r>
      <w:r>
        <w:t>,</w:t>
      </w:r>
    </w:p>
    <w:p w14:paraId="4F27AA49" w14:textId="77777777" w:rsidR="000F31A2" w:rsidRPr="00DA7AD1" w:rsidRDefault="000F31A2" w:rsidP="00A42625">
      <w:pPr>
        <w:pStyle w:val="Normal12Hanging"/>
      </w:pPr>
      <w:r>
        <w:t>–</w:t>
      </w:r>
      <w:r>
        <w:rPr>
          <w:b/>
          <w:i/>
        </w:rPr>
        <w:tab/>
      </w:r>
      <w:r>
        <w:t>uwzględniając rozporządzenie (UE) nr 1302/2013 dnia 17 grudnia 2013 r. zmieniające rozporządzenie (WE) nr 1082/2006 w sprawie europejskiego ugrupowania współpracy terytorialnej (EUWT) w celu doprecyzowania, uproszczenia i usprawnienia procesu tworzenia takich ugrupowań oraz ich funkcjonowania</w:t>
      </w:r>
      <w:r w:rsidR="0014522C" w:rsidRPr="00DA7AD1">
        <w:rPr>
          <w:vertAlign w:val="superscript"/>
        </w:rPr>
        <w:footnoteReference w:id="6"/>
      </w:r>
      <w:r>
        <w:t>,</w:t>
      </w:r>
    </w:p>
    <w:p w14:paraId="3FBC9E57" w14:textId="77777777" w:rsidR="000F31A2" w:rsidRPr="00DA7AD1" w:rsidRDefault="000F31A2" w:rsidP="00A42625">
      <w:pPr>
        <w:pStyle w:val="Normal12Hanging"/>
      </w:pPr>
      <w:r>
        <w:t>–</w:t>
      </w:r>
      <w:r>
        <w:tab/>
        <w:t>uwzględniając konkluzje Rady z dnia 25 kwietnia 2017 r. w sprawie wdrażania strategii makroregionalnych UE,</w:t>
      </w:r>
    </w:p>
    <w:p w14:paraId="4213580E" w14:textId="7F35E171" w:rsidR="000F31A2" w:rsidRPr="00DA7AD1" w:rsidRDefault="000F31A2" w:rsidP="00A42625">
      <w:pPr>
        <w:pStyle w:val="Normal12Hanging"/>
      </w:pPr>
      <w:r>
        <w:t>–</w:t>
      </w:r>
      <w:r>
        <w:tab/>
        <w:t>uwzględniając sprawozdanie Komisji z dnia 16 grudnia 2016 r. z realizacji strategii makroregionalnych UE (COM(2016)0805) oraz towarzyszący mu dokument roboczy służb Komisji (SWD(2016)0443),</w:t>
      </w:r>
    </w:p>
    <w:p w14:paraId="7B25F2DD" w14:textId="5116B2EC" w:rsidR="000F31A2" w:rsidRPr="00DA7AD1" w:rsidRDefault="000F31A2" w:rsidP="00A42625">
      <w:pPr>
        <w:pStyle w:val="Normal12Hanging"/>
      </w:pPr>
      <w:r>
        <w:t>–</w:t>
      </w:r>
      <w:r>
        <w:tab/>
        <w:t>uwzględniając komunikat Komisji z dnia 10 czerwca 2009 r. dotyczący strategii Unii Europejskiej dla regionu Morza Bałtyckiego (COM(2009)0248),</w:t>
      </w:r>
    </w:p>
    <w:p w14:paraId="79E30A0F" w14:textId="15DEB589" w:rsidR="000F31A2" w:rsidRPr="00DA7AD1" w:rsidRDefault="000F31A2" w:rsidP="00A42625">
      <w:pPr>
        <w:pStyle w:val="Normal12Hanging"/>
      </w:pPr>
      <w:r>
        <w:t>–</w:t>
      </w:r>
      <w:r>
        <w:tab/>
        <w:t>uwzględniając komunikat Komisji z dnia 8 grudnia 2010 r. pt. „Strategia Unii Europejskiej dla regionu Dunaju” (COM(2010) 0715),</w:t>
      </w:r>
    </w:p>
    <w:p w14:paraId="1605D25E" w14:textId="5DC7992D" w:rsidR="000F31A2" w:rsidRPr="00DA7AD1" w:rsidRDefault="000F31A2" w:rsidP="00A42625">
      <w:pPr>
        <w:pStyle w:val="Normal12Hanging"/>
      </w:pPr>
      <w:r>
        <w:t>–</w:t>
      </w:r>
      <w:r>
        <w:tab/>
        <w:t>uwzględniając komunikat Komisji z dnia 17 czerwca 2014 r. dotyczący strategii Unii Europejskiej dla regionu adriatycko-jońskiego (COM(2014)0357),</w:t>
      </w:r>
    </w:p>
    <w:p w14:paraId="78642FCB" w14:textId="4D4C4311" w:rsidR="000F31A2" w:rsidRPr="00DA7AD1" w:rsidRDefault="000F31A2" w:rsidP="00A42625">
      <w:pPr>
        <w:pStyle w:val="Normal12Hanging"/>
      </w:pPr>
      <w:r>
        <w:t>–</w:t>
      </w:r>
      <w:r>
        <w:tab/>
        <w:t xml:space="preserve">uwzględniając komunikat Komisji z dnia 28 lipca 2015 r. w sprawie strategii UE na </w:t>
      </w:r>
      <w:r>
        <w:lastRenderedPageBreak/>
        <w:t>rzecz regionu alpejskiego (COM(2015)0366),</w:t>
      </w:r>
    </w:p>
    <w:p w14:paraId="368A822C" w14:textId="77777777" w:rsidR="000F31A2" w:rsidRPr="00DA7AD1" w:rsidRDefault="000F31A2" w:rsidP="00A42625">
      <w:pPr>
        <w:pStyle w:val="Normal12Hanging"/>
      </w:pPr>
      <w:r>
        <w:t>–</w:t>
      </w:r>
      <w:r>
        <w:tab/>
        <w:t>uwzględniając sprawozdanie Komisji z dnia 20 maja 2014 r. w sprawie zarządzania strategiami makroregionalnymi (COM(2014)0284),</w:t>
      </w:r>
    </w:p>
    <w:p w14:paraId="7AB09C89" w14:textId="580B0A36" w:rsidR="000F31A2" w:rsidRPr="00DA7AD1" w:rsidRDefault="000F31A2" w:rsidP="00A42625">
      <w:pPr>
        <w:pStyle w:val="Normal12Hanging"/>
      </w:pPr>
      <w:r>
        <w:t>–</w:t>
      </w:r>
      <w:r>
        <w:tab/>
        <w:t>uwzględniając komunikat Komisji z dnia 14 grudnia 2015 r. pt. „Inwestycje na rzecz zatrudnienia i wzrostu gospodarczego – maksymalizowanie wkładu europejskich funduszy strukturalnych i inwestycyjnych” (COM(2015)0639),</w:t>
      </w:r>
    </w:p>
    <w:p w14:paraId="647229B4" w14:textId="77777777" w:rsidR="000F31A2" w:rsidRPr="00DA7AD1" w:rsidRDefault="000F31A2" w:rsidP="00A42625">
      <w:pPr>
        <w:pStyle w:val="Normal12Hanging"/>
      </w:pPr>
      <w:r>
        <w:t>–</w:t>
      </w:r>
      <w:r>
        <w:tab/>
        <w:t>uwzględniając swoją rezolucję z dnia 17 lutego 2011 r. w sprawie wdrożenia strategii UE na rzecz regionu naddunajskiego</w:t>
      </w:r>
      <w:r w:rsidRPr="00DA7AD1">
        <w:rPr>
          <w:vertAlign w:val="superscript"/>
        </w:rPr>
        <w:footnoteReference w:id="7"/>
      </w:r>
      <w:r>
        <w:t>,</w:t>
      </w:r>
    </w:p>
    <w:p w14:paraId="0AB6DB00" w14:textId="79179AF6" w:rsidR="000F31A2" w:rsidRPr="00DA7AD1" w:rsidRDefault="000F31A2" w:rsidP="00A42625">
      <w:pPr>
        <w:pStyle w:val="Normal12Hanging"/>
      </w:pPr>
      <w:r>
        <w:t>–</w:t>
      </w:r>
      <w:r>
        <w:tab/>
        <w:t>uwzględniając swoją rezolucję z dnia 3 lipca 2012 r. w sprawie ewolucji strategii makroregionalnych UE: obecne praktyki i przyszłe perspektywy, szczególnie w</w:t>
      </w:r>
      <w:r w:rsidR="006525DB">
        <w:t> </w:t>
      </w:r>
      <w:r>
        <w:t>regionie Morza Śródziemnego</w:t>
      </w:r>
      <w:r w:rsidRPr="00DA7AD1">
        <w:rPr>
          <w:vertAlign w:val="superscript"/>
        </w:rPr>
        <w:footnoteReference w:id="8"/>
      </w:r>
      <w:r>
        <w:t>,</w:t>
      </w:r>
    </w:p>
    <w:p w14:paraId="23FC451A" w14:textId="77777777" w:rsidR="00A4466E" w:rsidRPr="00DA7AD1" w:rsidRDefault="000F31A2" w:rsidP="00A42625">
      <w:pPr>
        <w:pStyle w:val="Normal12Hanging"/>
      </w:pPr>
      <w:r>
        <w:t>–</w:t>
      </w:r>
      <w:r>
        <w:tab/>
        <w:t>uwzględniając swoją rezolucję z dnia 13 września 2012 r. w sprawie strategii na rzecz obszaru atlantyckiego w ramach polityki spójności UE</w:t>
      </w:r>
      <w:r w:rsidRPr="00DA7AD1">
        <w:rPr>
          <w:vertAlign w:val="superscript"/>
        </w:rPr>
        <w:footnoteReference w:id="9"/>
      </w:r>
      <w:r>
        <w:t>,</w:t>
      </w:r>
    </w:p>
    <w:p w14:paraId="1FF3AF78" w14:textId="77777777" w:rsidR="000F31A2" w:rsidRPr="00DA7AD1" w:rsidRDefault="000F31A2" w:rsidP="00A42625">
      <w:pPr>
        <w:pStyle w:val="Normal12Hanging"/>
      </w:pPr>
      <w:r>
        <w:t>–</w:t>
      </w:r>
      <w:r>
        <w:tab/>
        <w:t>uwzględniając swą rezolucję z dnia 28 października 2015 r. w sprawie strategii UE dla regionu adriatycko-jońskiego</w:t>
      </w:r>
      <w:r w:rsidRPr="00DA7AD1">
        <w:rPr>
          <w:vertAlign w:val="superscript"/>
        </w:rPr>
        <w:footnoteReference w:id="10"/>
      </w:r>
      <w:r>
        <w:t>,</w:t>
      </w:r>
    </w:p>
    <w:p w14:paraId="629F4AD6" w14:textId="77777777" w:rsidR="000F31A2" w:rsidRPr="00DA7AD1" w:rsidRDefault="000F31A2" w:rsidP="00A42625">
      <w:pPr>
        <w:pStyle w:val="Normal12Hanging"/>
      </w:pPr>
      <w:r>
        <w:t>–</w:t>
      </w:r>
      <w:r>
        <w:tab/>
        <w:t>uwzględniając swoją rezolucję z dnia 13 września 2016 r. w sprawie strategii UE na rzecz regionu alpejskiego</w:t>
      </w:r>
      <w:r w:rsidRPr="00DA7AD1">
        <w:rPr>
          <w:vertAlign w:val="superscript"/>
        </w:rPr>
        <w:footnoteReference w:id="11"/>
      </w:r>
      <w:r>
        <w:t>.</w:t>
      </w:r>
    </w:p>
    <w:p w14:paraId="1406CF15" w14:textId="3EF03B1E" w:rsidR="000F31A2" w:rsidRPr="00DA7AD1" w:rsidRDefault="000F31A2" w:rsidP="00A42625">
      <w:pPr>
        <w:pStyle w:val="Normal12Hanging"/>
      </w:pPr>
      <w:r>
        <w:t>–</w:t>
      </w:r>
      <w:r>
        <w:tab/>
        <w:t>uwzględniając badanie ze stycznia 2015 r. zatytułowane „Nowa rola makroregionów w</w:t>
      </w:r>
      <w:r w:rsidR="006525DB">
        <w:t> </w:t>
      </w:r>
      <w:r>
        <w:t>europejskiej współpracy terytorialnej”, opublikowane przez Dyrekcję Generalną ds.</w:t>
      </w:r>
      <w:r w:rsidR="002218B8">
        <w:t> </w:t>
      </w:r>
      <w:r>
        <w:t>Polityki Wewnętrznej PE (Departament Polityczny B: Polityka Strukturalna i</w:t>
      </w:r>
      <w:r w:rsidR="002218B8">
        <w:t> </w:t>
      </w:r>
      <w:r>
        <w:t>Polityka Spójności),</w:t>
      </w:r>
    </w:p>
    <w:p w14:paraId="64431C36" w14:textId="638FAA3E" w:rsidR="000F31A2" w:rsidRPr="00DA7AD1" w:rsidRDefault="000F31A2" w:rsidP="00A42625">
      <w:pPr>
        <w:pStyle w:val="Normal12Hanging"/>
      </w:pPr>
      <w:r>
        <w:t>–</w:t>
      </w:r>
      <w:r>
        <w:tab/>
        <w:t>uwzględniając sprawozdanie Interact z lutego 2017 r. zatytułowane „Wartość dodana strategii makroregionalnych – perspektywa dotycząca programu i projektu”,</w:t>
      </w:r>
    </w:p>
    <w:p w14:paraId="7D9E3DAC" w14:textId="4300C2A0" w:rsidR="000F31A2" w:rsidRPr="00DA7AD1" w:rsidRDefault="000F31A2" w:rsidP="00A42625">
      <w:pPr>
        <w:pStyle w:val="Normal12Hanging"/>
      </w:pPr>
      <w:r>
        <w:t>–</w:t>
      </w:r>
      <w:r>
        <w:tab/>
        <w:t xml:space="preserve">uwzględniając art. 52 Regulaminu, a także art. 1 ust. 1 lit. e) </w:t>
      </w:r>
      <w:r>
        <w:rPr>
          <w:snapToGrid w:val="0"/>
          <w:szCs w:val="24"/>
        </w:rPr>
        <w:t>decyzji Konferencji Przewodniczących z dnia 12 grudnia 2002 r. w sprawie procedury udzielania zgody na sporządzenie sprawozdań z własnej inicjatywy</w:t>
      </w:r>
      <w:r>
        <w:t xml:space="preserve"> i załącznik 3 do tej decyzji,</w:t>
      </w:r>
    </w:p>
    <w:p w14:paraId="3AB0EB91" w14:textId="0A3E77C1" w:rsidR="000F31A2" w:rsidRPr="00DA7AD1" w:rsidRDefault="000F31A2" w:rsidP="00A42625">
      <w:pPr>
        <w:pStyle w:val="Normal12Hanging"/>
      </w:pPr>
      <w:r>
        <w:t>–</w:t>
      </w:r>
      <w:r>
        <w:tab/>
        <w:t>uwzględniając sprawozdanie Komisji Rozwoju Regionalnego oraz opinię Komisji Ochrony Środowiska Naturalnego, Zdrowia Publicznego i Bezpieczeństwa Żywności (A8-0000/2017),</w:t>
      </w:r>
    </w:p>
    <w:p w14:paraId="1EE4EE14" w14:textId="0F375B88" w:rsidR="00625139" w:rsidRPr="00DA7AD1" w:rsidRDefault="00625139" w:rsidP="00A42625">
      <w:pPr>
        <w:pStyle w:val="Normal12Hanging"/>
      </w:pPr>
      <w:r>
        <w:t>A.</w:t>
      </w:r>
      <w:r>
        <w:tab/>
        <w:t>mając na uwadze, że makroregion można zdefiniować jako obszar obejmujący tereny należące do różnych krajów lub regionów, posiadające przynajmniej jedną wspólną cechę lub trudność do przezwyciężenia</w:t>
      </w:r>
      <w:r w:rsidR="0044102D" w:rsidRPr="00DA7AD1">
        <w:rPr>
          <w:rStyle w:val="FootnoteReference"/>
        </w:rPr>
        <w:footnoteReference w:id="12"/>
      </w:r>
      <w:r>
        <w:t>;</w:t>
      </w:r>
    </w:p>
    <w:p w14:paraId="4F8E2EE3" w14:textId="5D33A4FD" w:rsidR="00625139" w:rsidRPr="00DA7AD1" w:rsidRDefault="00625139" w:rsidP="00A42625">
      <w:pPr>
        <w:pStyle w:val="Normal12Hanging"/>
      </w:pPr>
      <w:r>
        <w:t>B.</w:t>
      </w:r>
      <w:r>
        <w:tab/>
        <w:t>mając na uwadze, że strategie makroregionalne mają istotne znaczenie, ponieważ mogą mobilizować podmioty instytucjonalne i społeczeństwo obywatelskie do uczestnictwa w</w:t>
      </w:r>
      <w:r w:rsidR="006525DB">
        <w:t> </w:t>
      </w:r>
      <w:r>
        <w:t>inicjatywach służących realizacji celów polityki UE;</w:t>
      </w:r>
    </w:p>
    <w:p w14:paraId="1CA98818" w14:textId="4A90871F" w:rsidR="00625139" w:rsidRPr="00DA7AD1" w:rsidRDefault="00625139" w:rsidP="00A42625">
      <w:pPr>
        <w:pStyle w:val="Normal12Hanging"/>
      </w:pPr>
      <w:r>
        <w:t>C.</w:t>
      </w:r>
      <w:r>
        <w:tab/>
        <w:t>mając na uwadze, że strategie makroregionalne zapewniają platformę współpracy między państwami członkowskimi UE a państwami trzecimi, podejmowanej w celu rozwiązywania wspólnych problemów oraz wzmacniania więzi współpracy między tymi państwami oraz zwiększania integracji różnych sektorów polityki;</w:t>
      </w:r>
    </w:p>
    <w:p w14:paraId="2ED6BB17" w14:textId="259C8A8D" w:rsidR="00625139" w:rsidRPr="00DA7AD1" w:rsidRDefault="00625139" w:rsidP="00A42625">
      <w:pPr>
        <w:pStyle w:val="Normal12Hanging"/>
      </w:pPr>
      <w:r>
        <w:t>D.</w:t>
      </w:r>
      <w:r>
        <w:tab/>
        <w:t>mając na uwadze, że makroregiony uczestniczą we wdrażaniu długoterminowych, wzajemnie połączonych i przekrojowych zagadnień politycznych;</w:t>
      </w:r>
    </w:p>
    <w:p w14:paraId="7ED427EF" w14:textId="74797ED6" w:rsidR="00625139" w:rsidRPr="00DA7AD1" w:rsidRDefault="00625139" w:rsidP="00A42625">
      <w:pPr>
        <w:pStyle w:val="Normal12Hanging"/>
        <w:rPr>
          <w:szCs w:val="24"/>
        </w:rPr>
      </w:pPr>
      <w:r>
        <w:t>E.</w:t>
      </w:r>
      <w:r>
        <w:tab/>
        <w:t>mając na uwadze, że strategie makroregionalne opierają się na zasadzie trzech „nie” (żadnych nowych środków, żadnych nowych struktur ani żadnych nowych przepisów) w istniejących ramach politycznych UE;</w:t>
      </w:r>
    </w:p>
    <w:p w14:paraId="2C0D0013" w14:textId="77777777" w:rsidR="000321C0" w:rsidRPr="00DA7AD1" w:rsidRDefault="000321C0" w:rsidP="00A42625">
      <w:pPr>
        <w:pStyle w:val="Normal12Hanging"/>
      </w:pPr>
      <w:r>
        <w:t>F.</w:t>
      </w:r>
      <w:r>
        <w:tab/>
        <w:t>mając na uwadze, że wdrażanie strategii makroregionalnych, zwłaszcza na wczesnym etapie, ułatwione jest dzięki mechanizmom współpracy, które istniały już wcześniej;</w:t>
      </w:r>
    </w:p>
    <w:p w14:paraId="09C8A34F" w14:textId="507DB4C6" w:rsidR="000321C0" w:rsidRPr="00DA7AD1" w:rsidRDefault="000321C0" w:rsidP="00A42625">
      <w:pPr>
        <w:pStyle w:val="Normal12Hanging"/>
      </w:pPr>
      <w:r>
        <w:t>G.</w:t>
      </w:r>
      <w:r>
        <w:tab/>
        <w:t>mając na uwadze, że co dwa lata Komisja przyjmuje jedno sprawozdanie z realizacji wszystkich istniejących unijnych strategii makroregionalnych, a następne takie sprawozdanie ma się ukazać pod koniec 2018 r.;</w:t>
      </w:r>
    </w:p>
    <w:p w14:paraId="712DCF55" w14:textId="77777777" w:rsidR="000F31A2" w:rsidRPr="00DA7AD1" w:rsidRDefault="000F31A2" w:rsidP="00A42625">
      <w:pPr>
        <w:pStyle w:val="Normal12Hanging"/>
        <w:rPr>
          <w:b/>
          <w:i/>
          <w:szCs w:val="24"/>
        </w:rPr>
      </w:pPr>
      <w:r>
        <w:rPr>
          <w:b/>
          <w:i/>
          <w:szCs w:val="24"/>
        </w:rPr>
        <w:t>Strategie makroregionalne jako platformy współpracy i koordynacji</w:t>
      </w:r>
    </w:p>
    <w:p w14:paraId="0577F495" w14:textId="1CD68BC2" w:rsidR="00625139" w:rsidRPr="00DA7AD1" w:rsidRDefault="00625139" w:rsidP="00A42625">
      <w:pPr>
        <w:pStyle w:val="Normal12Hanging"/>
        <w:rPr>
          <w:rFonts w:eastAsia="Calibri"/>
          <w:szCs w:val="24"/>
        </w:rPr>
      </w:pPr>
      <w:r>
        <w:t>1.</w:t>
      </w:r>
      <w:r>
        <w:tab/>
        <w:t>proces globalizacji uwypukla znaczenie strategii makroregionalnych; sprawił on, że poszczególne państwa są od siebie zależne i niezbędne jest znalezienie rozwiązań łączących się z tym procesem problemów transgranicznych;</w:t>
      </w:r>
    </w:p>
    <w:p w14:paraId="65EE9F9D" w14:textId="5EB91F84" w:rsidR="00625139" w:rsidRPr="00DA7AD1" w:rsidRDefault="00625139" w:rsidP="00A42625">
      <w:pPr>
        <w:pStyle w:val="Normal12Hanging"/>
        <w:rPr>
          <w:szCs w:val="24"/>
        </w:rPr>
      </w:pPr>
      <w:r>
        <w:t>2.</w:t>
      </w:r>
      <w:r>
        <w:tab/>
        <w:t>uznaje, że takie elementy, jak zaangażowanie, odpowiedzialność, zasoby i sprawowanie rządów nadal sprawiają – choć w różnym stopniu – trudności w dążeniu do realizacji wcześniej określonych celów;</w:t>
      </w:r>
    </w:p>
    <w:p w14:paraId="0E6E3FAD" w14:textId="2E5BA95B" w:rsidR="00625139" w:rsidRPr="00DA7AD1" w:rsidRDefault="00625139" w:rsidP="00A42625">
      <w:pPr>
        <w:pStyle w:val="Normal12Hanging"/>
        <w:rPr>
          <w:szCs w:val="24"/>
        </w:rPr>
      </w:pPr>
      <w:r>
        <w:t>3.</w:t>
      </w:r>
      <w:r>
        <w:tab/>
        <w:t>podkreśla, że strategie makroregionalne nadal wnoszą nieoceniony wkład we współpracę transgraniczną, międzysektorową i wielopoziomową w Europie;</w:t>
      </w:r>
    </w:p>
    <w:p w14:paraId="368D8A11" w14:textId="4A02B0B1" w:rsidR="00625139" w:rsidRPr="00DA7AD1" w:rsidRDefault="00625139" w:rsidP="00A42625">
      <w:pPr>
        <w:pStyle w:val="Normal12Hanging"/>
        <w:rPr>
          <w:szCs w:val="24"/>
        </w:rPr>
      </w:pPr>
      <w:r>
        <w:t>4.</w:t>
      </w:r>
      <w:r>
        <w:tab/>
        <w:t>jest zdania, że wielopoziomowe sprawowanie rządów powinno stanowić część wszystkich strategii makroregionalnych od etapu ich projektowania;</w:t>
      </w:r>
    </w:p>
    <w:p w14:paraId="6EF68D2F" w14:textId="30AA8139" w:rsidR="00625139" w:rsidRPr="00DA7AD1" w:rsidRDefault="00625139" w:rsidP="00A42625">
      <w:pPr>
        <w:pStyle w:val="Normal12Hanging"/>
        <w:rPr>
          <w:szCs w:val="24"/>
        </w:rPr>
      </w:pPr>
      <w:r>
        <w:t>5.</w:t>
      </w:r>
      <w:r>
        <w:tab/>
        <w:t>zachęca do poprawy koordynacji i partnerstwa między różnymi podmiotami i</w:t>
      </w:r>
      <w:r w:rsidR="006525DB">
        <w:t> </w:t>
      </w:r>
      <w:r>
        <w:t>strategiami politycznymi na szczeblu krajowym i regionalnym w celu ułatwienia wdrażania strategii makroregionalnych;</w:t>
      </w:r>
    </w:p>
    <w:p w14:paraId="03932A35" w14:textId="77777777" w:rsidR="00625139" w:rsidRPr="00DA7AD1" w:rsidRDefault="00625139" w:rsidP="00A42625">
      <w:pPr>
        <w:pStyle w:val="Normal12Hanging"/>
        <w:rPr>
          <w:szCs w:val="24"/>
        </w:rPr>
      </w:pPr>
      <w:r>
        <w:t>6.</w:t>
      </w:r>
      <w:r>
        <w:tab/>
        <w:t>podkreśla znaczenie rozwijania zdolności administracyjnej w celu zapewnienia skutecznego wdrożenia strategii;</w:t>
      </w:r>
    </w:p>
    <w:p w14:paraId="3FC6D68C" w14:textId="73239D51" w:rsidR="00625139" w:rsidRPr="00DA7AD1" w:rsidRDefault="00625139" w:rsidP="00A42625">
      <w:pPr>
        <w:pStyle w:val="Normal12Hanging"/>
        <w:rPr>
          <w:szCs w:val="24"/>
        </w:rPr>
      </w:pPr>
      <w:r>
        <w:t>7.</w:t>
      </w:r>
      <w:r>
        <w:tab/>
        <w:t>podkreśla, że strategie makroregionalne muszą być wystarczająco elastyczne i</w:t>
      </w:r>
      <w:r w:rsidR="006525DB">
        <w:t> </w:t>
      </w:r>
      <w:r>
        <w:t>dostosowane tak, by mogły reagować na nieprzewidziane wydarzenia, które mogą mieć wpływ na biorące w nich udział regiony i ogólnie na UE; zwraca uwagę, że pod tym kątem istotne jest, by Komisja odgrywała rolę koordynacyjną;</w:t>
      </w:r>
    </w:p>
    <w:p w14:paraId="4A21818A" w14:textId="77777777" w:rsidR="000F31A2" w:rsidRPr="00DA7AD1" w:rsidRDefault="000F31A2" w:rsidP="00A42625">
      <w:pPr>
        <w:pStyle w:val="Normal12Hanging"/>
        <w:rPr>
          <w:b/>
          <w:i/>
          <w:szCs w:val="24"/>
        </w:rPr>
      </w:pPr>
      <w:r>
        <w:rPr>
          <w:b/>
          <w:i/>
          <w:szCs w:val="24"/>
        </w:rPr>
        <w:t>Strategia UE dla regionu Morza Bałtyckiego (EUSBRS)</w:t>
      </w:r>
    </w:p>
    <w:p w14:paraId="02736C52" w14:textId="1DA0A547" w:rsidR="00625139" w:rsidRPr="00DA7AD1" w:rsidRDefault="00C85F4C" w:rsidP="00A42625">
      <w:pPr>
        <w:pStyle w:val="Normal12Hanging"/>
        <w:rPr>
          <w:szCs w:val="24"/>
        </w:rPr>
      </w:pPr>
      <w:r>
        <w:t>8.</w:t>
      </w:r>
      <w:r>
        <w:tab/>
        <w:t>z zadowoleniem przyjmuje wyniki osiągnięte od uruchomienia strategii w 2009 r., zwłaszcza w odniesieniu do mechanizmów koordynacji działających nie tylko pomiędzy uczestniczącymi państwami, ale także w samych tych państwach;</w:t>
      </w:r>
    </w:p>
    <w:p w14:paraId="210F2975" w14:textId="128176EF" w:rsidR="00625139" w:rsidRPr="00DA7AD1" w:rsidRDefault="00C85F4C" w:rsidP="00A42625">
      <w:pPr>
        <w:pStyle w:val="Normal12Hanging"/>
        <w:rPr>
          <w:szCs w:val="24"/>
        </w:rPr>
      </w:pPr>
      <w:r>
        <w:t>9.</w:t>
      </w:r>
      <w:r>
        <w:tab/>
        <w:t>zwraca uwagę na nadal aktualne wyzwania, zwłaszcza te związane ze środowiskiem i</w:t>
      </w:r>
      <w:r w:rsidR="006525DB">
        <w:t> </w:t>
      </w:r>
      <w:r>
        <w:t>jakością sieci połączeń; wzywa państwa uczestniczące do wzmożenia wysiłków w celu rozwiązania problemu zanieczyszczenia Morza Bałtyckiego;</w:t>
      </w:r>
    </w:p>
    <w:p w14:paraId="5DB632AA" w14:textId="5578911E" w:rsidR="00625139" w:rsidRPr="00DA7AD1" w:rsidRDefault="00C85F4C" w:rsidP="00A42625">
      <w:pPr>
        <w:pStyle w:val="Normal12Hanging"/>
        <w:rPr>
          <w:szCs w:val="24"/>
        </w:rPr>
      </w:pPr>
      <w:r>
        <w:t>10.</w:t>
      </w:r>
      <w:r>
        <w:tab/>
        <w:t>zwraca uwagę na pozytywny przykład strategii komunikacji EUSBRS; podkreśla, że w</w:t>
      </w:r>
      <w:r w:rsidR="006525DB">
        <w:t> </w:t>
      </w:r>
      <w:r>
        <w:t>celu zwiększenia oddziaływania strategii komunikacji należy dążyć do tego, by strategie te wspierane były również na poziomie krajowym i regionalnym;</w:t>
      </w:r>
    </w:p>
    <w:p w14:paraId="31C28757" w14:textId="77777777" w:rsidR="000F31A2" w:rsidRPr="00DA7AD1" w:rsidRDefault="000F31A2" w:rsidP="00A42625">
      <w:pPr>
        <w:pStyle w:val="Normal12Hanging"/>
        <w:rPr>
          <w:b/>
          <w:i/>
          <w:szCs w:val="24"/>
        </w:rPr>
      </w:pPr>
      <w:r>
        <w:rPr>
          <w:b/>
          <w:i/>
          <w:szCs w:val="24"/>
        </w:rPr>
        <w:t>Strategia UE dla regionu Dunaju (EUSDR)</w:t>
      </w:r>
    </w:p>
    <w:p w14:paraId="0ECED772" w14:textId="77777777" w:rsidR="00625139" w:rsidRPr="00DA7AD1" w:rsidRDefault="00C85F4C" w:rsidP="00A42625">
      <w:pPr>
        <w:pStyle w:val="Normal12Hanging"/>
        <w:rPr>
          <w:rFonts w:eastAsia="Calibri"/>
          <w:szCs w:val="24"/>
        </w:rPr>
      </w:pPr>
      <w:r>
        <w:t>11.</w:t>
      </w:r>
      <w:r>
        <w:tab/>
        <w:t>podkreśla pozytywny wpływ, jaki strategia ta ma na współpracę między państwami uczestniczącymi;</w:t>
      </w:r>
    </w:p>
    <w:p w14:paraId="302BE4CA" w14:textId="528D4633" w:rsidR="00625139" w:rsidRPr="00DA7AD1" w:rsidRDefault="00C85F4C" w:rsidP="00A42625">
      <w:pPr>
        <w:pStyle w:val="Normal12Hanging"/>
        <w:rPr>
          <w:szCs w:val="24"/>
        </w:rPr>
      </w:pPr>
      <w:r>
        <w:t>12.</w:t>
      </w:r>
      <w:r>
        <w:tab/>
        <w:t>uważa, że dialog na temat finansowania w regionie Dunaju jest dobitnym, pozytywnym przykładem sposobu przezwyciężania trudności w finansowaniu, które są przeszkodą, z</w:t>
      </w:r>
      <w:r w:rsidR="006525DB">
        <w:t> </w:t>
      </w:r>
      <w:r>
        <w:t>jaką projekty o znaczeniu ponadnarodowym często się borykają;</w:t>
      </w:r>
    </w:p>
    <w:p w14:paraId="1EF4F1F3" w14:textId="5644A804" w:rsidR="00625139" w:rsidRPr="00DA7AD1" w:rsidRDefault="00C85F4C" w:rsidP="00A42625">
      <w:pPr>
        <w:pStyle w:val="Normal12Hanging"/>
        <w:rPr>
          <w:szCs w:val="24"/>
        </w:rPr>
      </w:pPr>
      <w:r>
        <w:t>13.</w:t>
      </w:r>
      <w:r>
        <w:tab/>
        <w:t>podkreśla, że istotne jest, by utrzymać wysoki poziom wsparcia politycznego i</w:t>
      </w:r>
      <w:r w:rsidR="006525DB">
        <w:t> </w:t>
      </w:r>
      <w:r>
        <w:t>zwiększyć zasoby i zdolności w celu zmierzenia się z pozostałymi do rozwiązania problemami;</w:t>
      </w:r>
    </w:p>
    <w:p w14:paraId="35F2C594" w14:textId="77777777" w:rsidR="000F31A2" w:rsidRPr="00DA7AD1" w:rsidRDefault="000F31A2" w:rsidP="00A42625">
      <w:pPr>
        <w:pStyle w:val="Normal12Hanging"/>
        <w:rPr>
          <w:b/>
          <w:i/>
          <w:szCs w:val="24"/>
        </w:rPr>
      </w:pPr>
      <w:r>
        <w:rPr>
          <w:b/>
          <w:i/>
          <w:szCs w:val="24"/>
        </w:rPr>
        <w:t>Strategia UE na rzecz regionu Morza Adriatyckiego i Morza Jońskiego (EUSAIR)</w:t>
      </w:r>
    </w:p>
    <w:p w14:paraId="3D92917D" w14:textId="38AA868D" w:rsidR="00C85F4C" w:rsidRPr="00DA7AD1" w:rsidRDefault="00C85F4C" w:rsidP="00A42625">
      <w:pPr>
        <w:pStyle w:val="Normal12Hanging"/>
        <w:rPr>
          <w:rFonts w:eastAsia="Calibri"/>
          <w:szCs w:val="24"/>
        </w:rPr>
      </w:pPr>
      <w:r>
        <w:t>14.</w:t>
      </w:r>
      <w:r>
        <w:tab/>
        <w:t>podkreśla odmienny charakter EUSAIR wynikający z liczby potencjalnych państw uczestniczących i państw, które już ubiegają się o uczestnictwo, oraz uważa, że ta formuła współpracy może być doskonałym źródłem możliwości dla całego regionu;</w:t>
      </w:r>
    </w:p>
    <w:p w14:paraId="3AE43044" w14:textId="1E6AA154" w:rsidR="00C85F4C" w:rsidRPr="00DA7AD1" w:rsidRDefault="00C85F4C" w:rsidP="00A42625">
      <w:pPr>
        <w:pStyle w:val="Normal12Hanging"/>
        <w:rPr>
          <w:szCs w:val="24"/>
        </w:rPr>
      </w:pPr>
      <w:r>
        <w:t>15.</w:t>
      </w:r>
      <w:r>
        <w:tab/>
        <w:t>zauważa z niepokojem utrzymujące się problemy związane z dostępnością zasobów, ze sprawowaniem rządów oraz odpowiedzialnością, które są przeszkodą w pełnej realizacji celów strategii;</w:t>
      </w:r>
    </w:p>
    <w:p w14:paraId="5F1C81F5" w14:textId="77777777" w:rsidR="00C85F4C" w:rsidRPr="00DA7AD1" w:rsidRDefault="00C85F4C" w:rsidP="00A42625">
      <w:pPr>
        <w:pStyle w:val="Normal12Hanging"/>
        <w:rPr>
          <w:szCs w:val="24"/>
        </w:rPr>
      </w:pPr>
      <w:r>
        <w:t>16.</w:t>
      </w:r>
      <w:r>
        <w:tab/>
        <w:t>podkreśla, że region ten został w ostatnich latach w szczególny sposób dotknięty kryzysem migracyjnym; uważa, że EUSAIR mogłaby przyczynić się do złagodzenia tych problemów;</w:t>
      </w:r>
    </w:p>
    <w:p w14:paraId="63B28B5D" w14:textId="77777777" w:rsidR="000F31A2" w:rsidRPr="00DA7AD1" w:rsidRDefault="000F31A2" w:rsidP="00A42625">
      <w:pPr>
        <w:pStyle w:val="Normal12Hanging"/>
        <w:rPr>
          <w:b/>
          <w:i/>
          <w:szCs w:val="24"/>
        </w:rPr>
      </w:pPr>
      <w:r>
        <w:rPr>
          <w:b/>
          <w:i/>
          <w:szCs w:val="24"/>
        </w:rPr>
        <w:t>Strategia UE na rzecz regionu alpejskiego (EUSALP)</w:t>
      </w:r>
    </w:p>
    <w:p w14:paraId="5399562F" w14:textId="7C56B136" w:rsidR="00C85F4C" w:rsidRPr="00DA7AD1" w:rsidRDefault="00C85F4C" w:rsidP="00A42625">
      <w:pPr>
        <w:pStyle w:val="Normal12Hanging"/>
        <w:rPr>
          <w:rFonts w:eastAsia="Calibri"/>
          <w:szCs w:val="24"/>
        </w:rPr>
      </w:pPr>
      <w:r>
        <w:t>17.</w:t>
      </w:r>
      <w:r>
        <w:tab/>
        <w:t>jest zdania, że EUSALP jest dowodem na to, że koncepcja makroregionalna może mieć zastosowanie również w przypadku lepiej rozwiniętych regionów;</w:t>
      </w:r>
    </w:p>
    <w:p w14:paraId="3C8C3C64" w14:textId="1A0921D0" w:rsidR="00C85F4C" w:rsidRPr="00DA7AD1" w:rsidRDefault="00C85F4C" w:rsidP="00A42625">
      <w:pPr>
        <w:pStyle w:val="Normal12Hanging"/>
        <w:rPr>
          <w:szCs w:val="24"/>
        </w:rPr>
      </w:pPr>
      <w:r>
        <w:t>18.</w:t>
      </w:r>
      <w:r>
        <w:tab/>
        <w:t>z zadowoleniem przyjmuje wprowadzaną obecnie strukturę zarządczą tej strategii;</w:t>
      </w:r>
    </w:p>
    <w:p w14:paraId="6AF590B5" w14:textId="24D96DF7" w:rsidR="00C85F4C" w:rsidRPr="00DA7AD1" w:rsidRDefault="00C85F4C" w:rsidP="00A42625">
      <w:pPr>
        <w:pStyle w:val="Normal12Hanging"/>
        <w:rPr>
          <w:szCs w:val="24"/>
        </w:rPr>
      </w:pPr>
      <w:r>
        <w:t>19.</w:t>
      </w:r>
      <w:r>
        <w:tab/>
        <w:t>podkreśla, że EUSALP można postrzegać jako dobry przykład wzorcowej strategii na rzecz spójności terytorialnej, ponieważ łączy ona różne specyficzne obszary, tereny produkcyjne, obszary górskie i wiejskie, a także kilka najważniejszych miast UE;</w:t>
      </w:r>
    </w:p>
    <w:p w14:paraId="20693F30" w14:textId="4BEB0157" w:rsidR="000F31A2" w:rsidRPr="00DA7AD1" w:rsidRDefault="00D068BE" w:rsidP="00A42625">
      <w:pPr>
        <w:pStyle w:val="Normal12Hanging"/>
        <w:rPr>
          <w:b/>
          <w:i/>
          <w:szCs w:val="24"/>
        </w:rPr>
      </w:pPr>
      <w:r>
        <w:t>20.</w:t>
      </w:r>
      <w:r>
        <w:tab/>
        <w:t>podkreśla, że obszar regionu alpejskiego znaczą liczne granice, a EUSALP może również zapewnić możliwość wzmocnienia współpracy transgranicznej, tworzenia powiązań i sieci między ludźmi i usuwania istniejących granic i barier, z jakimi borykają się pracownicy i działalność gospodarcza;</w:t>
      </w:r>
    </w:p>
    <w:p w14:paraId="00A9DF12" w14:textId="77777777" w:rsidR="000F31A2" w:rsidRPr="00DA7AD1" w:rsidRDefault="000F31A2" w:rsidP="00A42625">
      <w:pPr>
        <w:pStyle w:val="Normal12Hanging"/>
        <w:rPr>
          <w:b/>
          <w:i/>
          <w:szCs w:val="24"/>
        </w:rPr>
      </w:pPr>
      <w:r>
        <w:rPr>
          <w:b/>
          <w:i/>
          <w:szCs w:val="24"/>
        </w:rPr>
        <w:t>Makroregionalna Europa w okresie po 2020 r.?</w:t>
      </w:r>
    </w:p>
    <w:p w14:paraId="0FDF65B9" w14:textId="315EA508" w:rsidR="00D068BE" w:rsidRPr="00DA7AD1" w:rsidRDefault="00D068BE" w:rsidP="00A42625">
      <w:pPr>
        <w:pStyle w:val="Normal12Hanging"/>
        <w:rPr>
          <w:szCs w:val="24"/>
        </w:rPr>
      </w:pPr>
      <w:r>
        <w:t>21.</w:t>
      </w:r>
      <w:r>
        <w:tab/>
        <w:t>wskazuje na to, że strategie makroregionalne przynoszą owoce, jeśli są zanurzone w</w:t>
      </w:r>
      <w:r w:rsidR="006525DB">
        <w:t> </w:t>
      </w:r>
      <w:r>
        <w:t>długoterminowej perspektywie politycznej i są zorganizowane w taki sposób, że wszystkie zainteresowane strony są od samego początku skutecznie reprezentowane;</w:t>
      </w:r>
    </w:p>
    <w:p w14:paraId="084E15D2" w14:textId="429400EA" w:rsidR="00D068BE" w:rsidRPr="00DA7AD1" w:rsidRDefault="00D068BE" w:rsidP="00A42625">
      <w:pPr>
        <w:pStyle w:val="Normal12Hanging"/>
        <w:rPr>
          <w:szCs w:val="24"/>
        </w:rPr>
      </w:pPr>
      <w:r>
        <w:t>22.</w:t>
      </w:r>
      <w:r>
        <w:tab/>
        <w:t>uważa, że wdrażanie tej strategii może być pomyślne jedynie, jeśli oparte będzie na skutecznych strukturach koordynacji i współpracy oraz poparte odpowiednim finansowaniem; w tym kontekście podkreśla potrzebę dążenia do synergii i</w:t>
      </w:r>
      <w:r w:rsidR="006525DB">
        <w:t> </w:t>
      </w:r>
      <w:r>
        <w:t>komplementarności między finansowaniem regionalnym i krajowym a unijnymi instrumentami finansowania;</w:t>
      </w:r>
    </w:p>
    <w:p w14:paraId="36A7CD54" w14:textId="37629D11" w:rsidR="00D068BE" w:rsidRPr="00DA7AD1" w:rsidRDefault="00D068BE" w:rsidP="00A42625">
      <w:pPr>
        <w:pStyle w:val="Normal12Hanging"/>
        <w:rPr>
          <w:szCs w:val="24"/>
        </w:rPr>
      </w:pPr>
      <w:r>
        <w:t>23.</w:t>
      </w:r>
      <w:r>
        <w:tab/>
        <w:t>proponuje, by państwa uczestniczące od początku podejmowały wyraźne zobowiązania w zakresie finansowania;</w:t>
      </w:r>
    </w:p>
    <w:p w14:paraId="5E7CDBE7" w14:textId="26D4D5FB" w:rsidR="00D068BE" w:rsidRPr="00DA7AD1" w:rsidRDefault="00D068BE" w:rsidP="00A42625">
      <w:pPr>
        <w:pStyle w:val="Normal12Hanging"/>
        <w:rPr>
          <w:szCs w:val="24"/>
        </w:rPr>
      </w:pPr>
      <w:r>
        <w:t>24.</w:t>
      </w:r>
      <w:r>
        <w:tab/>
        <w:t>podkreśla, że niezbędne jest podejście w większym stopniu skoncentrowane na wynikach, aby uzasadnić inwestowanie środków, które z kolei powinny być proporcjonalne do obranych celów;</w:t>
      </w:r>
    </w:p>
    <w:p w14:paraId="770D20E7" w14:textId="06B4771E" w:rsidR="00D068BE" w:rsidRPr="00DA7AD1" w:rsidRDefault="00D068BE" w:rsidP="00A42625">
      <w:pPr>
        <w:pStyle w:val="Normal12Hanging"/>
        <w:rPr>
          <w:szCs w:val="24"/>
        </w:rPr>
      </w:pPr>
      <w:r>
        <w:t>25.</w:t>
      </w:r>
      <w:r>
        <w:tab/>
        <w:t>apeluje o to, by wszystkie kwestie związane ze strategiami makroregionalnymi, jak odpowiedzialność i niezbędne zachęty polityczne, były podejmowane we właściwy sposób;</w:t>
      </w:r>
    </w:p>
    <w:p w14:paraId="4DB44503" w14:textId="5E1B197C" w:rsidR="00D068BE" w:rsidRPr="00DA7AD1" w:rsidRDefault="00D068BE" w:rsidP="00A42625">
      <w:pPr>
        <w:pStyle w:val="Normal12Hanging"/>
        <w:rPr>
          <w:szCs w:val="24"/>
        </w:rPr>
      </w:pPr>
      <w:r>
        <w:t>26.</w:t>
      </w:r>
      <w:r>
        <w:tab/>
        <w:t>jest zdania, że należy zwiększyć widoczność działań makroregionów oraz wiedzę na ich temat;</w:t>
      </w:r>
    </w:p>
    <w:p w14:paraId="17C8711D" w14:textId="20B0CD96" w:rsidR="007034A9" w:rsidRPr="00DA7AD1" w:rsidRDefault="007034A9" w:rsidP="00A42625">
      <w:pPr>
        <w:pStyle w:val="Normal12Hanging"/>
        <w:rPr>
          <w:szCs w:val="24"/>
        </w:rPr>
      </w:pPr>
      <w:r>
        <w:t>27.</w:t>
      </w:r>
      <w:r>
        <w:tab/>
        <w:t>podkreśla, że planowanie i przegląd celów powinny być dostosowane do okresów programowania wieloletnich ram finansowych, tak aby wzmocnić związek z</w:t>
      </w:r>
      <w:r w:rsidR="006525DB">
        <w:t> </w:t>
      </w:r>
      <w:r>
        <w:t>priorytetami UE;</w:t>
      </w:r>
    </w:p>
    <w:p w14:paraId="7FA82406" w14:textId="77777777" w:rsidR="007034A9" w:rsidRPr="00DA7AD1" w:rsidRDefault="007034A9" w:rsidP="00A42625">
      <w:pPr>
        <w:pStyle w:val="Normal12Hanging"/>
        <w:rPr>
          <w:szCs w:val="24"/>
        </w:rPr>
      </w:pPr>
      <w:r>
        <w:t>28.</w:t>
      </w:r>
      <w:r>
        <w:tab/>
        <w:t>apeluje do Komisji o to, by ramach kolejnego sprawozdania w sprawie wdrażania strategii makroregionalnych, które ma się ukazać w 2018 r., przeprowadziła głębszą analizę, skupiając się przede wszystkim na:</w:t>
      </w:r>
    </w:p>
    <w:p w14:paraId="707AE6C0" w14:textId="2FBB6E38" w:rsidR="007034A9" w:rsidRPr="00DA7AD1" w:rsidRDefault="00891467" w:rsidP="00A42625">
      <w:pPr>
        <w:pStyle w:val="Normal12Hanging"/>
        <w:ind w:left="1437" w:hanging="360"/>
        <w:rPr>
          <w:szCs w:val="24"/>
        </w:rPr>
      </w:pPr>
      <w:r>
        <w:t>a)</w:t>
      </w:r>
      <w:r>
        <w:tab/>
        <w:t xml:space="preserve">skuteczności realizowanych w ramach europejskiej współpracy terytorialnej transnarodowych programów w dostarczaniu strategiom makroregionalnym finansowania i strategicznego impulsu; </w:t>
      </w:r>
    </w:p>
    <w:p w14:paraId="35F3353C" w14:textId="57AE48C9" w:rsidR="007034A9" w:rsidRPr="00DA7AD1" w:rsidRDefault="00891467" w:rsidP="00A42625">
      <w:pPr>
        <w:pStyle w:val="Normal12Hanging"/>
        <w:ind w:left="1437" w:hanging="360"/>
        <w:rPr>
          <w:szCs w:val="24"/>
        </w:rPr>
      </w:pPr>
      <w:r>
        <w:t>b)</w:t>
      </w:r>
      <w:r>
        <w:tab/>
        <w:t>wskaźnikach, które można by włączyć do poszczególnych strategii makroregionalnych w celu umożliwienia większego zorientowania na wyniki i</w:t>
      </w:r>
      <w:r w:rsidR="006525DB">
        <w:t> </w:t>
      </w:r>
      <w:r>
        <w:t>monitorowania;</w:t>
      </w:r>
    </w:p>
    <w:p w14:paraId="4E4DFE69" w14:textId="77777777" w:rsidR="007034A9" w:rsidRPr="00DA7AD1" w:rsidRDefault="00891467" w:rsidP="00A42625">
      <w:pPr>
        <w:pStyle w:val="Normal12Hanging"/>
        <w:ind w:left="924" w:firstLine="153"/>
        <w:rPr>
          <w:szCs w:val="24"/>
        </w:rPr>
      </w:pPr>
      <w:r>
        <w:t>c)</w:t>
      </w:r>
      <w:r>
        <w:tab/>
        <w:t>środkach służących zwiększeniu związku z priorytetami UE;</w:t>
      </w:r>
    </w:p>
    <w:p w14:paraId="2125E427" w14:textId="77777777" w:rsidR="007034A9" w:rsidRPr="00DA7AD1" w:rsidRDefault="007034A9" w:rsidP="00A42625">
      <w:pPr>
        <w:pStyle w:val="Normal12Hanging"/>
        <w:ind w:left="771" w:firstLine="306"/>
        <w:rPr>
          <w:szCs w:val="24"/>
        </w:rPr>
      </w:pPr>
      <w:r>
        <w:t>d)</w:t>
      </w:r>
      <w:r>
        <w:tab/>
        <w:t>uproszczeniu wdrażana i integracji systemów finansowania;</w:t>
      </w:r>
    </w:p>
    <w:p w14:paraId="45AE761F" w14:textId="77777777" w:rsidR="007034A9" w:rsidRPr="00DA7AD1" w:rsidRDefault="007034A9" w:rsidP="00A42625">
      <w:pPr>
        <w:pStyle w:val="Normal12Hanging"/>
        <w:rPr>
          <w:szCs w:val="24"/>
        </w:rPr>
      </w:pPr>
      <w:r>
        <w:t>29.</w:t>
      </w:r>
      <w:r>
        <w:tab/>
        <w:t>podkreśla, że aby móc stawić czoła pojawiającym się nowym wyzwaniom w danych obszarach geograficznych, niezbędne jest dokładne zbadanie inicjatyw mających na celu utworzenie nowych strategii makroregionalnych;</w:t>
      </w:r>
    </w:p>
    <w:p w14:paraId="50F667D1" w14:textId="19052227" w:rsidR="007034A9" w:rsidRPr="00DA7AD1" w:rsidRDefault="007034A9" w:rsidP="00A42625">
      <w:pPr>
        <w:pStyle w:val="Normal12Hanging"/>
        <w:rPr>
          <w:szCs w:val="24"/>
        </w:rPr>
      </w:pPr>
      <w:r>
        <w:t>30.</w:t>
      </w:r>
      <w:r>
        <w:tab/>
        <w:t>wzywa Komisję do zaproszenia Parlamentu do uczestniczenia w roli obserwatora w</w:t>
      </w:r>
      <w:r w:rsidR="006525DB">
        <w:t> </w:t>
      </w:r>
      <w:r>
        <w:t>pracach grupy wysokiego szczebla ds. strategii makroregionalnych;</w:t>
      </w:r>
    </w:p>
    <w:p w14:paraId="18955241" w14:textId="338149B3" w:rsidR="00582508" w:rsidRPr="00DA7AD1" w:rsidRDefault="00582508" w:rsidP="00A42625">
      <w:pPr>
        <w:pStyle w:val="Normal12Hanging"/>
        <w:jc w:val="center"/>
        <w:rPr>
          <w:szCs w:val="24"/>
        </w:rPr>
      </w:pPr>
      <w:r>
        <w:t>o</w:t>
      </w:r>
    </w:p>
    <w:p w14:paraId="01F539D0" w14:textId="4E7FF16F" w:rsidR="00582508" w:rsidRPr="00DA7AD1" w:rsidRDefault="00582508" w:rsidP="00A42625">
      <w:pPr>
        <w:pStyle w:val="Normal12Hanging"/>
        <w:jc w:val="center"/>
        <w:rPr>
          <w:szCs w:val="24"/>
        </w:rPr>
      </w:pPr>
      <w:r>
        <w:t>o</w:t>
      </w:r>
      <w:r>
        <w:tab/>
      </w:r>
      <w:r>
        <w:tab/>
        <w:t>o</w:t>
      </w:r>
    </w:p>
    <w:p w14:paraId="17F98DA0" w14:textId="25081F2F" w:rsidR="007034A9" w:rsidRPr="00DA7AD1" w:rsidRDefault="007034A9" w:rsidP="00A42625">
      <w:pPr>
        <w:pStyle w:val="Normal12Hanging"/>
        <w:rPr>
          <w:szCs w:val="24"/>
        </w:rPr>
      </w:pPr>
      <w:r>
        <w:t>31.</w:t>
      </w:r>
      <w:r>
        <w:tab/>
        <w:t>zobowiązuje swojego przewodniczącego do przekazania niniejszej rezolucji Radzie, Komisji, Europejskiemu Komitetowi Regionów, Europejskiemu Komitetowi Ekonomiczno-Społecznemu, a także rządom oraz narodowym i regionalnym parlamentom państw członkowskich i państw trzecich uczestniczących w strategiach makroregionalnych.</w:t>
      </w:r>
    </w:p>
    <w:sectPr w:rsidR="007034A9" w:rsidRPr="00DA7AD1" w:rsidSect="00086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7C235" w14:textId="77777777" w:rsidR="008B16BB" w:rsidRPr="00DA7AD1" w:rsidRDefault="008B16BB">
      <w:r w:rsidRPr="00DA7AD1">
        <w:separator/>
      </w:r>
    </w:p>
  </w:endnote>
  <w:endnote w:type="continuationSeparator" w:id="0">
    <w:p w14:paraId="4019223F" w14:textId="77777777" w:rsidR="008B16BB" w:rsidRPr="00DA7AD1" w:rsidRDefault="008B16BB">
      <w:r w:rsidRPr="00DA7A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183C" w14:textId="77777777" w:rsidR="000863E9" w:rsidRPr="006525DB" w:rsidRDefault="000863E9" w:rsidP="000863E9">
    <w:pPr>
      <w:pStyle w:val="Footer"/>
      <w:rPr>
        <w:lang w:val="fr-FR"/>
      </w:rPr>
    </w:pPr>
    <w:r w:rsidRPr="006525DB">
      <w:rPr>
        <w:lang w:val="fr-FR"/>
      </w:rPr>
      <w:t>PE</w:t>
    </w:r>
    <w:r w:rsidRPr="006525DB">
      <w:rPr>
        <w:rStyle w:val="HideTWBExt"/>
        <w:noProof w:val="0"/>
        <w:lang w:val="fr-FR"/>
      </w:rPr>
      <w:t>&lt;NoPE&gt;</w:t>
    </w:r>
    <w:r w:rsidRPr="006525DB">
      <w:rPr>
        <w:lang w:val="fr-FR"/>
      </w:rPr>
      <w:t>604.868</w:t>
    </w:r>
    <w:r w:rsidRPr="006525DB">
      <w:rPr>
        <w:rStyle w:val="HideTWBExt"/>
        <w:noProof w:val="0"/>
        <w:lang w:val="fr-FR"/>
      </w:rPr>
      <w:t>&lt;/NoPE&gt;&lt;Version&gt;</w:t>
    </w:r>
    <w:r w:rsidRPr="006525DB">
      <w:rPr>
        <w:lang w:val="fr-FR"/>
      </w:rPr>
      <w:t>v01-00</w:t>
    </w:r>
    <w:r w:rsidRPr="006525DB">
      <w:rPr>
        <w:rStyle w:val="HideTWBExt"/>
        <w:noProof w:val="0"/>
        <w:lang w:val="fr-FR"/>
      </w:rPr>
      <w:t>&lt;/Version&gt;</w:t>
    </w:r>
    <w:r w:rsidRPr="006525DB">
      <w:rPr>
        <w:lang w:val="fr-FR"/>
      </w:rPr>
      <w:tab/>
    </w:r>
    <w:r w:rsidRPr="00DA7AD1">
      <w:fldChar w:fldCharType="begin"/>
    </w:r>
    <w:r w:rsidRPr="006525DB">
      <w:rPr>
        <w:lang w:val="fr-FR"/>
      </w:rPr>
      <w:instrText xml:space="preserve"> PAGE  \* MERGEFORMAT </w:instrText>
    </w:r>
    <w:r w:rsidRPr="00DA7AD1">
      <w:fldChar w:fldCharType="separate"/>
    </w:r>
    <w:r w:rsidR="002218B8">
      <w:rPr>
        <w:noProof/>
        <w:lang w:val="fr-FR"/>
      </w:rPr>
      <w:t>4</w:t>
    </w:r>
    <w:r w:rsidRPr="00DA7AD1">
      <w:fldChar w:fldCharType="end"/>
    </w:r>
    <w:r w:rsidRPr="006525DB">
      <w:rPr>
        <w:lang w:val="fr-FR"/>
      </w:rPr>
      <w:t>/</w:t>
    </w:r>
    <w:r w:rsidR="00B97350">
      <w:fldChar w:fldCharType="begin"/>
    </w:r>
    <w:r w:rsidR="00B97350" w:rsidRPr="006525DB">
      <w:rPr>
        <w:lang w:val="fr-FR"/>
      </w:rPr>
      <w:instrText xml:space="preserve"> NUMPAGES  \* MERGEFORMAT </w:instrText>
    </w:r>
    <w:r w:rsidR="00B97350">
      <w:fldChar w:fldCharType="separate"/>
    </w:r>
    <w:r w:rsidR="002218B8">
      <w:rPr>
        <w:noProof/>
        <w:lang w:val="fr-FR"/>
      </w:rPr>
      <w:t>10</w:t>
    </w:r>
    <w:r w:rsidR="00B97350">
      <w:rPr>
        <w:noProof/>
      </w:rPr>
      <w:fldChar w:fldCharType="end"/>
    </w:r>
    <w:r w:rsidRPr="006525DB">
      <w:rPr>
        <w:lang w:val="fr-FR"/>
      </w:rPr>
      <w:tab/>
    </w:r>
    <w:r w:rsidRPr="006525DB">
      <w:rPr>
        <w:rStyle w:val="HideTWBExt"/>
        <w:noProof w:val="0"/>
        <w:lang w:val="fr-FR"/>
      </w:rPr>
      <w:t>&lt;PathFdR&gt;</w:t>
    </w:r>
    <w:r w:rsidRPr="006525DB">
      <w:rPr>
        <w:lang w:val="fr-FR"/>
      </w:rPr>
      <w:t>PR\1126600PL.docx</w:t>
    </w:r>
    <w:r w:rsidRPr="006525DB">
      <w:rPr>
        <w:rStyle w:val="HideTWBExt"/>
        <w:noProof w:val="0"/>
        <w:lang w:val="fr-FR"/>
      </w:rPr>
      <w:t>&lt;/PathFdR&gt;</w:t>
    </w:r>
  </w:p>
  <w:p w14:paraId="099F8EDA" w14:textId="096928BF" w:rsidR="00100069" w:rsidRPr="00DA7AD1" w:rsidRDefault="000863E9" w:rsidP="000863E9">
    <w:pPr>
      <w:pStyle w:val="Footer2"/>
    </w:pPr>
    <w:r w:rsidRPr="00DA7AD1"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1CD2D" w14:textId="77777777" w:rsidR="000863E9" w:rsidRPr="006525DB" w:rsidRDefault="000863E9" w:rsidP="000863E9">
    <w:pPr>
      <w:pStyle w:val="Footer"/>
      <w:rPr>
        <w:lang w:val="fr-FR"/>
      </w:rPr>
    </w:pPr>
    <w:r w:rsidRPr="002218B8">
      <w:rPr>
        <w:rStyle w:val="HideTWBExt"/>
        <w:noProof w:val="0"/>
        <w:lang w:val="fr-FR"/>
      </w:rPr>
      <w:t>&lt;PathFdR&gt;</w:t>
    </w:r>
    <w:r w:rsidRPr="006525DB">
      <w:rPr>
        <w:lang w:val="fr-FR"/>
      </w:rPr>
      <w:t>PR\1126600PL.docx</w:t>
    </w:r>
    <w:r w:rsidRPr="006525DB">
      <w:rPr>
        <w:rStyle w:val="HideTWBExt"/>
        <w:noProof w:val="0"/>
        <w:lang w:val="fr-FR"/>
      </w:rPr>
      <w:t>&lt;/PathFdR&gt;</w:t>
    </w:r>
    <w:r w:rsidRPr="006525DB">
      <w:rPr>
        <w:lang w:val="fr-FR"/>
      </w:rPr>
      <w:tab/>
    </w:r>
    <w:r w:rsidRPr="00DA7AD1">
      <w:fldChar w:fldCharType="begin"/>
    </w:r>
    <w:r w:rsidRPr="006525DB">
      <w:rPr>
        <w:lang w:val="fr-FR"/>
      </w:rPr>
      <w:instrText xml:space="preserve"> PAGE  \* MERGEFORMAT </w:instrText>
    </w:r>
    <w:r w:rsidRPr="00DA7AD1">
      <w:fldChar w:fldCharType="separate"/>
    </w:r>
    <w:r w:rsidR="002218B8">
      <w:rPr>
        <w:noProof/>
        <w:lang w:val="fr-FR"/>
      </w:rPr>
      <w:t>3</w:t>
    </w:r>
    <w:r w:rsidRPr="00DA7AD1">
      <w:fldChar w:fldCharType="end"/>
    </w:r>
    <w:r w:rsidRPr="006525DB">
      <w:rPr>
        <w:lang w:val="fr-FR"/>
      </w:rPr>
      <w:t>/</w:t>
    </w:r>
    <w:r w:rsidR="00B97350">
      <w:fldChar w:fldCharType="begin"/>
    </w:r>
    <w:r w:rsidR="00B97350" w:rsidRPr="006525DB">
      <w:rPr>
        <w:lang w:val="fr-FR"/>
      </w:rPr>
      <w:instrText xml:space="preserve"> NUMPAGES  \* MERGEFORMAT </w:instrText>
    </w:r>
    <w:r w:rsidR="00B97350">
      <w:fldChar w:fldCharType="separate"/>
    </w:r>
    <w:r w:rsidR="002218B8">
      <w:rPr>
        <w:noProof/>
        <w:lang w:val="fr-FR"/>
      </w:rPr>
      <w:t>10</w:t>
    </w:r>
    <w:r w:rsidR="00B97350">
      <w:rPr>
        <w:noProof/>
      </w:rPr>
      <w:fldChar w:fldCharType="end"/>
    </w:r>
    <w:r w:rsidRPr="006525DB">
      <w:rPr>
        <w:lang w:val="fr-FR"/>
      </w:rPr>
      <w:tab/>
      <w:t>PE</w:t>
    </w:r>
    <w:r w:rsidRPr="006525DB">
      <w:rPr>
        <w:rStyle w:val="HideTWBExt"/>
        <w:noProof w:val="0"/>
        <w:lang w:val="fr-FR"/>
      </w:rPr>
      <w:t>&lt;NoPE&gt;</w:t>
    </w:r>
    <w:r w:rsidRPr="006525DB">
      <w:rPr>
        <w:lang w:val="fr-FR"/>
      </w:rPr>
      <w:t>604.868</w:t>
    </w:r>
    <w:r w:rsidRPr="006525DB">
      <w:rPr>
        <w:rStyle w:val="HideTWBExt"/>
        <w:noProof w:val="0"/>
        <w:lang w:val="fr-FR"/>
      </w:rPr>
      <w:t>&lt;/NoPE&gt;&lt;Version&gt;</w:t>
    </w:r>
    <w:r w:rsidRPr="006525DB">
      <w:rPr>
        <w:lang w:val="fr-FR"/>
      </w:rPr>
      <w:t>v01-00</w:t>
    </w:r>
    <w:r w:rsidRPr="006525DB">
      <w:rPr>
        <w:rStyle w:val="HideTWBExt"/>
        <w:noProof w:val="0"/>
        <w:lang w:val="fr-FR"/>
      </w:rPr>
      <w:t>&lt;/Version&gt;</w:t>
    </w:r>
  </w:p>
  <w:p w14:paraId="1217F9F7" w14:textId="54E467D2" w:rsidR="00100069" w:rsidRPr="006525DB" w:rsidRDefault="000863E9" w:rsidP="000863E9">
    <w:pPr>
      <w:pStyle w:val="Footer2"/>
      <w:rPr>
        <w:lang w:val="fr-FR"/>
      </w:rPr>
    </w:pPr>
    <w:r w:rsidRPr="006525DB">
      <w:rPr>
        <w:lang w:val="fr-FR"/>
      </w:rPr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76C5" w14:textId="77777777" w:rsidR="000863E9" w:rsidRPr="00DA7AD1" w:rsidRDefault="000863E9" w:rsidP="000863E9">
    <w:pPr>
      <w:pStyle w:val="Footer"/>
    </w:pPr>
    <w:r w:rsidRPr="00DA7AD1">
      <w:rPr>
        <w:rStyle w:val="HideTWBExt"/>
        <w:noProof w:val="0"/>
      </w:rPr>
      <w:t>&lt;PathFdR&gt;</w:t>
    </w:r>
    <w:r w:rsidRPr="00DA7AD1">
      <w:t>PR\1126600PL.docx</w:t>
    </w:r>
    <w:r w:rsidRPr="00DA7AD1">
      <w:rPr>
        <w:rStyle w:val="HideTWBExt"/>
        <w:noProof w:val="0"/>
      </w:rPr>
      <w:t>&lt;/PathFdR&gt;</w:t>
    </w:r>
    <w:r w:rsidRPr="00DA7AD1">
      <w:tab/>
    </w:r>
    <w:r w:rsidRPr="00DA7AD1">
      <w:tab/>
      <w:t>PE</w:t>
    </w:r>
    <w:r w:rsidRPr="00DA7AD1">
      <w:rPr>
        <w:rStyle w:val="HideTWBExt"/>
        <w:noProof w:val="0"/>
      </w:rPr>
      <w:t>&lt;NoPE&gt;</w:t>
    </w:r>
    <w:r w:rsidRPr="00DA7AD1">
      <w:t>604.868</w:t>
    </w:r>
    <w:r w:rsidRPr="00DA7AD1">
      <w:rPr>
        <w:rStyle w:val="HideTWBExt"/>
        <w:noProof w:val="0"/>
      </w:rPr>
      <w:t>&lt;/NoPE&gt;&lt;Version&gt;</w:t>
    </w:r>
    <w:r w:rsidRPr="00DA7AD1">
      <w:t>v01-00</w:t>
    </w:r>
    <w:r w:rsidRPr="00DA7AD1">
      <w:rPr>
        <w:rStyle w:val="HideTWBExt"/>
        <w:noProof w:val="0"/>
      </w:rPr>
      <w:t>&lt;/Version&gt;</w:t>
    </w:r>
  </w:p>
  <w:p w14:paraId="58CF6872" w14:textId="7CAF4221" w:rsidR="00100069" w:rsidRPr="00DA7AD1" w:rsidRDefault="000863E9" w:rsidP="000863E9">
    <w:pPr>
      <w:pStyle w:val="Footer2"/>
      <w:tabs>
        <w:tab w:val="center" w:pos="4535"/>
      </w:tabs>
    </w:pPr>
    <w:r w:rsidRPr="00DA7AD1">
      <w:t>PL</w:t>
    </w:r>
    <w:r w:rsidRPr="00DA7AD1">
      <w:tab/>
    </w:r>
    <w:r w:rsidRPr="00DA7AD1">
      <w:rPr>
        <w:b w:val="0"/>
        <w:i/>
        <w:color w:val="C0C0C0"/>
        <w:sz w:val="22"/>
      </w:rPr>
      <w:t>Zjednoczona w różnorodności</w:t>
    </w:r>
    <w:r w:rsidRPr="00DA7AD1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E18D0" w14:textId="77777777" w:rsidR="008B16BB" w:rsidRPr="00DA7AD1" w:rsidRDefault="008B16BB">
      <w:r w:rsidRPr="00DA7AD1">
        <w:separator/>
      </w:r>
    </w:p>
  </w:footnote>
  <w:footnote w:type="continuationSeparator" w:id="0">
    <w:p w14:paraId="354AEE49" w14:textId="77777777" w:rsidR="008B16BB" w:rsidRPr="00DA7AD1" w:rsidRDefault="008B16BB">
      <w:r w:rsidRPr="00DA7AD1">
        <w:continuationSeparator/>
      </w:r>
    </w:p>
  </w:footnote>
  <w:footnote w:id="1">
    <w:p w14:paraId="66974A32" w14:textId="77777777" w:rsidR="007E768F" w:rsidRPr="00DA7AD1" w:rsidRDefault="007E768F" w:rsidP="007E768F">
      <w:pPr>
        <w:pStyle w:val="FootnoteText"/>
      </w:pPr>
      <w:r w:rsidRPr="00DA7AD1">
        <w:rPr>
          <w:rStyle w:val="FootnoteReference"/>
        </w:rPr>
        <w:footnoteRef/>
      </w:r>
      <w:r>
        <w:t xml:space="preserve"> Komunikat Komisji z dnia 14 grudnia 2015 r. pt. „Inwestycje na rzecz zatrudnienia i wzrostu gospodarczego – maksymalizowanie wkładu europejskich funduszy strukturalnych i inwestycyjnych” (COM(2015)0639, final)</w:t>
      </w:r>
    </w:p>
    <w:p w14:paraId="30EBFDF7" w14:textId="44947517" w:rsidR="007E768F" w:rsidRPr="00DA7AD1" w:rsidRDefault="007E768F">
      <w:pPr>
        <w:pStyle w:val="FootnoteText"/>
      </w:pPr>
    </w:p>
  </w:footnote>
  <w:footnote w:id="2">
    <w:p w14:paraId="492CBD24" w14:textId="43FCE872" w:rsidR="00B31965" w:rsidRPr="00DA7AD1" w:rsidRDefault="00B31965" w:rsidP="00B31965">
      <w:pPr>
        <w:pStyle w:val="FootnoteText"/>
      </w:pPr>
      <w:r w:rsidRPr="00DA7AD1">
        <w:rPr>
          <w:rStyle w:val="FootnoteReference"/>
        </w:rPr>
        <w:footnoteRef/>
      </w:r>
      <w:r>
        <w:t xml:space="preserve"> Rejestr grup ekspertów Komisji i podobnych zespołów – grupa wysokiego szczebla ds. strategii makroregionalnych </w:t>
      </w:r>
      <w:hyperlink r:id="rId1" w:history="1">
        <w:r>
          <w:rPr>
            <w:rStyle w:val="Hyperlink"/>
          </w:rPr>
          <w:t>http://ec.europa.eu/transparency/regexpert/index.cfm?do=groupDetail.groupDetail&amp;groupID=2455&amp;Lang=PL</w:t>
        </w:r>
      </w:hyperlink>
    </w:p>
  </w:footnote>
  <w:footnote w:id="3">
    <w:p w14:paraId="5460F15B" w14:textId="1933344D" w:rsidR="00B31965" w:rsidRPr="00DA7AD1" w:rsidRDefault="00B31965" w:rsidP="00B31965">
      <w:pPr>
        <w:pStyle w:val="FootnoteText"/>
      </w:pPr>
      <w:r w:rsidRPr="00DA7AD1">
        <w:rPr>
          <w:rStyle w:val="FootnoteReference"/>
        </w:rPr>
        <w:footnoteRef/>
      </w:r>
      <w:r>
        <w:t xml:space="preserve"> Konkluzje Rady w sprawie wdrażania strategii makroregionalnych UE </w:t>
      </w:r>
      <w:hyperlink r:id="rId2" w:history="1">
        <w:r>
          <w:rPr>
            <w:rStyle w:val="Hyperlink"/>
          </w:rPr>
          <w:t>http://ec.europa.eu/regional_policy/sources/cooperate/macro_region_strategy/pdf/concl_implementation_macro_region_strategy_en.pdf</w:t>
        </w:r>
      </w:hyperlink>
      <w:r>
        <w:t xml:space="preserve"> </w:t>
      </w:r>
    </w:p>
  </w:footnote>
  <w:footnote w:id="4">
    <w:p w14:paraId="261823C0" w14:textId="77777777" w:rsidR="0014522C" w:rsidRPr="00DA7AD1" w:rsidRDefault="0014522C" w:rsidP="0014522C">
      <w:pPr>
        <w:pStyle w:val="FootnoteText"/>
      </w:pPr>
      <w:r w:rsidRPr="00DA7AD1">
        <w:rPr>
          <w:rStyle w:val="FootnoteReference"/>
        </w:rPr>
        <w:footnoteRef/>
      </w:r>
      <w:r>
        <w:t xml:space="preserve"> Dz.U. L 347 z 20.12.2013, s. 320.</w:t>
      </w:r>
    </w:p>
  </w:footnote>
  <w:footnote w:id="5">
    <w:p w14:paraId="0720419D" w14:textId="77777777" w:rsidR="0014522C" w:rsidRPr="00DA7AD1" w:rsidRDefault="0014522C" w:rsidP="0014522C">
      <w:pPr>
        <w:pStyle w:val="FootnoteText"/>
      </w:pPr>
      <w:r w:rsidRPr="00DA7AD1">
        <w:rPr>
          <w:rStyle w:val="FootnoteReference"/>
        </w:rPr>
        <w:footnoteRef/>
      </w:r>
      <w:r>
        <w:t xml:space="preserve"> Dz.U. L 347 z 20.12.2013, s. 259.</w:t>
      </w:r>
    </w:p>
  </w:footnote>
  <w:footnote w:id="6">
    <w:p w14:paraId="7B81D4BC" w14:textId="77777777" w:rsidR="0014522C" w:rsidRPr="00DA7AD1" w:rsidRDefault="0014522C" w:rsidP="0014522C">
      <w:pPr>
        <w:pStyle w:val="FootnoteText"/>
      </w:pPr>
      <w:r w:rsidRPr="00DA7AD1">
        <w:rPr>
          <w:rStyle w:val="FootnoteReference"/>
        </w:rPr>
        <w:footnoteRef/>
      </w:r>
      <w:r>
        <w:t xml:space="preserve"> Dz.U. L 347 z 20.12.2013, s. 303.</w:t>
      </w:r>
    </w:p>
  </w:footnote>
  <w:footnote w:id="7">
    <w:p w14:paraId="3ECB330C" w14:textId="43A1140F" w:rsidR="000F31A2" w:rsidRPr="00DA7AD1" w:rsidRDefault="000F31A2" w:rsidP="000F31A2">
      <w:pPr>
        <w:pStyle w:val="FootnoteText"/>
      </w:pPr>
      <w:r w:rsidRPr="00DA7AD1">
        <w:rPr>
          <w:rStyle w:val="FootnoteReference"/>
        </w:rPr>
        <w:footnoteRef/>
      </w:r>
      <w:r>
        <w:t xml:space="preserve"> Dz.U. CE 188 z 28.6.2012, s. 30.</w:t>
      </w:r>
    </w:p>
  </w:footnote>
  <w:footnote w:id="8">
    <w:p w14:paraId="14722BDA" w14:textId="77777777" w:rsidR="000F31A2" w:rsidRPr="00DA7AD1" w:rsidRDefault="000F31A2" w:rsidP="000F31A2">
      <w:pPr>
        <w:pStyle w:val="FootnoteText"/>
      </w:pPr>
      <w:r w:rsidRPr="00DA7AD1">
        <w:rPr>
          <w:rStyle w:val="FootnoteReference"/>
        </w:rPr>
        <w:footnoteRef/>
      </w:r>
      <w:r>
        <w:t xml:space="preserve"> Teksty przyjęte, P7_TA(2012)0269.</w:t>
      </w:r>
    </w:p>
  </w:footnote>
  <w:footnote w:id="9">
    <w:p w14:paraId="7B091186" w14:textId="77777777" w:rsidR="000F31A2" w:rsidRPr="00DA7AD1" w:rsidRDefault="000F31A2" w:rsidP="000F31A2">
      <w:pPr>
        <w:pStyle w:val="FootnoteText"/>
      </w:pPr>
      <w:r w:rsidRPr="00DA7AD1">
        <w:rPr>
          <w:rStyle w:val="FootnoteReference"/>
        </w:rPr>
        <w:footnoteRef/>
      </w:r>
      <w:r>
        <w:t xml:space="preserve"> Teksty przyjęte, P7_TA(2012)0341.</w:t>
      </w:r>
    </w:p>
  </w:footnote>
  <w:footnote w:id="10">
    <w:p w14:paraId="25F23EE3" w14:textId="77777777" w:rsidR="000F31A2" w:rsidRPr="00DA7AD1" w:rsidRDefault="000F31A2" w:rsidP="000F31A2">
      <w:pPr>
        <w:pStyle w:val="FootnoteText"/>
      </w:pPr>
      <w:r w:rsidRPr="00DA7AD1">
        <w:rPr>
          <w:rStyle w:val="FootnoteReference"/>
        </w:rPr>
        <w:footnoteRef/>
      </w:r>
      <w:r>
        <w:t xml:space="preserve"> Teksty przyjęte, P8_TA(2015)0383.</w:t>
      </w:r>
    </w:p>
  </w:footnote>
  <w:footnote w:id="11">
    <w:p w14:paraId="59635205" w14:textId="77777777" w:rsidR="000F31A2" w:rsidRPr="00DA7AD1" w:rsidRDefault="000F31A2" w:rsidP="000F31A2">
      <w:pPr>
        <w:pStyle w:val="FootnoteText"/>
      </w:pPr>
      <w:r w:rsidRPr="00DA7AD1">
        <w:rPr>
          <w:rStyle w:val="FootnoteReference"/>
        </w:rPr>
        <w:footnoteRef/>
      </w:r>
      <w:r>
        <w:t xml:space="preserve"> Teksty przyjęte, P8_TA(2016)0336.</w:t>
      </w:r>
    </w:p>
  </w:footnote>
  <w:footnote w:id="12">
    <w:p w14:paraId="524E7590" w14:textId="0007F451" w:rsidR="0044102D" w:rsidRPr="00DA7AD1" w:rsidRDefault="0044102D" w:rsidP="0044102D">
      <w:pPr>
        <w:pStyle w:val="FootnoteText"/>
      </w:pPr>
      <w:r w:rsidRPr="00DA7AD1">
        <w:rPr>
          <w:rStyle w:val="FootnoteReference"/>
        </w:rPr>
        <w:footnoteRef/>
      </w:r>
      <w:r>
        <w:t xml:space="preserve"> Schmitt i inni (2009), EU macro-regions and macro-regional strategies – A scoping study [Unijne makroregiony i strategie makroregionalne – Badanie określające zakres], NORDREGIO, dokument roboczy w</w:t>
      </w:r>
      <w:r w:rsidR="006525DB">
        <w:t> </w:t>
      </w:r>
      <w:r>
        <w:t xml:space="preserve">wersji elektronicznej 2009:4.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52630" w14:textId="77777777" w:rsidR="002218B8" w:rsidRDefault="00221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E6550" w14:textId="77777777" w:rsidR="002218B8" w:rsidRDefault="00221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165BA" w14:textId="77777777" w:rsidR="002218B8" w:rsidRDefault="00221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D1AB0"/>
    <w:multiLevelType w:val="hybridMultilevel"/>
    <w:tmpl w:val="F66A0B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3326"/>
    <w:multiLevelType w:val="hybridMultilevel"/>
    <w:tmpl w:val="E80A81F0"/>
    <w:lvl w:ilvl="0" w:tplc="CE32EC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1FDB"/>
    <w:multiLevelType w:val="hybridMultilevel"/>
    <w:tmpl w:val="96B2B43E"/>
    <w:lvl w:ilvl="0" w:tplc="CE32EC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C44D9"/>
    <w:multiLevelType w:val="hybridMultilevel"/>
    <w:tmpl w:val="D2D83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REGI"/>
    <w:docVar w:name="CopyToNetwork" w:val="-1"/>
    <w:docVar w:name="HEADINGMNU" w:val=" 2"/>
    <w:docVar w:name="LastEditedSection" w:val=" 1"/>
    <w:docVar w:name="MOTIONMNU" w:val=" 1"/>
    <w:docVar w:name="PAR1MNU" w:val="1"/>
    <w:docVar w:name="strDocTypeID" w:val="PR_INI_ImplReport"/>
    <w:docVar w:name="strSubDir" w:val="1126"/>
    <w:docVar w:name="TITLEMNU" w:val=" 1"/>
    <w:docVar w:name="TVTTITLE" w:val="Implementation of EU macro-regional strategies - Text on which the report is based"/>
    <w:docVar w:name="TXTLANGUE" w:val="PL"/>
    <w:docVar w:name="TXTLANGUEMIN" w:val="pl"/>
    <w:docVar w:name="TXTNRINI" w:val="2017/2040"/>
    <w:docVar w:name="TXTNRPE" w:val="604.868"/>
    <w:docVar w:name="TXTPEorAP" w:val="PE"/>
    <w:docVar w:name="TXTROUTE" w:val="PR\1126600PL.docx"/>
    <w:docVar w:name="TXTTITLE" w:val="Implementation of EU macro-regional strategies"/>
    <w:docVar w:name="TXTVERSION" w:val="01-00"/>
  </w:docVars>
  <w:rsids>
    <w:rsidRoot w:val="000B7D36"/>
    <w:rsid w:val="000259EA"/>
    <w:rsid w:val="000321C0"/>
    <w:rsid w:val="00040EAC"/>
    <w:rsid w:val="000863E9"/>
    <w:rsid w:val="000B7D36"/>
    <w:rsid w:val="000F31A2"/>
    <w:rsid w:val="00100069"/>
    <w:rsid w:val="001046B1"/>
    <w:rsid w:val="001071EC"/>
    <w:rsid w:val="0014522C"/>
    <w:rsid w:val="001E3F11"/>
    <w:rsid w:val="00205701"/>
    <w:rsid w:val="002218B8"/>
    <w:rsid w:val="002544DF"/>
    <w:rsid w:val="002643FA"/>
    <w:rsid w:val="002707CB"/>
    <w:rsid w:val="002C10D2"/>
    <w:rsid w:val="003E6413"/>
    <w:rsid w:val="0044102D"/>
    <w:rsid w:val="004B0E80"/>
    <w:rsid w:val="005620F7"/>
    <w:rsid w:val="00576294"/>
    <w:rsid w:val="00582508"/>
    <w:rsid w:val="005E06BB"/>
    <w:rsid w:val="005F218E"/>
    <w:rsid w:val="00625139"/>
    <w:rsid w:val="006272CD"/>
    <w:rsid w:val="006525DB"/>
    <w:rsid w:val="00702858"/>
    <w:rsid w:val="007034A9"/>
    <w:rsid w:val="00705D44"/>
    <w:rsid w:val="00760358"/>
    <w:rsid w:val="007B096D"/>
    <w:rsid w:val="007E768F"/>
    <w:rsid w:val="00806286"/>
    <w:rsid w:val="0083064D"/>
    <w:rsid w:val="0087448C"/>
    <w:rsid w:val="00891467"/>
    <w:rsid w:val="008A0716"/>
    <w:rsid w:val="008A7B8B"/>
    <w:rsid w:val="008B16BB"/>
    <w:rsid w:val="008B1CBB"/>
    <w:rsid w:val="008C4C65"/>
    <w:rsid w:val="00900DBA"/>
    <w:rsid w:val="00956282"/>
    <w:rsid w:val="009C3457"/>
    <w:rsid w:val="009E6BCC"/>
    <w:rsid w:val="00A10D23"/>
    <w:rsid w:val="00A21B56"/>
    <w:rsid w:val="00A26D21"/>
    <w:rsid w:val="00A42625"/>
    <w:rsid w:val="00A4466E"/>
    <w:rsid w:val="00B00571"/>
    <w:rsid w:val="00B31965"/>
    <w:rsid w:val="00B3564F"/>
    <w:rsid w:val="00B97350"/>
    <w:rsid w:val="00BA2A57"/>
    <w:rsid w:val="00BA31D0"/>
    <w:rsid w:val="00BA502C"/>
    <w:rsid w:val="00BB70F1"/>
    <w:rsid w:val="00BC7C60"/>
    <w:rsid w:val="00C12B0D"/>
    <w:rsid w:val="00C16AE8"/>
    <w:rsid w:val="00C85F4C"/>
    <w:rsid w:val="00CB7D8B"/>
    <w:rsid w:val="00CD6CB4"/>
    <w:rsid w:val="00D068BE"/>
    <w:rsid w:val="00D61AE3"/>
    <w:rsid w:val="00D63CD1"/>
    <w:rsid w:val="00DA7AD1"/>
    <w:rsid w:val="00E155CA"/>
    <w:rsid w:val="00E3537C"/>
    <w:rsid w:val="00E61690"/>
    <w:rsid w:val="00F07E31"/>
    <w:rsid w:val="00F40933"/>
    <w:rsid w:val="00F71A5F"/>
    <w:rsid w:val="00F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53F08"/>
  <w15:chartTrackingRefBased/>
  <w15:docId w15:val="{DE7EC2BF-0A24-4DE3-8A0F-8ADE8AC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2544DF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3E6413"/>
    <w:pPr>
      <w:tabs>
        <w:tab w:val="left" w:pos="567"/>
      </w:tabs>
    </w:pPr>
  </w:style>
  <w:style w:type="paragraph" w:customStyle="1" w:styleId="RefProc">
    <w:name w:val="RefProc"/>
    <w:basedOn w:val="Normal"/>
    <w:rsid w:val="00100069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E3537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E3537C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E3537C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2544DF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2544DF"/>
    <w:pPr>
      <w:jc w:val="right"/>
    </w:pPr>
  </w:style>
  <w:style w:type="paragraph" w:customStyle="1" w:styleId="NormalBoldItalcs12a12b">
    <w:name w:val="NormalBoldItalcs12a12b"/>
    <w:basedOn w:val="Normal"/>
    <w:qFormat/>
    <w:rsid w:val="002643FA"/>
    <w:pPr>
      <w:spacing w:before="240" w:after="240"/>
    </w:pPr>
    <w:rPr>
      <w:b/>
      <w:i/>
    </w:rPr>
  </w:style>
  <w:style w:type="character" w:styleId="Hyperlink">
    <w:name w:val="Hyperlink"/>
    <w:uiPriority w:val="99"/>
    <w:unhideWhenUsed/>
    <w:rsid w:val="000F31A2"/>
    <w:rPr>
      <w:color w:val="0563C1"/>
      <w:u w:val="single"/>
    </w:rPr>
  </w:style>
  <w:style w:type="paragraph" w:styleId="FootnoteText">
    <w:name w:val="footnote text"/>
    <w:basedOn w:val="Normal"/>
    <w:link w:val="FootnoteTextChar"/>
    <w:unhideWhenUsed/>
    <w:qFormat/>
    <w:rsid w:val="000F31A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F31A2"/>
  </w:style>
  <w:style w:type="character" w:styleId="FootnoteReference">
    <w:name w:val="footnote reference"/>
    <w:unhideWhenUsed/>
    <w:qFormat/>
    <w:rsid w:val="000F31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34A9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C1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10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E3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F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3F11"/>
  </w:style>
  <w:style w:type="paragraph" w:styleId="CommentSubject">
    <w:name w:val="annotation subject"/>
    <w:basedOn w:val="CommentText"/>
    <w:next w:val="CommentText"/>
    <w:link w:val="CommentSubjectChar"/>
    <w:rsid w:val="001E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3F11"/>
    <w:rPr>
      <w:b/>
      <w:bCs/>
    </w:rPr>
  </w:style>
  <w:style w:type="character" w:styleId="FollowedHyperlink">
    <w:name w:val="FollowedHyperlink"/>
    <w:basedOn w:val="DefaultParagraphFont"/>
    <w:rsid w:val="00221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regional_policy/sources/cooperate/macro_region_strategy/pdf/concl_implementation_macro_region_strategy_en.pdf" TargetMode="External"/><Relationship Id="rId1" Type="http://schemas.openxmlformats.org/officeDocument/2006/relationships/hyperlink" Target="http://ec.europa.eu/transparency/regexpert/index.cfm?do=groupDetail.groupDetail&amp;groupID=2455&amp;Lang=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58B6-5E73-4644-B8BC-F1E0E1FA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6DD1598D.dotm</Template>
  <TotalTime>0</TotalTime>
  <Pages>10</Pages>
  <Words>2226</Words>
  <Characters>15473</Characters>
  <Application>Microsoft Office Word</Application>
  <DocSecurity>0</DocSecurity>
  <Lines>286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PR_INI_ImplReport</vt:lpstr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PR_INI_ImplReport</dc:title>
  <dc:subject/>
  <dc:creator>MANYIK Krisztina</dc:creator>
  <cp:keywords/>
  <dc:description/>
  <cp:lastModifiedBy>KUBIAK Wioletta</cp:lastModifiedBy>
  <cp:revision>2</cp:revision>
  <cp:lastPrinted>2017-07-17T09:33:00Z</cp:lastPrinted>
  <dcterms:created xsi:type="dcterms:W3CDTF">2017-08-21T08:44:00Z</dcterms:created>
  <dcterms:modified xsi:type="dcterms:W3CDTF">2017-08-21T08:44:00Z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9.1.0 Build [20170720]</vt:lpwstr>
  </property>
  <property fmtid="{D5CDD505-2E9C-101B-9397-08002B2CF9AE}" pid="4" name="&lt;FdR&gt;">
    <vt:lpwstr>1126600</vt:lpwstr>
  </property>
  <property fmtid="{D5CDD505-2E9C-101B-9397-08002B2CF9AE}" pid="5" name="&lt;Type&gt;">
    <vt:lpwstr>PR</vt:lpwstr>
  </property>
  <property fmtid="{D5CDD505-2E9C-101B-9397-08002B2CF9AE}" pid="6" name="&lt;ModelCod&gt;">
    <vt:lpwstr>\\eiciBRUpr1\pdocep$\DocEP\DOCS\General\PR\PR_NonLeg\INI\PR_INI_ImplReport.dot(22/06/2016 07:12:28)</vt:lpwstr>
  </property>
  <property fmtid="{D5CDD505-2E9C-101B-9397-08002B2CF9AE}" pid="7" name="&lt;ModelTra&gt;">
    <vt:lpwstr>\\eiciBRUpr1\pdocep$\DocEP\TRANSFIL\EN\PR_INI_ImplReport.EN(01/02/2017 19:08:10)</vt:lpwstr>
  </property>
  <property fmtid="{D5CDD505-2E9C-101B-9397-08002B2CF9AE}" pid="8" name="&lt;Model&gt;">
    <vt:lpwstr>PR_INI_ImplReport</vt:lpwstr>
  </property>
  <property fmtid="{D5CDD505-2E9C-101B-9397-08002B2CF9AE}" pid="9" name="FooterPath">
    <vt:lpwstr>PR\1126600PL.docx</vt:lpwstr>
  </property>
  <property fmtid="{D5CDD505-2E9C-101B-9397-08002B2CF9AE}" pid="10" name="PE Number">
    <vt:lpwstr>604.868</vt:lpwstr>
  </property>
  <property fmtid="{D5CDD505-2E9C-101B-9397-08002B2CF9AE}" pid="11" name="SubscribeElise">
    <vt:lpwstr/>
  </property>
  <property fmtid="{D5CDD505-2E9C-101B-9397-08002B2CF9AE}" pid="12" name="SendToEpades">
    <vt:lpwstr>OK - 2017/07/20 16:28</vt:lpwstr>
  </property>
  <property fmtid="{D5CDD505-2E9C-101B-9397-08002B2CF9AE}" pid="13" name="SDLStudio">
    <vt:lpwstr>YES</vt:lpwstr>
  </property>
  <property fmtid="{D5CDD505-2E9C-101B-9397-08002B2CF9AE}" pid="14" name="&lt;Extension&gt;">
    <vt:lpwstr>PL</vt:lpwstr>
  </property>
  <property fmtid="{D5CDD505-2E9C-101B-9397-08002B2CF9AE}" pid="15" name="Bookout">
    <vt:lpwstr>OK - 2017/08/21 10:43</vt:lpwstr>
  </property>
</Properties>
</file>