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56F22" w:rsidRPr="00D13E75" w:rsidTr="00C85D0F">
        <w:trPr>
          <w:trHeight w:hRule="exact" w:val="1418"/>
        </w:trPr>
        <w:tc>
          <w:tcPr>
            <w:tcW w:w="6804" w:type="dxa"/>
            <w:shd w:val="clear" w:color="auto" w:fill="auto"/>
            <w:vAlign w:val="center"/>
          </w:tcPr>
          <w:p w:rsidR="00356F22" w:rsidRPr="00D13E75" w:rsidRDefault="00D44E22" w:rsidP="00C85D0F">
            <w:pPr>
              <w:pStyle w:val="EPName"/>
            </w:pPr>
            <w:r w:rsidRPr="00D13E75">
              <w:t>Europäisches Parlament</w:t>
            </w:r>
          </w:p>
          <w:p w:rsidR="00356F22" w:rsidRPr="00D13E75" w:rsidRDefault="00BA3449" w:rsidP="00BA3449">
            <w:pPr>
              <w:pStyle w:val="EPTerm"/>
            </w:pPr>
            <w:r w:rsidRPr="00D13E75">
              <w:t>2019-2024</w:t>
            </w:r>
          </w:p>
        </w:tc>
        <w:tc>
          <w:tcPr>
            <w:tcW w:w="2268" w:type="dxa"/>
            <w:shd w:val="clear" w:color="auto" w:fill="auto"/>
          </w:tcPr>
          <w:p w:rsidR="00356F22" w:rsidRPr="00D13E75" w:rsidRDefault="00356F22" w:rsidP="00C85D0F">
            <w:pPr>
              <w:pStyle w:val="EPLogo"/>
            </w:pPr>
            <w:r w:rsidRPr="00D13E75">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D13E75" w:rsidRDefault="00C71A3C" w:rsidP="00C71A3C">
      <w:pPr>
        <w:pStyle w:val="LineTop"/>
      </w:pPr>
    </w:p>
    <w:p w:rsidR="00C71A3C" w:rsidRPr="00D13E75" w:rsidRDefault="00C71A3C" w:rsidP="00C71A3C">
      <w:pPr>
        <w:pStyle w:val="EPBody"/>
      </w:pPr>
      <w:r w:rsidRPr="00D13E75">
        <w:rPr>
          <w:rStyle w:val="HideTWBExt"/>
        </w:rPr>
        <w:t>&lt;</w:t>
      </w:r>
      <w:r w:rsidRPr="00D13E75">
        <w:rPr>
          <w:rStyle w:val="HideTWBExt"/>
          <w:i w:val="0"/>
        </w:rPr>
        <w:t>Commission</w:t>
      </w:r>
      <w:r w:rsidRPr="00D13E75">
        <w:rPr>
          <w:rStyle w:val="HideTWBExt"/>
        </w:rPr>
        <w:t>&gt;</w:t>
      </w:r>
      <w:r w:rsidRPr="00D13E75">
        <w:rPr>
          <w:rStyle w:val="HideTWBInt"/>
        </w:rPr>
        <w:t>{REGI}</w:t>
      </w:r>
      <w:r w:rsidRPr="00D13E75">
        <w:t>Ausschuss für regionale Entwicklung</w:t>
      </w:r>
      <w:r w:rsidRPr="00D13E75">
        <w:rPr>
          <w:rStyle w:val="HideTWBExt"/>
        </w:rPr>
        <w:t>&lt;/</w:t>
      </w:r>
      <w:r w:rsidRPr="00D13E75">
        <w:rPr>
          <w:rStyle w:val="HideTWBExt"/>
          <w:i w:val="0"/>
        </w:rPr>
        <w:t>Commission</w:t>
      </w:r>
      <w:r w:rsidRPr="00D13E75">
        <w:rPr>
          <w:rStyle w:val="HideTWBExt"/>
        </w:rPr>
        <w:t>&gt;</w:t>
      </w:r>
    </w:p>
    <w:p w:rsidR="00C71A3C" w:rsidRPr="00D13E75" w:rsidRDefault="00C71A3C" w:rsidP="00C71A3C">
      <w:pPr>
        <w:pStyle w:val="LineBottom"/>
      </w:pPr>
    </w:p>
    <w:p w:rsidR="00ED0821" w:rsidRPr="00D13E75" w:rsidRDefault="00ED0821">
      <w:pPr>
        <w:pStyle w:val="CoverReference"/>
      </w:pPr>
      <w:r w:rsidRPr="00D13E75">
        <w:rPr>
          <w:rStyle w:val="HideTWBExt"/>
          <w:b w:val="0"/>
        </w:rPr>
        <w:t>&lt;RefProc&gt;</w:t>
      </w:r>
      <w:r w:rsidRPr="00D13E75">
        <w:t>2020/0163</w:t>
      </w:r>
      <w:r w:rsidRPr="00D13E75">
        <w:rPr>
          <w:rStyle w:val="HideTWBExt"/>
          <w:b w:val="0"/>
        </w:rPr>
        <w:t>&lt;/RefProc&gt;&lt;RefTypeProc&gt;</w:t>
      </w:r>
      <w:r w:rsidRPr="00D13E75">
        <w:t>(CNS)</w:t>
      </w:r>
      <w:r w:rsidRPr="00D13E75">
        <w:rPr>
          <w:rStyle w:val="HideTWBExt"/>
          <w:b w:val="0"/>
        </w:rPr>
        <w:t>&lt;/RefTypeProc&gt;</w:t>
      </w:r>
    </w:p>
    <w:p w:rsidR="00ED0821" w:rsidRPr="00D13E75" w:rsidRDefault="00ED0821">
      <w:pPr>
        <w:pStyle w:val="CoverDate"/>
      </w:pPr>
      <w:r w:rsidRPr="00D13E75">
        <w:rPr>
          <w:rStyle w:val="HideTWBExt"/>
        </w:rPr>
        <w:t>&lt;Date&gt;</w:t>
      </w:r>
      <w:r w:rsidRPr="00D13E75">
        <w:rPr>
          <w:rStyle w:val="HideTWBInt"/>
        </w:rPr>
        <w:t>{26/08/2020}</w:t>
      </w:r>
      <w:r w:rsidRPr="00D13E75">
        <w:t>26.8.2020</w:t>
      </w:r>
      <w:r w:rsidRPr="00D13E75">
        <w:rPr>
          <w:rStyle w:val="HideTWBExt"/>
        </w:rPr>
        <w:t>&lt;/Date&gt;</w:t>
      </w:r>
    </w:p>
    <w:p w:rsidR="00ED0821" w:rsidRPr="00D13E75" w:rsidRDefault="00ED0821">
      <w:pPr>
        <w:pStyle w:val="CoverDocType"/>
      </w:pPr>
      <w:r w:rsidRPr="00D13E75">
        <w:rPr>
          <w:rStyle w:val="HideTWBExt"/>
          <w:b w:val="0"/>
        </w:rPr>
        <w:t>&lt;RefProcLect&gt;</w:t>
      </w:r>
      <w:r w:rsidRPr="00D13E75">
        <w:t>*</w:t>
      </w:r>
      <w:r w:rsidRPr="00D13E75">
        <w:rPr>
          <w:rStyle w:val="HideTWBExt"/>
          <w:b w:val="0"/>
        </w:rPr>
        <w:t>&lt;/RefProcLect&gt;</w:t>
      </w:r>
    </w:p>
    <w:p w:rsidR="00ED0821" w:rsidRPr="00D13E75" w:rsidRDefault="00ED0821">
      <w:pPr>
        <w:pStyle w:val="CoverDocType24a"/>
      </w:pPr>
      <w:r w:rsidRPr="00D13E75">
        <w:rPr>
          <w:rStyle w:val="HideTWBExt"/>
          <w:b w:val="0"/>
        </w:rPr>
        <w:t>&lt;TitreType&gt;</w:t>
      </w:r>
      <w:r w:rsidRPr="00D13E75">
        <w:t>ENTWURF EINES BERICHTS</w:t>
      </w:r>
      <w:r w:rsidRPr="00D13E75">
        <w:rPr>
          <w:rStyle w:val="HideTWBExt"/>
          <w:b w:val="0"/>
        </w:rPr>
        <w:t>&lt;/TitreType&gt;</w:t>
      </w:r>
    </w:p>
    <w:p w:rsidR="00BA3449" w:rsidRPr="00D13E75" w:rsidRDefault="00BA3449" w:rsidP="00BA3449">
      <w:pPr>
        <w:pStyle w:val="CoverNormal"/>
      </w:pPr>
      <w:r w:rsidRPr="00D13E75">
        <w:rPr>
          <w:rStyle w:val="HideTWBExt"/>
        </w:rPr>
        <w:t>&lt;Titre&gt;</w:t>
      </w:r>
      <w:r w:rsidRPr="00D13E75">
        <w:t>über den Vorschlag für einen Beschluss des Rates über die Anwendung der AIEM-Steuer auf den Kanarischen Inseln</w:t>
      </w:r>
      <w:r w:rsidRPr="00D13E75">
        <w:rPr>
          <w:rStyle w:val="HideTWBExt"/>
        </w:rPr>
        <w:t>&lt;/Titre&gt;</w:t>
      </w:r>
    </w:p>
    <w:p w:rsidR="00ED0821" w:rsidRPr="00D13E75" w:rsidRDefault="00BA3449" w:rsidP="00BA3449">
      <w:pPr>
        <w:pStyle w:val="CoverNormal24a"/>
      </w:pPr>
      <w:r w:rsidRPr="00D13E75">
        <w:rPr>
          <w:rStyle w:val="HideTWBExt"/>
        </w:rPr>
        <w:t>&lt;DocRef&gt;</w:t>
      </w:r>
      <w:r w:rsidRPr="00D13E75">
        <w:t>(COM(2020)0355 – C9-0000/2020 – 2020/0163(CNS))</w:t>
      </w:r>
      <w:r w:rsidRPr="00D13E75">
        <w:rPr>
          <w:rStyle w:val="HideTWBExt"/>
        </w:rPr>
        <w:t>&lt;/DocRef&gt;</w:t>
      </w:r>
    </w:p>
    <w:p w:rsidR="00ED0821" w:rsidRPr="00D13E75" w:rsidRDefault="00ED0821">
      <w:pPr>
        <w:pStyle w:val="CoverNormal24a"/>
      </w:pPr>
      <w:r w:rsidRPr="00D13E75">
        <w:rPr>
          <w:rStyle w:val="HideTWBExt"/>
        </w:rPr>
        <w:t>&lt;Commission&gt;</w:t>
      </w:r>
      <w:r w:rsidRPr="00D13E75">
        <w:rPr>
          <w:rStyle w:val="HideTWBInt"/>
        </w:rPr>
        <w:t>{REGI}</w:t>
      </w:r>
      <w:r w:rsidRPr="00D13E75">
        <w:t>Ausschuss für regionale Entwicklung</w:t>
      </w:r>
      <w:r w:rsidRPr="00D13E75">
        <w:rPr>
          <w:rStyle w:val="HideTWBExt"/>
        </w:rPr>
        <w:t>&lt;/Commission&gt;</w:t>
      </w:r>
    </w:p>
    <w:p w:rsidR="00ED0821" w:rsidRPr="00D13E75" w:rsidRDefault="00BA3449">
      <w:pPr>
        <w:pStyle w:val="CoverNormal24a"/>
      </w:pPr>
      <w:r w:rsidRPr="00D13E75">
        <w:t xml:space="preserve">Berichterstatter: </w:t>
      </w:r>
      <w:r w:rsidRPr="00D13E75">
        <w:rPr>
          <w:rStyle w:val="HideTWBExt"/>
        </w:rPr>
        <w:t>&lt;Depute&gt;</w:t>
      </w:r>
      <w:r w:rsidRPr="00D13E75">
        <w:t>Younous Omarjee</w:t>
      </w:r>
      <w:r w:rsidRPr="00D13E75">
        <w:rPr>
          <w:rStyle w:val="HideTWBExt"/>
        </w:rPr>
        <w:t>&lt;/Depute&gt;</w:t>
      </w:r>
    </w:p>
    <w:p w:rsidR="00BA3449" w:rsidRPr="00D13E75" w:rsidRDefault="00BA3449" w:rsidP="00BA3449">
      <w:pPr>
        <w:pStyle w:val="CoverNormal"/>
      </w:pPr>
    </w:p>
    <w:p w:rsidR="00BE4EC7" w:rsidRPr="00D13E75" w:rsidRDefault="00BA3449" w:rsidP="00BA3449">
      <w:pPr>
        <w:pStyle w:val="CoverNormal"/>
      </w:pPr>
      <w:r w:rsidRPr="00D13E75">
        <w:t>(Vereinfachtes Verfahren – Artikel 52 Absatz 1 der Geschäftsordnung)</w:t>
      </w:r>
    </w:p>
    <w:p w:rsidR="00C30F89" w:rsidRPr="00D13E75" w:rsidRDefault="00ED0821" w:rsidP="00894923">
      <w:r w:rsidRPr="00D13E75">
        <w:br w:type="page"/>
      </w:r>
      <w:r w:rsidR="00D13E75" w:rsidRPr="00D13E75">
        <w:rPr>
          <w:lang w:val="fr-FR"/>
        </w:rPr>
        <w:lastRenderedPageBreak/>
        <w:fldChar w:fldCharType="begin"/>
      </w:r>
      <w:r w:rsidR="00D13E75" w:rsidRPr="00D13E75">
        <w:rPr>
          <w:lang w:val="fr-FR"/>
        </w:rPr>
        <w:instrText xml:space="preserve"> TITLE  \* MERGEFORMAT </w:instrText>
      </w:r>
      <w:r w:rsidR="00D13E75" w:rsidRPr="00D13E75">
        <w:rPr>
          <w:lang w:val="fr-FR"/>
        </w:rPr>
        <w:fldChar w:fldCharType="separate"/>
      </w:r>
      <w:r w:rsidR="00D13E75">
        <w:rPr>
          <w:lang w:val="fr-FR"/>
        </w:rPr>
        <w:t>PR_CNS_LegAct_app</w:t>
      </w:r>
      <w:r w:rsidR="00D13E75" w:rsidRPr="00D13E75">
        <w:rPr>
          <w:lang w:val="fr-FR"/>
        </w:rPr>
        <w:fldChar w:fldCharType="end"/>
      </w:r>
    </w:p>
    <w:p w:rsidR="00C30F89" w:rsidRPr="00D13E75" w:rsidRDefault="00C30F89" w:rsidP="00894923">
      <w:pPr>
        <w:rPr>
          <w:lang w:val="fr-FR"/>
        </w:rPr>
      </w:pPr>
    </w:p>
    <w:p w:rsidR="00C30F89" w:rsidRPr="00D13E75" w:rsidRDefault="00C30F89" w:rsidP="00894923">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30F89" w:rsidRPr="00D13E75">
        <w:tc>
          <w:tcPr>
            <w:tcW w:w="5811" w:type="dxa"/>
          </w:tcPr>
          <w:p w:rsidR="00C30F89" w:rsidRPr="00D13E75" w:rsidRDefault="00C30F89" w:rsidP="00894923">
            <w:pPr>
              <w:pStyle w:val="Lgendetitre"/>
            </w:pPr>
            <w:r w:rsidRPr="00D13E75">
              <w:t>Erklärung der benutzten Zeichen</w:t>
            </w:r>
          </w:p>
        </w:tc>
      </w:tr>
      <w:tr w:rsidR="00C30F89" w:rsidRPr="00D13E75" w:rsidTr="00C50C36">
        <w:trPr>
          <w:cantSplit/>
          <w:trHeight w:val="1944"/>
        </w:trPr>
        <w:tc>
          <w:tcPr>
            <w:tcW w:w="5811" w:type="dxa"/>
            <w:tcBorders>
              <w:bottom w:val="single" w:sz="4" w:space="0" w:color="auto"/>
            </w:tcBorders>
          </w:tcPr>
          <w:p w:rsidR="00C30F89" w:rsidRPr="00D13E75" w:rsidRDefault="00C30F89" w:rsidP="00A225F3">
            <w:pPr>
              <w:pStyle w:val="Lgendesigne"/>
              <w:rPr>
                <w:szCs w:val="24"/>
              </w:rPr>
            </w:pPr>
            <w:r w:rsidRPr="00D13E75">
              <w:tab/>
              <w:t>*</w:t>
            </w:r>
            <w:r w:rsidRPr="00D13E75">
              <w:tab/>
              <w:t>Anhörungsverfahren</w:t>
            </w:r>
          </w:p>
          <w:p w:rsidR="00C30F89" w:rsidRPr="00D13E75" w:rsidRDefault="00C30F89" w:rsidP="00A225F3">
            <w:pPr>
              <w:pStyle w:val="Lgendesigne"/>
              <w:rPr>
                <w:szCs w:val="24"/>
              </w:rPr>
            </w:pPr>
            <w:r w:rsidRPr="00D13E75">
              <w:tab/>
              <w:t>***</w:t>
            </w:r>
            <w:r w:rsidRPr="00D13E75">
              <w:tab/>
              <w:t>Zustimmungsverfahren</w:t>
            </w:r>
          </w:p>
          <w:p w:rsidR="00C30F89" w:rsidRPr="00D13E75" w:rsidRDefault="00C30F89" w:rsidP="00A225F3">
            <w:pPr>
              <w:pStyle w:val="Lgendesigne"/>
              <w:rPr>
                <w:szCs w:val="24"/>
              </w:rPr>
            </w:pPr>
            <w:r w:rsidRPr="00D13E75">
              <w:tab/>
              <w:t>***I</w:t>
            </w:r>
            <w:r w:rsidRPr="00D13E75">
              <w:tab/>
              <w:t>Ordentliches Gesetzgebungsverfahren (erste Lesung)</w:t>
            </w:r>
          </w:p>
          <w:p w:rsidR="00C30F89" w:rsidRPr="00D13E75" w:rsidRDefault="00C30F89" w:rsidP="00A225F3">
            <w:pPr>
              <w:pStyle w:val="Lgendesigne"/>
              <w:rPr>
                <w:szCs w:val="24"/>
              </w:rPr>
            </w:pPr>
            <w:r w:rsidRPr="00D13E75">
              <w:tab/>
              <w:t>***II</w:t>
            </w:r>
            <w:r w:rsidRPr="00D13E75">
              <w:tab/>
              <w:t>Ordentliches Gesetzgebungsverfahren (zweite Lesung)</w:t>
            </w:r>
          </w:p>
          <w:p w:rsidR="00C30F89" w:rsidRPr="00D13E75" w:rsidRDefault="00C30F89" w:rsidP="00A225F3">
            <w:pPr>
              <w:pStyle w:val="Lgendesigne"/>
              <w:rPr>
                <w:szCs w:val="24"/>
              </w:rPr>
            </w:pPr>
            <w:r w:rsidRPr="00D13E75">
              <w:tab/>
              <w:t>***III</w:t>
            </w:r>
            <w:r w:rsidRPr="00D13E75">
              <w:tab/>
              <w:t>Ordentliches Gesetzgebungsverfahren (dritte Lesung)</w:t>
            </w:r>
          </w:p>
          <w:p w:rsidR="00C30F89" w:rsidRPr="00D13E75" w:rsidRDefault="00C30F89" w:rsidP="00A225F3">
            <w:pPr>
              <w:pStyle w:val="Lgendestandard"/>
            </w:pPr>
          </w:p>
          <w:p w:rsidR="00C30F89" w:rsidRPr="00D13E75" w:rsidRDefault="00C30F89" w:rsidP="00A225F3">
            <w:pPr>
              <w:pStyle w:val="Lgendestandard"/>
            </w:pPr>
            <w:r w:rsidRPr="00D13E75">
              <w:t>(Die Angabe des Verfahrens beruht auf der im Entwurf eines Rechtsakts vorgeschlagenen Rechtsgrundlage.)</w:t>
            </w:r>
          </w:p>
          <w:p w:rsidR="00C30F89" w:rsidRPr="00D13E75" w:rsidRDefault="00C30F89" w:rsidP="00E36DAF">
            <w:pPr>
              <w:pStyle w:val="Lgendestandard"/>
            </w:pPr>
          </w:p>
        </w:tc>
      </w:tr>
    </w:tbl>
    <w:p w:rsidR="00C30F89" w:rsidRPr="00D13E75" w:rsidRDefault="00C30F89" w:rsidP="00894923"/>
    <w:p w:rsidR="00C30F89" w:rsidRPr="00D13E75" w:rsidRDefault="00C30F89" w:rsidP="00894923"/>
    <w:p w:rsidR="00C30F89" w:rsidRPr="00D13E75" w:rsidRDefault="00C30F89" w:rsidP="00894923"/>
    <w:p w:rsidR="00C30F89" w:rsidRPr="00D13E75" w:rsidRDefault="00C30F89"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30F89" w:rsidRPr="00D13E75">
        <w:tc>
          <w:tcPr>
            <w:tcW w:w="5811" w:type="dxa"/>
          </w:tcPr>
          <w:p w:rsidR="00C30F89" w:rsidRPr="00D13E75" w:rsidRDefault="00C30F89" w:rsidP="00894923">
            <w:pPr>
              <w:pStyle w:val="Lgendetitre"/>
            </w:pPr>
            <w:r w:rsidRPr="00D13E75">
              <w:t>Änderungsanträge zu einem Entwurf eines Rechtsakts</w:t>
            </w:r>
          </w:p>
        </w:tc>
      </w:tr>
      <w:tr w:rsidR="00C30F89" w:rsidRPr="00D13E75" w:rsidTr="00225D8A">
        <w:trPr>
          <w:trHeight w:val="5490"/>
        </w:trPr>
        <w:tc>
          <w:tcPr>
            <w:tcW w:w="5811" w:type="dxa"/>
          </w:tcPr>
          <w:p w:rsidR="00C30F89" w:rsidRPr="00D13E75" w:rsidRDefault="00C30F89" w:rsidP="00A225F3">
            <w:pPr>
              <w:pStyle w:val="Lgendestandard"/>
              <w:rPr>
                <w:szCs w:val="24"/>
              </w:rPr>
            </w:pPr>
            <w:r w:rsidRPr="00D13E75">
              <w:rPr>
                <w:b/>
                <w:szCs w:val="24"/>
              </w:rPr>
              <w:t>Änderungsanträge des Parlaments in Spaltenform</w:t>
            </w:r>
          </w:p>
          <w:p w:rsidR="00C30F89" w:rsidRPr="00D13E75" w:rsidRDefault="00C30F89" w:rsidP="00A225F3">
            <w:pPr>
              <w:pStyle w:val="Lgendestandard"/>
              <w:rPr>
                <w:szCs w:val="24"/>
              </w:rPr>
            </w:pPr>
          </w:p>
          <w:p w:rsidR="00C30F89" w:rsidRPr="00D13E75" w:rsidRDefault="00C30F89" w:rsidP="00A225F3">
            <w:pPr>
              <w:pStyle w:val="Lgendestandard"/>
              <w:rPr>
                <w:szCs w:val="24"/>
              </w:rPr>
            </w:pPr>
            <w:r w:rsidRPr="00D13E75">
              <w:t xml:space="preserve">Streichungen werden durch </w:t>
            </w:r>
            <w:r w:rsidRPr="00D13E75">
              <w:rPr>
                <w:b/>
                <w:i/>
                <w:szCs w:val="24"/>
              </w:rPr>
              <w:t>Fett- und Kursivdruck</w:t>
            </w:r>
            <w:r w:rsidRPr="00D13E75">
              <w:t xml:space="preserve"> in der linken Spalte gekennzeichnet. Textänderungen werden durch </w:t>
            </w:r>
            <w:r w:rsidRPr="00D13E75">
              <w:rPr>
                <w:b/>
                <w:i/>
                <w:szCs w:val="24"/>
              </w:rPr>
              <w:t>Fett- und Kursivdruck</w:t>
            </w:r>
            <w:r w:rsidRPr="00D13E75">
              <w:t xml:space="preserve"> in beiden Spalten gekennzeichnet. Neuer Text wird durch </w:t>
            </w:r>
            <w:r w:rsidRPr="00D13E75">
              <w:rPr>
                <w:b/>
                <w:i/>
                <w:szCs w:val="24"/>
              </w:rPr>
              <w:t>Fett- und Kursivdruck</w:t>
            </w:r>
            <w:r w:rsidRPr="00D13E75">
              <w:t xml:space="preserve"> in der rechten Spalte gekennzeichnet.</w:t>
            </w:r>
          </w:p>
          <w:p w:rsidR="00C30F89" w:rsidRPr="00D13E75" w:rsidRDefault="00C30F89" w:rsidP="00A225F3">
            <w:pPr>
              <w:pStyle w:val="Lgendestandard"/>
              <w:rPr>
                <w:szCs w:val="24"/>
              </w:rPr>
            </w:pPr>
          </w:p>
          <w:p w:rsidR="00C30F89" w:rsidRPr="00D13E75" w:rsidRDefault="00C30F89" w:rsidP="00A225F3">
            <w:pPr>
              <w:pStyle w:val="Lgendestandard"/>
              <w:rPr>
                <w:szCs w:val="24"/>
              </w:rPr>
            </w:pPr>
            <w:r w:rsidRPr="00D13E75">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C30F89" w:rsidRPr="00D13E75" w:rsidRDefault="00C30F89" w:rsidP="00A225F3">
            <w:pPr>
              <w:pStyle w:val="Lgendestandard"/>
              <w:rPr>
                <w:szCs w:val="24"/>
              </w:rPr>
            </w:pPr>
          </w:p>
          <w:p w:rsidR="00C30F89" w:rsidRPr="00D13E75" w:rsidRDefault="00C30F89" w:rsidP="00A225F3">
            <w:pPr>
              <w:pStyle w:val="Lgendestandard"/>
              <w:rPr>
                <w:b/>
                <w:szCs w:val="24"/>
              </w:rPr>
            </w:pPr>
            <w:r w:rsidRPr="00D13E75">
              <w:rPr>
                <w:b/>
                <w:szCs w:val="24"/>
              </w:rPr>
              <w:t>Änderungsanträge des Parlaments in Form eines konsolidierten Textes</w:t>
            </w:r>
          </w:p>
          <w:p w:rsidR="00C30F89" w:rsidRPr="00D13E75" w:rsidRDefault="00C30F89" w:rsidP="00A225F3">
            <w:pPr>
              <w:pStyle w:val="Lgendestandard"/>
              <w:rPr>
                <w:szCs w:val="24"/>
              </w:rPr>
            </w:pPr>
          </w:p>
          <w:p w:rsidR="00C30F89" w:rsidRPr="00D13E75" w:rsidRDefault="00C30F89" w:rsidP="00A225F3">
            <w:pPr>
              <w:pStyle w:val="Lgendestandard"/>
              <w:rPr>
                <w:szCs w:val="24"/>
              </w:rPr>
            </w:pPr>
            <w:r w:rsidRPr="00D13E75">
              <w:t xml:space="preserve">Neue Textteile sind durch </w:t>
            </w:r>
            <w:r w:rsidRPr="00D13E75">
              <w:rPr>
                <w:b/>
                <w:i/>
                <w:szCs w:val="24"/>
              </w:rPr>
              <w:t>Fett- und Kursivdruck</w:t>
            </w:r>
            <w:r w:rsidRPr="00D13E75">
              <w:t xml:space="preserve"> gekennzeichnet. Auf Textteile, die entfallen, wird mit dem Symbol ▌hingewiesen oder diese Textteile erscheinen durchgestrichen. Textänderungen werden gekennzeichnet, indem der neue Text in </w:t>
            </w:r>
            <w:r w:rsidRPr="00D13E75">
              <w:rPr>
                <w:b/>
                <w:i/>
                <w:szCs w:val="24"/>
              </w:rPr>
              <w:t>Fett- und Kursivdruck</w:t>
            </w:r>
            <w:r w:rsidRPr="00D13E75">
              <w:t xml:space="preserve"> steht und der bisherige Text gelöscht oder durchgestrichen wird.</w:t>
            </w:r>
          </w:p>
          <w:p w:rsidR="00C30F89" w:rsidRPr="00D13E75" w:rsidRDefault="00C30F89" w:rsidP="00A225F3">
            <w:pPr>
              <w:pStyle w:val="Lgendestandard"/>
            </w:pPr>
            <w:r w:rsidRPr="00D13E75">
              <w:t>Rein technische Änderungen, die von den Dienststellen im Hinblick auf die Erstellung des endgültigen Textes vorgenommen werden, werden allerdings nicht gekennzeichnet.</w:t>
            </w:r>
          </w:p>
          <w:p w:rsidR="00C30F89" w:rsidRPr="00D13E75" w:rsidRDefault="00C30F89" w:rsidP="0069092A">
            <w:pPr>
              <w:pStyle w:val="Lgendestandard"/>
            </w:pPr>
          </w:p>
        </w:tc>
      </w:tr>
    </w:tbl>
    <w:p w:rsidR="00C30F89" w:rsidRPr="00D13E75" w:rsidRDefault="00C30F89" w:rsidP="00894923"/>
    <w:p w:rsidR="00ED0821" w:rsidRPr="00D13E75" w:rsidRDefault="00ED0821" w:rsidP="004C4A0B">
      <w:pPr>
        <w:widowControl/>
        <w:tabs>
          <w:tab w:val="center" w:pos="4677"/>
        </w:tabs>
      </w:pPr>
    </w:p>
    <w:p w:rsidR="00ED0821" w:rsidRPr="00D13E75" w:rsidRDefault="00ED0821">
      <w:pPr>
        <w:pStyle w:val="TOCHeading"/>
      </w:pPr>
      <w:r w:rsidRPr="00D13E75">
        <w:br w:type="page"/>
      </w:r>
      <w:r w:rsidRPr="00D13E75">
        <w:lastRenderedPageBreak/>
        <w:t>INHALT</w:t>
      </w:r>
    </w:p>
    <w:p w:rsidR="00ED0821" w:rsidRPr="00D13E75" w:rsidRDefault="00D44E22">
      <w:pPr>
        <w:pStyle w:val="TOCPage"/>
      </w:pPr>
      <w:r w:rsidRPr="00D13E75">
        <w:t>Seite</w:t>
      </w:r>
    </w:p>
    <w:p w:rsidR="00D13E75" w:rsidRDefault="004C4A0B">
      <w:pPr>
        <w:pStyle w:val="TOC1"/>
        <w:tabs>
          <w:tab w:val="right" w:leader="dot" w:pos="9060"/>
        </w:tabs>
        <w:rPr>
          <w:rFonts w:asciiTheme="minorHAnsi" w:eastAsiaTheme="minorEastAsia" w:hAnsiTheme="minorHAnsi" w:cstheme="minorBidi"/>
          <w:noProof/>
          <w:sz w:val="22"/>
          <w:szCs w:val="22"/>
          <w:lang w:val="en-GB"/>
        </w:rPr>
      </w:pPr>
      <w:r w:rsidRPr="00D13E75">
        <w:rPr>
          <w:b/>
        </w:rPr>
        <w:fldChar w:fldCharType="begin"/>
      </w:r>
      <w:r w:rsidRPr="00D13E75">
        <w:rPr>
          <w:b/>
        </w:rPr>
        <w:instrText xml:space="preserve"> TOC \t "PageHeading</w:instrText>
      </w:r>
      <w:r w:rsidR="00BA3449" w:rsidRPr="00D13E75">
        <w:rPr>
          <w:b/>
        </w:rPr>
        <w:instrText>;</w:instrText>
      </w:r>
      <w:r w:rsidRPr="00D13E75">
        <w:rPr>
          <w:b/>
        </w:rPr>
        <w:instrText xml:space="preserve">1" </w:instrText>
      </w:r>
      <w:r w:rsidRPr="00D13E75">
        <w:rPr>
          <w:b/>
        </w:rPr>
        <w:fldChar w:fldCharType="separate"/>
      </w:r>
      <w:r w:rsidR="00D13E75">
        <w:rPr>
          <w:noProof/>
        </w:rPr>
        <w:t>ENTWURF EINER LEGISLATIVEN ENTSCHLIESSUNG DES EUROPÄISCHEN PARLAMENTS</w:t>
      </w:r>
      <w:r w:rsidR="00D13E75">
        <w:rPr>
          <w:noProof/>
        </w:rPr>
        <w:tab/>
      </w:r>
      <w:r w:rsidR="00D13E75">
        <w:rPr>
          <w:noProof/>
        </w:rPr>
        <w:fldChar w:fldCharType="begin"/>
      </w:r>
      <w:r w:rsidR="00D13E75">
        <w:rPr>
          <w:noProof/>
        </w:rPr>
        <w:instrText xml:space="preserve"> PAGEREF _Toc50966131 \h </w:instrText>
      </w:r>
      <w:r w:rsidR="00D13E75">
        <w:rPr>
          <w:noProof/>
        </w:rPr>
      </w:r>
      <w:r w:rsidR="00D13E75">
        <w:rPr>
          <w:noProof/>
        </w:rPr>
        <w:fldChar w:fldCharType="separate"/>
      </w:r>
      <w:r w:rsidR="00D13E75">
        <w:rPr>
          <w:noProof/>
        </w:rPr>
        <w:t>5</w:t>
      </w:r>
      <w:r w:rsidR="00D13E75">
        <w:rPr>
          <w:noProof/>
        </w:rPr>
        <w:fldChar w:fldCharType="end"/>
      </w:r>
    </w:p>
    <w:p w:rsidR="00D13E75" w:rsidRDefault="00D13E75">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_Toc50966132 \h </w:instrText>
      </w:r>
      <w:r>
        <w:rPr>
          <w:noProof/>
        </w:rPr>
      </w:r>
      <w:r>
        <w:rPr>
          <w:noProof/>
        </w:rPr>
        <w:fldChar w:fldCharType="separate"/>
      </w:r>
      <w:r>
        <w:rPr>
          <w:noProof/>
        </w:rPr>
        <w:t>6</w:t>
      </w:r>
      <w:r>
        <w:rPr>
          <w:noProof/>
        </w:rPr>
        <w:fldChar w:fldCharType="end"/>
      </w:r>
    </w:p>
    <w:p w:rsidR="001A06D8" w:rsidRPr="00D13E75" w:rsidRDefault="004C4A0B" w:rsidP="007B68B8">
      <w:r w:rsidRPr="00D13E75">
        <w:rPr>
          <w:b/>
        </w:rPr>
        <w:fldChar w:fldCharType="end"/>
      </w:r>
    </w:p>
    <w:p w:rsidR="00ED0821" w:rsidRPr="00D13E75" w:rsidRDefault="00ED0821">
      <w:pPr>
        <w:pStyle w:val="PageHeading"/>
      </w:pPr>
      <w:r w:rsidRPr="00D13E75">
        <w:br w:type="page"/>
      </w:r>
      <w:r w:rsidRPr="00D13E75">
        <w:lastRenderedPageBreak/>
        <w:br w:type="page"/>
      </w:r>
      <w:bookmarkStart w:id="0" w:name="_Toc50966131"/>
      <w:r w:rsidRPr="00D13E75">
        <w:lastRenderedPageBreak/>
        <w:t>ENTWURF EINER LEGISLATIVEN ENTSCHLIESSUNG DES EUROPÄISCHEN PARLAMENTS</w:t>
      </w:r>
      <w:bookmarkEnd w:id="0"/>
    </w:p>
    <w:p w:rsidR="00BA3449" w:rsidRPr="00D13E75" w:rsidRDefault="00BA3449" w:rsidP="00BA3449">
      <w:pPr>
        <w:pStyle w:val="NormalBold"/>
      </w:pPr>
      <w:r w:rsidRPr="00D13E75">
        <w:t>zu dem Vorschlag für einen Beschluss des Rates über die Anwendung der AIEM-Steuer auf den Kanarischen Inseln</w:t>
      </w:r>
    </w:p>
    <w:p w:rsidR="00ED0821" w:rsidRPr="00D13E75" w:rsidRDefault="00BA3449" w:rsidP="00BA3449">
      <w:pPr>
        <w:pStyle w:val="NormalBold12a"/>
      </w:pPr>
      <w:r w:rsidRPr="00D13E75">
        <w:t>(COM(2020)0355 – C9-0000/2020 – 2020/0163(CNS))</w:t>
      </w:r>
    </w:p>
    <w:p w:rsidR="00ED0821" w:rsidRPr="00D13E75" w:rsidRDefault="00D44E22" w:rsidP="007B68B8">
      <w:pPr>
        <w:pStyle w:val="NormalBold"/>
      </w:pPr>
      <w:r w:rsidRPr="00D13E75">
        <w:t>(Besonderes Gesetzgebungsverfahren – Anhörung)</w:t>
      </w:r>
    </w:p>
    <w:p w:rsidR="00ED0821" w:rsidRPr="00D13E75" w:rsidRDefault="00D44E22">
      <w:pPr>
        <w:pStyle w:val="EPComma"/>
      </w:pPr>
      <w:r w:rsidRPr="00D13E75">
        <w:rPr>
          <w:i/>
        </w:rPr>
        <w:t>Das Europäische Parlament</w:t>
      </w:r>
      <w:r w:rsidRPr="00D13E75">
        <w:t>,</w:t>
      </w:r>
    </w:p>
    <w:p w:rsidR="00BA3449" w:rsidRPr="00D13E75" w:rsidRDefault="00BA3449" w:rsidP="00BA3449">
      <w:pPr>
        <w:pStyle w:val="NormalHanging12a"/>
      </w:pPr>
      <w:r w:rsidRPr="00D13E75">
        <w:t>–</w:t>
      </w:r>
      <w:r w:rsidRPr="00D13E75">
        <w:tab/>
        <w:t>unter Hinweis auf den Vorschlag der Kommission an den Rat (COM(2020)0355),</w:t>
      </w:r>
    </w:p>
    <w:p w:rsidR="00BA3449" w:rsidRPr="00D13E75" w:rsidRDefault="00BA3449" w:rsidP="00BA3449">
      <w:pPr>
        <w:pStyle w:val="NormalHanging12a"/>
      </w:pPr>
      <w:r w:rsidRPr="00D13E75">
        <w:t>–</w:t>
      </w:r>
      <w:r w:rsidRPr="00D13E75">
        <w:tab/>
        <w:t>gestützt auf Artikel 349 des Vertrags über die Arbeitsweise der Europäischen Union, gemäß dem es vom Rat angehört wurde (C9-0000/2020),</w:t>
      </w:r>
    </w:p>
    <w:p w:rsidR="00BA3449" w:rsidRPr="00D13E75" w:rsidRDefault="00BA3449" w:rsidP="00BA3449">
      <w:pPr>
        <w:pStyle w:val="NormalHanging12a"/>
      </w:pPr>
      <w:r w:rsidRPr="00D13E75">
        <w:t>–</w:t>
      </w:r>
      <w:r w:rsidRPr="00D13E75">
        <w:tab/>
        <w:t>gestützt auf Artikel 82 seiner Geschäftsordnung,</w:t>
      </w:r>
    </w:p>
    <w:p w:rsidR="00BA3449" w:rsidRPr="00D13E75" w:rsidRDefault="00BA3449" w:rsidP="00BA3449">
      <w:pPr>
        <w:pStyle w:val="NormalHanging12a"/>
      </w:pPr>
      <w:r w:rsidRPr="00D13E75">
        <w:t>–</w:t>
      </w:r>
      <w:r w:rsidRPr="00D13E75">
        <w:tab/>
        <w:t>unter Hinweis auf den Bericht des Ausschusses für regionale Entwicklung (A9</w:t>
      </w:r>
      <w:r w:rsidRPr="00D13E75">
        <w:noBreakHyphen/>
        <w:t>0000/2020),</w:t>
      </w:r>
    </w:p>
    <w:p w:rsidR="00BA3449" w:rsidRPr="00D13E75" w:rsidRDefault="00BA3449" w:rsidP="00BA3449">
      <w:pPr>
        <w:pStyle w:val="NormalHanging12a"/>
      </w:pPr>
      <w:r w:rsidRPr="00D13E75">
        <w:t>1.</w:t>
      </w:r>
      <w:r w:rsidRPr="00D13E75">
        <w:tab/>
        <w:t>billigt den Vorschlag der Kommission;</w:t>
      </w:r>
    </w:p>
    <w:p w:rsidR="00BA3449" w:rsidRPr="00D13E75" w:rsidRDefault="00BA3449" w:rsidP="00BA3449">
      <w:pPr>
        <w:pStyle w:val="NormalHanging12a"/>
      </w:pPr>
      <w:r w:rsidRPr="00D13E75">
        <w:t>2.</w:t>
      </w:r>
      <w:r w:rsidRPr="00D13E75">
        <w:tab/>
        <w:t>fordert den Rat auf, es zu unterrichten, falls er beabsichtigt, von dem vom Parlament gebilligten Text abzuweichen;</w:t>
      </w:r>
    </w:p>
    <w:p w:rsidR="00BA3449" w:rsidRPr="00D13E75" w:rsidRDefault="00BA3449" w:rsidP="00BA3449">
      <w:pPr>
        <w:pStyle w:val="NormalHanging12a"/>
      </w:pPr>
      <w:r w:rsidRPr="00D13E75">
        <w:t>3.</w:t>
      </w:r>
      <w:r w:rsidRPr="00D13E75">
        <w:tab/>
        <w:t>fordert den Rat auf, es erneut anzuhören, falls er beabsichtigt, den vom Parlament gebilligten Text entscheidend zu ändern;</w:t>
      </w:r>
    </w:p>
    <w:p w:rsidR="00BA3449" w:rsidRPr="00D13E75" w:rsidRDefault="00BA3449" w:rsidP="00BA3449">
      <w:pPr>
        <w:pStyle w:val="NormalHanging12a"/>
      </w:pPr>
      <w:r w:rsidRPr="00D13E75">
        <w:t>4.</w:t>
      </w:r>
      <w:r w:rsidRPr="00D13E75">
        <w:tab/>
        <w:t>beauftragt seinen Präsidenten, den Standpunkt des Parlaments dem Rat und der Kommission sowie den nationalen Parlamenten zu übermitteln.</w:t>
      </w:r>
    </w:p>
    <w:p w:rsidR="00BA3449" w:rsidRPr="00D13E75" w:rsidRDefault="00BA3449">
      <w:pPr>
        <w:widowControl/>
      </w:pPr>
      <w:r w:rsidRPr="00D13E75">
        <w:br w:type="page"/>
      </w:r>
    </w:p>
    <w:p w:rsidR="00BA3449" w:rsidRPr="00D13E75" w:rsidRDefault="00BA3449" w:rsidP="00BA3449">
      <w:pPr>
        <w:pStyle w:val="PageHeading"/>
      </w:pPr>
      <w:bookmarkStart w:id="1" w:name="_Toc49425148"/>
      <w:bookmarkStart w:id="2" w:name="_Toc50966132"/>
      <w:r w:rsidRPr="00D13E75">
        <w:lastRenderedPageBreak/>
        <w:t>BEGRÜNDUNG</w:t>
      </w:r>
      <w:bookmarkEnd w:id="1"/>
      <w:bookmarkEnd w:id="2"/>
    </w:p>
    <w:p w:rsidR="00BA3449" w:rsidRPr="00D13E75" w:rsidRDefault="00BA3449" w:rsidP="00BA3449">
      <w:pPr>
        <w:rPr>
          <w:u w:val="single"/>
        </w:rPr>
      </w:pPr>
      <w:r w:rsidRPr="00D13E75">
        <w:rPr>
          <w:u w:val="single"/>
        </w:rPr>
        <w:t>A. Rechtlicher Hintergrund</w:t>
      </w:r>
    </w:p>
    <w:p w:rsidR="00BA3449" w:rsidRPr="00D13E75" w:rsidRDefault="00BA3449" w:rsidP="00BA3449"/>
    <w:p w:rsidR="00BA3449" w:rsidRPr="00D13E75" w:rsidRDefault="00BA3449" w:rsidP="00BA3449">
      <w:r w:rsidRPr="00D13E75">
        <w:t>Artikel 349 AEUV ermöglicht in den Gebieten in äußerster Randlage Ausnahmen von EU-Bestimmungen, um mehrere einschränkende Faktoren, die als ständige Gegebenheiten und durch ihr Zusammenwirken die wirtschaftliche und soziale Entwicklung dieser Gebiete beeinträchtigen, teilweise auszugleichen. Dieser Vorschlag gehört zu einer Reihe von Vorschlägen, die darauf abzielen, während der Laufzeit des nächsten mehrjährigen Finanzrahmens (2021–2027) konkrete Maßnahmen im Bereich der Besteuerung anzuwenden.</w:t>
      </w:r>
    </w:p>
    <w:p w:rsidR="00BA3449" w:rsidRPr="00D13E75" w:rsidRDefault="00BA3449" w:rsidP="00BA3449"/>
    <w:p w:rsidR="00BA3449" w:rsidRPr="00D13E75" w:rsidRDefault="00BA3449" w:rsidP="00BA3449">
      <w:pPr>
        <w:rPr>
          <w:u w:val="single"/>
        </w:rPr>
      </w:pPr>
      <w:r w:rsidRPr="00D13E75">
        <w:rPr>
          <w:u w:val="single"/>
        </w:rPr>
        <w:t>B. Geltungsbereich der Steuerbefreiung</w:t>
      </w:r>
    </w:p>
    <w:p w:rsidR="00BA3449" w:rsidRPr="00D13E75" w:rsidRDefault="00BA3449" w:rsidP="00BA3449"/>
    <w:p w:rsidR="00BA3449" w:rsidRPr="00D13E75" w:rsidRDefault="00BA3449" w:rsidP="00BA3449">
      <w:r w:rsidRPr="00D13E75">
        <w:t>Artikel 1 des vorgeschlagenen Beschlusses sieht eine vollständige oder teilweise Befreiung lokal hergestellter Erzeugnisse von der Steuer mit der Bezeichnung „Arbitrio sobre las Importaciones y Entregas de Mercancías en las Islas Canarias (AIEM)“ vor, bei der es sich um eine Steuer auf Erzeugnisse handelt, die auf den Kanarischen Inseln zur Anwendung kommt. Diese Ausnahmeregelung gilt seit 2002 und dient dazu, die Wirtschaft vor Ort teilweise für die höheren Produktionskosten, die der Abgeschiedenheit der Kanarischen Inseln geschuldet sind, zu entschädigen. Die Befreiungen dürfen die Preise der fraglichen Erzeugnisse nicht um mehr als 15 % beeinflussen und eine jährliche Obergrenze von insgesamt 150 Mio. EUR nicht überschreiten.</w:t>
      </w:r>
    </w:p>
    <w:p w:rsidR="00BA3449" w:rsidRPr="00D13E75" w:rsidRDefault="00BA3449" w:rsidP="00BA3449">
      <w:pPr>
        <w:rPr>
          <w:lang w:val="en-GB"/>
        </w:rPr>
      </w:pPr>
    </w:p>
    <w:p w:rsidR="00BA3449" w:rsidRPr="00D13E75" w:rsidRDefault="00BA3449" w:rsidP="00BA3449">
      <w:pPr>
        <w:rPr>
          <w:u w:val="single"/>
        </w:rPr>
      </w:pPr>
      <w:r w:rsidRPr="00D13E75">
        <w:rPr>
          <w:u w:val="single"/>
        </w:rPr>
        <w:t>C. Festlegung der erfassten Erzeugnisse</w:t>
      </w:r>
    </w:p>
    <w:p w:rsidR="00BA3449" w:rsidRPr="00D13E75" w:rsidRDefault="00BA3449" w:rsidP="00BA3449"/>
    <w:p w:rsidR="00BA3449" w:rsidRPr="00D13E75" w:rsidRDefault="00BA3449" w:rsidP="00BA3449">
      <w:r w:rsidRPr="00D13E75">
        <w:t>Die für eine Befreiung infrage kommenden Erzeugniskategorien sind in Anhang I mit Bezug auf die EU-Nomenklatur aufgeführt. Die spanischen Behörden müssen jedoch innerhalb der Vorgaben dieses Befreiungsbeschlusses die Liste der konkreten, lokal hergestellten Erzeugnisse, für die diese Befreiung gilt, und die Höhe der Befreiung in jedem Fall festlegen. In Artikel 2 sind die folgenden drei Kriterien für diese Festlegung aufgeführt: Es besteht eine lokale Herstellung und deren Anteil am lokalen Markt beträgt mindestens 5 %; es bestehen bedeutende Einfuhren von Waren, die die Fortführung der lokalen Herstellung gefährden könnten und deren Anteil am lokalen Markt mindestens 10 % beträgt; es bestehen zusätzliche Kosten für die lokale Herstellung, die die Wettbewerbsfähigkeit der lokalen Herstellung beeinträchtigen. Von diesen Kriterien kann innerhalb gewisser Grenzen abgewichen werden, um beispielsweise die Ernährungssicherheit vor Ort und die Versorgung mit Medizinprodukten sicherzustellen.</w:t>
      </w:r>
    </w:p>
    <w:p w:rsidR="00BA3449" w:rsidRPr="00D13E75" w:rsidRDefault="00BA3449" w:rsidP="00BA3449"/>
    <w:p w:rsidR="00BA3449" w:rsidRPr="00D13E75" w:rsidRDefault="00BA3449" w:rsidP="00BA3449">
      <w:pPr>
        <w:rPr>
          <w:u w:val="single"/>
        </w:rPr>
      </w:pPr>
      <w:r w:rsidRPr="00D13E75">
        <w:rPr>
          <w:u w:val="single"/>
        </w:rPr>
        <w:t>D. Berichterstattung</w:t>
      </w:r>
    </w:p>
    <w:p w:rsidR="00BA3449" w:rsidRPr="00D13E75" w:rsidRDefault="00BA3449" w:rsidP="00BA3449"/>
    <w:p w:rsidR="00BA3449" w:rsidRPr="00D13E75" w:rsidRDefault="00BA3449" w:rsidP="00BA3449">
      <w:r w:rsidRPr="00D13E75">
        <w:t>Gemäß Artikel 3 muss Spanien die Liste der befreiten Erzeugnisse und sämtliche Änderungen dieser Liste der Kommission melden. Mit diesem Beschluss wird Spanien verpflichtet, gemäß Artikel 4 und Anhang II über die Durchführung und die Auswirkungen dieser Ausnahmeregelung für jede Kategorie der befreiten Erzeugnisse Bericht zu erstatten.</w:t>
      </w:r>
    </w:p>
    <w:p w:rsidR="00BA3449" w:rsidRPr="00D13E75" w:rsidRDefault="00BA3449" w:rsidP="00BA3449"/>
    <w:p w:rsidR="00BA3449" w:rsidRPr="00D13E75" w:rsidRDefault="00BA3449" w:rsidP="00BA3449">
      <w:pPr>
        <w:rPr>
          <w:u w:val="single"/>
        </w:rPr>
      </w:pPr>
      <w:r w:rsidRPr="00D13E75">
        <w:rPr>
          <w:u w:val="single"/>
        </w:rPr>
        <w:t>E. Einschätzung des Berichterstatters</w:t>
      </w:r>
    </w:p>
    <w:p w:rsidR="00BA3449" w:rsidRPr="00D13E75" w:rsidRDefault="00BA3449" w:rsidP="00BA3449"/>
    <w:p w:rsidR="00BA3449" w:rsidRPr="00D13E75" w:rsidRDefault="00BA3449" w:rsidP="00BA3449">
      <w:r w:rsidRPr="00D13E75">
        <w:t xml:space="preserve">Nach Auffassung des Berichterstatters ist dieser Vorschlag für spezifische </w:t>
      </w:r>
      <w:r w:rsidRPr="00D13E75">
        <w:lastRenderedPageBreak/>
        <w:t>Besteuerungsbestimmungen gerechtfertigt und uneingeschränkt mit Artikel 349 vereinbar. Es besteht keine Gefahr von Verzerrungen auf dem Binnenmarkt. Der Berichterstatter schlägt daher vor, dass das Parlament diesen Vorschlag für einen Beschluss ohne Änderung im Rahmen des vereinfachten Verfahrens gemäß Artikel 52 Absatz 1 der Geschäftsordnung billigt.</w:t>
      </w:r>
    </w:p>
    <w:p w:rsidR="002B1B1D" w:rsidRPr="00D13E75" w:rsidRDefault="002B1B1D" w:rsidP="002B1B1D">
      <w:bookmarkStart w:id="3" w:name="_GoBack"/>
      <w:bookmarkEnd w:id="3"/>
    </w:p>
    <w:sectPr w:rsidR="002B1B1D" w:rsidRPr="00D13E75" w:rsidSect="00911DF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22" w:rsidRPr="00D44E22" w:rsidRDefault="00D44E22">
      <w:r w:rsidRPr="00D44E22">
        <w:separator/>
      </w:r>
    </w:p>
  </w:endnote>
  <w:endnote w:type="continuationSeparator" w:id="0">
    <w:p w:rsidR="00D44E22" w:rsidRPr="00D44E22" w:rsidRDefault="00D44E22">
      <w:r w:rsidRPr="00D44E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00" w:rsidRPr="00D13E75" w:rsidRDefault="002F7000" w:rsidP="005C0789">
    <w:pPr>
      <w:pStyle w:val="EPFooter"/>
      <w:rPr>
        <w:lang w:val="fr-FR"/>
      </w:rPr>
    </w:pPr>
    <w:r w:rsidRPr="00D13E75">
      <w:rPr>
        <w:lang w:val="fr-FR"/>
      </w:rPr>
      <w:t>PE</w:t>
    </w:r>
    <w:r w:rsidRPr="00D13E75">
      <w:rPr>
        <w:rStyle w:val="HideTWBExt"/>
        <w:noProof w:val="0"/>
        <w:lang w:val="fr-FR"/>
      </w:rPr>
      <w:t>&lt;NoPE&gt;</w:t>
    </w:r>
    <w:r w:rsidR="00C30F89" w:rsidRPr="00D13E75">
      <w:rPr>
        <w:lang w:val="fr-FR"/>
      </w:rPr>
      <w:t>655.929</w:t>
    </w:r>
    <w:r w:rsidRPr="00D13E75">
      <w:rPr>
        <w:rStyle w:val="HideTWBExt"/>
        <w:noProof w:val="0"/>
        <w:lang w:val="fr-FR"/>
      </w:rPr>
      <w:t>&lt;/NoPE&gt;&lt;Version&gt;</w:t>
    </w:r>
    <w:r w:rsidR="00D44E22" w:rsidRPr="00D13E75">
      <w:rPr>
        <w:lang w:val="fr-FR"/>
      </w:rPr>
      <w:t>v</w:t>
    </w:r>
    <w:r w:rsidR="00C30F89" w:rsidRPr="00D13E75">
      <w:rPr>
        <w:lang w:val="fr-FR"/>
      </w:rPr>
      <w:t>01-00</w:t>
    </w:r>
    <w:r w:rsidRPr="00D13E75">
      <w:rPr>
        <w:rStyle w:val="HideTWBExt"/>
        <w:noProof w:val="0"/>
        <w:lang w:val="fr-FR"/>
      </w:rPr>
      <w:t>&lt;/Version&gt;</w:t>
    </w:r>
    <w:r w:rsidRPr="00D13E75">
      <w:rPr>
        <w:lang w:val="fr-FR"/>
      </w:rPr>
      <w:tab/>
    </w:r>
    <w:r w:rsidR="00865B2B" w:rsidRPr="00D44E22">
      <w:fldChar w:fldCharType="begin"/>
    </w:r>
    <w:r w:rsidR="00865B2B" w:rsidRPr="00D13E75">
      <w:rPr>
        <w:lang w:val="fr-FR"/>
      </w:rPr>
      <w:instrText xml:space="preserve"> PAGE </w:instrText>
    </w:r>
    <w:r w:rsidR="00865B2B" w:rsidRPr="00D44E22">
      <w:fldChar w:fldCharType="separate"/>
    </w:r>
    <w:r w:rsidR="00D13E75">
      <w:rPr>
        <w:noProof/>
        <w:lang w:val="fr-FR"/>
      </w:rPr>
      <w:t>6</w:t>
    </w:r>
    <w:r w:rsidR="00865B2B" w:rsidRPr="00D44E22">
      <w:fldChar w:fldCharType="end"/>
    </w:r>
    <w:r w:rsidR="00865B2B" w:rsidRPr="00D13E75">
      <w:rPr>
        <w:lang w:val="fr-FR"/>
      </w:rPr>
      <w:t>/</w:t>
    </w:r>
    <w:r w:rsidR="00865B2B" w:rsidRPr="00D44E22">
      <w:rPr>
        <w:rStyle w:val="PageNumber"/>
      </w:rPr>
      <w:fldChar w:fldCharType="begin"/>
    </w:r>
    <w:r w:rsidR="00865B2B" w:rsidRPr="00D13E75">
      <w:rPr>
        <w:rStyle w:val="PageNumber"/>
        <w:lang w:val="fr-FR"/>
      </w:rPr>
      <w:instrText xml:space="preserve"> NUMPAGES </w:instrText>
    </w:r>
    <w:r w:rsidR="00865B2B" w:rsidRPr="00D44E22">
      <w:rPr>
        <w:rStyle w:val="PageNumber"/>
      </w:rPr>
      <w:fldChar w:fldCharType="separate"/>
    </w:r>
    <w:r w:rsidR="00D13E75">
      <w:rPr>
        <w:rStyle w:val="PageNumber"/>
        <w:noProof/>
        <w:lang w:val="fr-FR"/>
      </w:rPr>
      <w:t>7</w:t>
    </w:r>
    <w:r w:rsidR="00865B2B" w:rsidRPr="00D44E22">
      <w:rPr>
        <w:rStyle w:val="PageNumber"/>
      </w:rPr>
      <w:fldChar w:fldCharType="end"/>
    </w:r>
    <w:r w:rsidRPr="00D13E75">
      <w:rPr>
        <w:lang w:val="fr-FR"/>
      </w:rPr>
      <w:tab/>
    </w:r>
    <w:r w:rsidRPr="00D13E75">
      <w:rPr>
        <w:rStyle w:val="HideTWBExt"/>
        <w:noProof w:val="0"/>
        <w:lang w:val="fr-FR"/>
      </w:rPr>
      <w:t>&lt;PathFdR&gt;</w:t>
    </w:r>
    <w:r w:rsidR="00C30F89" w:rsidRPr="00D13E75">
      <w:rPr>
        <w:lang w:val="fr-FR"/>
      </w:rPr>
      <w:t>PR\1211799DE.docx</w:t>
    </w:r>
    <w:r w:rsidRPr="00D13E75">
      <w:rPr>
        <w:rStyle w:val="HideTWBExt"/>
        <w:noProof w:val="0"/>
        <w:lang w:val="fr-FR"/>
      </w:rPr>
      <w:t>&lt;/PathFdR&gt;</w:t>
    </w:r>
  </w:p>
  <w:p w:rsidR="002F7000" w:rsidRPr="00D44E22" w:rsidRDefault="00D13E75">
    <w:pPr>
      <w:pStyle w:val="EPFooter2"/>
    </w:pPr>
    <w:r>
      <w:fldChar w:fldCharType="begin"/>
    </w:r>
    <w:r>
      <w:instrText xml:space="preserve"> DOCPROPERTY "&lt;Extension&gt;" </w:instrText>
    </w:r>
    <w:r>
      <w:fldChar w:fldCharType="separate"/>
    </w:r>
    <w:r>
      <w:t>DE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00" w:rsidRPr="00D44E22" w:rsidRDefault="002F7000" w:rsidP="005C0789">
    <w:pPr>
      <w:pStyle w:val="EPFooter"/>
    </w:pPr>
    <w:r w:rsidRPr="00D44E22">
      <w:rPr>
        <w:rStyle w:val="HideTWBExt"/>
        <w:noProof w:val="0"/>
      </w:rPr>
      <w:t>&lt;PathFdR&gt;</w:t>
    </w:r>
    <w:r w:rsidR="00C30F89" w:rsidRPr="00C30F89">
      <w:t>PR\1211799DE.docx</w:t>
    </w:r>
    <w:r w:rsidRPr="00D44E22">
      <w:rPr>
        <w:rStyle w:val="HideTWBExt"/>
        <w:noProof w:val="0"/>
      </w:rPr>
      <w:t>&lt;/PathFdR&gt;</w:t>
    </w:r>
    <w:r w:rsidRPr="00D44E22">
      <w:tab/>
    </w:r>
    <w:r w:rsidR="00865B2B" w:rsidRPr="00D44E22">
      <w:fldChar w:fldCharType="begin"/>
    </w:r>
    <w:r w:rsidR="00865B2B" w:rsidRPr="00D44E22">
      <w:instrText xml:space="preserve"> PAGE </w:instrText>
    </w:r>
    <w:r w:rsidR="00865B2B" w:rsidRPr="00D44E22">
      <w:fldChar w:fldCharType="separate"/>
    </w:r>
    <w:r w:rsidR="00D13E75">
      <w:rPr>
        <w:noProof/>
      </w:rPr>
      <w:t>7</w:t>
    </w:r>
    <w:r w:rsidR="00865B2B" w:rsidRPr="00D44E22">
      <w:fldChar w:fldCharType="end"/>
    </w:r>
    <w:r w:rsidR="00865B2B" w:rsidRPr="00D44E22">
      <w:t>/</w:t>
    </w:r>
    <w:r w:rsidR="00865B2B" w:rsidRPr="00D44E22">
      <w:rPr>
        <w:rStyle w:val="PageNumber"/>
      </w:rPr>
      <w:fldChar w:fldCharType="begin"/>
    </w:r>
    <w:r w:rsidR="00865B2B" w:rsidRPr="00D44E22">
      <w:rPr>
        <w:rStyle w:val="PageNumber"/>
      </w:rPr>
      <w:instrText xml:space="preserve"> NUMPAGES </w:instrText>
    </w:r>
    <w:r w:rsidR="00865B2B" w:rsidRPr="00D44E22">
      <w:rPr>
        <w:rStyle w:val="PageNumber"/>
      </w:rPr>
      <w:fldChar w:fldCharType="separate"/>
    </w:r>
    <w:r w:rsidR="00D13E75">
      <w:rPr>
        <w:rStyle w:val="PageNumber"/>
        <w:noProof/>
      </w:rPr>
      <w:t>7</w:t>
    </w:r>
    <w:r w:rsidR="00865B2B" w:rsidRPr="00D44E22">
      <w:rPr>
        <w:rStyle w:val="PageNumber"/>
      </w:rPr>
      <w:fldChar w:fldCharType="end"/>
    </w:r>
    <w:r w:rsidRPr="00D44E22">
      <w:tab/>
      <w:t>PE</w:t>
    </w:r>
    <w:r w:rsidRPr="00D44E22">
      <w:rPr>
        <w:rStyle w:val="HideTWBExt"/>
        <w:noProof w:val="0"/>
      </w:rPr>
      <w:t>&lt;NoPE&gt;</w:t>
    </w:r>
    <w:r w:rsidR="00C30F89" w:rsidRPr="00C30F89">
      <w:t>655.929</w:t>
    </w:r>
    <w:r w:rsidRPr="00D44E22">
      <w:rPr>
        <w:rStyle w:val="HideTWBExt"/>
        <w:noProof w:val="0"/>
      </w:rPr>
      <w:t>&lt;/NoPE&gt;&lt;Version&gt;</w:t>
    </w:r>
    <w:r w:rsidR="00D44E22" w:rsidRPr="00D44E22">
      <w:t>v</w:t>
    </w:r>
    <w:r w:rsidR="00C30F89" w:rsidRPr="00C30F89">
      <w:t>01-00</w:t>
    </w:r>
    <w:r w:rsidRPr="00D44E22">
      <w:rPr>
        <w:rStyle w:val="HideTWBExt"/>
        <w:noProof w:val="0"/>
      </w:rPr>
      <w:t>&lt;/Version&gt;</w:t>
    </w:r>
  </w:p>
  <w:p w:rsidR="002F7000" w:rsidRPr="00D44E22" w:rsidRDefault="00865B2B">
    <w:pPr>
      <w:pStyle w:val="EPFooter2"/>
    </w:pPr>
    <w:r w:rsidRPr="00D44E22">
      <w:tab/>
    </w:r>
    <w:r w:rsidR="002F7000" w:rsidRPr="00D44E22">
      <w:tab/>
    </w:r>
    <w:r w:rsidR="00D13E75">
      <w:fldChar w:fldCharType="begin"/>
    </w:r>
    <w:r w:rsidR="00D13E75">
      <w:instrText xml:space="preserve"> DOCPROPERTY "&lt;Extension&gt;" </w:instrText>
    </w:r>
    <w:r w:rsidR="00D13E75">
      <w:fldChar w:fldCharType="separate"/>
    </w:r>
    <w:r w:rsidR="00D13E75">
      <w:t>DE</w:t>
    </w:r>
    <w:r w:rsidR="00D13E7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00" w:rsidRPr="00D44E22" w:rsidRDefault="002F7000" w:rsidP="005C0789">
    <w:pPr>
      <w:pStyle w:val="EPFooter"/>
    </w:pPr>
    <w:r w:rsidRPr="00D44E22">
      <w:rPr>
        <w:rStyle w:val="HideTWBExt"/>
        <w:noProof w:val="0"/>
      </w:rPr>
      <w:t>&lt;PathFdR&gt;</w:t>
    </w:r>
    <w:r w:rsidR="00BA3449" w:rsidRPr="00BA3449">
      <w:t>PR\1211799DE.docx</w:t>
    </w:r>
    <w:r w:rsidRPr="00D44E22">
      <w:rPr>
        <w:rStyle w:val="HideTWBExt"/>
        <w:noProof w:val="0"/>
      </w:rPr>
      <w:t>&lt;/PathFdR&gt;</w:t>
    </w:r>
    <w:r w:rsidRPr="00D44E22">
      <w:tab/>
    </w:r>
    <w:r w:rsidRPr="00D44E22">
      <w:tab/>
      <w:t>PE</w:t>
    </w:r>
    <w:r w:rsidRPr="00D44E22">
      <w:rPr>
        <w:rStyle w:val="HideTWBExt"/>
        <w:noProof w:val="0"/>
      </w:rPr>
      <w:t>&lt;NoPE&gt;</w:t>
    </w:r>
    <w:r w:rsidR="00BA3449" w:rsidRPr="00BA3449">
      <w:t>655.929</w:t>
    </w:r>
    <w:r w:rsidRPr="00D44E22">
      <w:rPr>
        <w:rStyle w:val="HideTWBExt"/>
        <w:noProof w:val="0"/>
      </w:rPr>
      <w:t>&lt;/NoPE&gt;&lt;Version&gt;</w:t>
    </w:r>
    <w:r w:rsidR="00D44E22" w:rsidRPr="00D44E22">
      <w:t>v</w:t>
    </w:r>
    <w:r w:rsidR="00BA3449" w:rsidRPr="00BA3449">
      <w:t>01-00</w:t>
    </w:r>
    <w:r w:rsidRPr="00D44E22">
      <w:rPr>
        <w:rStyle w:val="HideTWBExt"/>
        <w:noProof w:val="0"/>
      </w:rPr>
      <w:t>&lt;/Version&gt;</w:t>
    </w:r>
  </w:p>
  <w:p w:rsidR="002F7000" w:rsidRPr="00D44E22" w:rsidRDefault="00D13E75" w:rsidP="00C71A3C">
    <w:pPr>
      <w:pStyle w:val="EPFooter2"/>
      <w:tabs>
        <w:tab w:val="clear" w:pos="4535"/>
        <w:tab w:val="center" w:pos="4536"/>
      </w:tabs>
    </w:pPr>
    <w:r>
      <w:fldChar w:fldCharType="begin"/>
    </w:r>
    <w:r>
      <w:instrText xml:space="preserve"> DOCPROPERTY "&lt;Extension&gt;" </w:instrText>
    </w:r>
    <w:r>
      <w:fldChar w:fldCharType="separate"/>
    </w:r>
    <w:r>
      <w:t>DE</w:t>
    </w:r>
    <w:r>
      <w:fldChar w:fldCharType="end"/>
    </w:r>
    <w:r w:rsidR="002F7000" w:rsidRPr="00D44E22">
      <w:tab/>
    </w:r>
    <w:r w:rsidR="00BA3449">
      <w:rPr>
        <w:b w:val="0"/>
        <w:i/>
        <w:color w:val="C0C0C0"/>
        <w:sz w:val="22"/>
        <w:szCs w:val="22"/>
      </w:rPr>
      <w:t>In Vielfalt geeint</w:t>
    </w:r>
    <w:r w:rsidR="002F7000" w:rsidRPr="00D44E22">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22" w:rsidRPr="00D44E22" w:rsidRDefault="00D44E22">
      <w:r w:rsidRPr="00D44E22">
        <w:separator/>
      </w:r>
    </w:p>
  </w:footnote>
  <w:footnote w:type="continuationSeparator" w:id="0">
    <w:p w:rsidR="00D44E22" w:rsidRPr="00D44E22" w:rsidRDefault="00D44E22">
      <w:r w:rsidRPr="00D44E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65" w:rsidRDefault="00B56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65" w:rsidRDefault="00B56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65" w:rsidRDefault="00B56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KEY" w:val="REGI"/>
    <w:docVar w:name="LastEditedSection" w:val=" 1"/>
    <w:docVar w:name="strDocTypeID" w:val="PR_CNS_LegAct_app"/>
    <w:docVar w:name="strSubDir" w:val="1211"/>
    <w:docVar w:name="TXTLANGUE" w:val="DE"/>
    <w:docVar w:name="TXTLANGUEMIN" w:val="de"/>
    <w:docVar w:name="TXTNRCNS" w:val="2020/0163"/>
    <w:docVar w:name="TXTNRPE" w:val="655.929"/>
    <w:docVar w:name="TXTPEorAP" w:val="PE"/>
    <w:docVar w:name="TXTROUTE" w:val="PR\1211799DE.docx"/>
    <w:docVar w:name="TXTVERSION" w:val="01-00"/>
  </w:docVars>
  <w:rsids>
    <w:rsidRoot w:val="00D44E22"/>
    <w:rsid w:val="00056EA7"/>
    <w:rsid w:val="000753AB"/>
    <w:rsid w:val="000C7D46"/>
    <w:rsid w:val="000E1B0C"/>
    <w:rsid w:val="00104AEE"/>
    <w:rsid w:val="001157F2"/>
    <w:rsid w:val="001907B9"/>
    <w:rsid w:val="001A06D8"/>
    <w:rsid w:val="001E5A80"/>
    <w:rsid w:val="002274E3"/>
    <w:rsid w:val="0027008F"/>
    <w:rsid w:val="002817C0"/>
    <w:rsid w:val="002B0E9D"/>
    <w:rsid w:val="002B1B1D"/>
    <w:rsid w:val="002B272A"/>
    <w:rsid w:val="002D6A8E"/>
    <w:rsid w:val="002E5810"/>
    <w:rsid w:val="002F7000"/>
    <w:rsid w:val="00302A66"/>
    <w:rsid w:val="00356F22"/>
    <w:rsid w:val="00385C3B"/>
    <w:rsid w:val="00470D5E"/>
    <w:rsid w:val="00487BC1"/>
    <w:rsid w:val="004C4A0B"/>
    <w:rsid w:val="004D7B3B"/>
    <w:rsid w:val="004F549A"/>
    <w:rsid w:val="0050486E"/>
    <w:rsid w:val="005048AD"/>
    <w:rsid w:val="00543B7B"/>
    <w:rsid w:val="00566C5B"/>
    <w:rsid w:val="005C0789"/>
    <w:rsid w:val="005F4E2B"/>
    <w:rsid w:val="00681C69"/>
    <w:rsid w:val="006860EE"/>
    <w:rsid w:val="006C3928"/>
    <w:rsid w:val="006D7DDB"/>
    <w:rsid w:val="0079505D"/>
    <w:rsid w:val="00796EB5"/>
    <w:rsid w:val="007B68B8"/>
    <w:rsid w:val="007D611D"/>
    <w:rsid w:val="00865B2B"/>
    <w:rsid w:val="00874129"/>
    <w:rsid w:val="008E1C2D"/>
    <w:rsid w:val="008E22DF"/>
    <w:rsid w:val="00911DF1"/>
    <w:rsid w:val="00972620"/>
    <w:rsid w:val="009C7A06"/>
    <w:rsid w:val="009D0C99"/>
    <w:rsid w:val="00A11805"/>
    <w:rsid w:val="00A32023"/>
    <w:rsid w:val="00A43E6A"/>
    <w:rsid w:val="00AD26AD"/>
    <w:rsid w:val="00AF7573"/>
    <w:rsid w:val="00B37926"/>
    <w:rsid w:val="00B37B16"/>
    <w:rsid w:val="00B56065"/>
    <w:rsid w:val="00B8590D"/>
    <w:rsid w:val="00B8794C"/>
    <w:rsid w:val="00BA3449"/>
    <w:rsid w:val="00BB2027"/>
    <w:rsid w:val="00BD28D4"/>
    <w:rsid w:val="00BE4EC7"/>
    <w:rsid w:val="00C22C1C"/>
    <w:rsid w:val="00C30F89"/>
    <w:rsid w:val="00C54859"/>
    <w:rsid w:val="00C71A3C"/>
    <w:rsid w:val="00C82EBC"/>
    <w:rsid w:val="00C95F4F"/>
    <w:rsid w:val="00D13E75"/>
    <w:rsid w:val="00D33288"/>
    <w:rsid w:val="00D4037E"/>
    <w:rsid w:val="00D44E22"/>
    <w:rsid w:val="00DC3DED"/>
    <w:rsid w:val="00E45E53"/>
    <w:rsid w:val="00E822D6"/>
    <w:rsid w:val="00E97119"/>
    <w:rsid w:val="00ED0609"/>
    <w:rsid w:val="00ED0821"/>
    <w:rsid w:val="00F10FED"/>
    <w:rsid w:val="00F4597B"/>
    <w:rsid w:val="00F803E3"/>
    <w:rsid w:val="00F978D3"/>
    <w:rsid w:val="00FC479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D3E58C-1DDA-4889-9CB3-EAE5A88D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E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7B68B8"/>
    <w:pPr>
      <w:spacing w:before="480" w:after="240"/>
    </w:pPr>
  </w:style>
  <w:style w:type="paragraph" w:styleId="TOC1">
    <w:name w:val="toc 1"/>
    <w:basedOn w:val="Normal"/>
    <w:next w:val="Normal"/>
    <w:autoRedefine/>
    <w:uiPriority w:val="39"/>
    <w:rsid w:val="00470D5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C4A0B"/>
    <w:pPr>
      <w:spacing w:before="80" w:after="80"/>
    </w:pPr>
    <w:rPr>
      <w:rFonts w:ascii="Arial Narrow" w:hAnsi="Arial Narrow" w:cs="Arial"/>
      <w:b/>
      <w:sz w:val="32"/>
      <w:szCs w:val="22"/>
    </w:rPr>
  </w:style>
  <w:style w:type="paragraph" w:customStyle="1" w:styleId="CoverNormal24a">
    <w:name w:val="CoverNormal24a"/>
    <w:basedOn w:val="Normal"/>
    <w:rsid w:val="005C078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F549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5C078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4597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EPFooter">
    <w:name w:val="EPFooter"/>
    <w:basedOn w:val="Normal"/>
    <w:rsid w:val="005C0789"/>
    <w:pPr>
      <w:tabs>
        <w:tab w:val="center" w:pos="4535"/>
        <w:tab w:val="right" w:pos="9071"/>
      </w:tabs>
      <w:spacing w:before="240" w:after="240"/>
    </w:pPr>
    <w:rPr>
      <w:sz w:val="22"/>
    </w:rPr>
  </w:style>
  <w:style w:type="character" w:styleId="PageNumber">
    <w:name w:val="page number"/>
    <w:basedOn w:val="DefaultParagraphFont"/>
    <w:semiHidden/>
    <w:rsid w:val="00865B2B"/>
  </w:style>
  <w:style w:type="character" w:customStyle="1" w:styleId="HeaderChar">
    <w:name w:val="Header Char"/>
    <w:basedOn w:val="DefaultParagraphFont"/>
    <w:link w:val="Header"/>
    <w:semiHidden/>
    <w:rsid w:val="00F4597B"/>
    <w:rPr>
      <w:sz w:val="24"/>
    </w:rPr>
  </w:style>
  <w:style w:type="paragraph" w:customStyle="1" w:styleId="Lgendesigne">
    <w:name w:val="Légende signe"/>
    <w:basedOn w:val="Normal"/>
    <w:rsid w:val="00C30F89"/>
    <w:pPr>
      <w:tabs>
        <w:tab w:val="right" w:pos="454"/>
        <w:tab w:val="left" w:pos="737"/>
      </w:tabs>
      <w:ind w:left="737" w:hanging="737"/>
    </w:pPr>
    <w:rPr>
      <w:snapToGrid w:val="0"/>
      <w:sz w:val="18"/>
      <w:lang w:eastAsia="en-US"/>
    </w:rPr>
  </w:style>
  <w:style w:type="paragraph" w:customStyle="1" w:styleId="Lgendetitre">
    <w:name w:val="Légende titre"/>
    <w:basedOn w:val="Normal"/>
    <w:rsid w:val="00C30F89"/>
    <w:pPr>
      <w:spacing w:before="240" w:after="240"/>
    </w:pPr>
    <w:rPr>
      <w:b/>
      <w:i/>
      <w:snapToGrid w:val="0"/>
      <w:lang w:eastAsia="en-US"/>
    </w:rPr>
  </w:style>
  <w:style w:type="paragraph" w:customStyle="1" w:styleId="Lgendestandard">
    <w:name w:val="Légende standard"/>
    <w:basedOn w:val="Normal"/>
    <w:rsid w:val="00C30F89"/>
    <w:rPr>
      <w:sz w:val="18"/>
    </w:rPr>
  </w:style>
  <w:style w:type="paragraph" w:styleId="Footer">
    <w:name w:val="footer"/>
    <w:basedOn w:val="Normal"/>
    <w:link w:val="FooterChar"/>
    <w:semiHidden/>
    <w:rsid w:val="00B56065"/>
    <w:pPr>
      <w:tabs>
        <w:tab w:val="center" w:pos="4513"/>
        <w:tab w:val="right" w:pos="9026"/>
      </w:tabs>
    </w:pPr>
  </w:style>
  <w:style w:type="character" w:customStyle="1" w:styleId="FooterChar">
    <w:name w:val="Footer Char"/>
    <w:basedOn w:val="DefaultParagraphFont"/>
    <w:link w:val="Footer"/>
    <w:semiHidden/>
    <w:rsid w:val="00B56065"/>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C0B5-2AC9-4CF8-9943-A646720C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451D8BF9.dotm</Template>
  <TotalTime>0</TotalTime>
  <Pages>7</Pages>
  <Words>897</Words>
  <Characters>6043</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HALABAREC Tamara</dc:creator>
  <cp:keywords/>
  <dc:description/>
  <cp:lastModifiedBy>HALABAREC Tamara</cp:lastModifiedBy>
  <cp:revision>2</cp:revision>
  <cp:lastPrinted>2004-11-04T10:10:00Z</cp:lastPrinted>
  <dcterms:created xsi:type="dcterms:W3CDTF">2020-09-14T06:55:00Z</dcterms:created>
  <dcterms:modified xsi:type="dcterms:W3CDTF">2020-09-14T06:55:00Z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1211799</vt:lpwstr>
  </property>
  <property fmtid="{D5CDD505-2E9C-101B-9397-08002B2CF9AE}" pid="5" name="&lt;Type&gt;">
    <vt:lpwstr>PR</vt:lpwstr>
  </property>
  <property fmtid="{D5CDD505-2E9C-101B-9397-08002B2CF9AE}" pid="6" name="&lt;ModelCod&gt;">
    <vt:lpwstr>\\eiciLUXpr1\pdocep$\DocEP\DOCS\General\PR\PR_Leg\CNS\CNS_LegAct\PR_CNS_LegAct_app.dotx(17/04/2020 19:27:11)</vt:lpwstr>
  </property>
  <property fmtid="{D5CDD505-2E9C-101B-9397-08002B2CF9AE}" pid="7" name="&lt;ModelTra&gt;">
    <vt:lpwstr>\\eiciLUXpr1\pdocep$\DocEP\TRANSFIL\DE\PR_CNS_LegAct_app.DE(11/10/2019 10:29:12)</vt:lpwstr>
  </property>
  <property fmtid="{D5CDD505-2E9C-101B-9397-08002B2CF9AE}" pid="8" name="&lt;Model&gt;">
    <vt:lpwstr>PR_CNS_LegAct_app</vt:lpwstr>
  </property>
  <property fmtid="{D5CDD505-2E9C-101B-9397-08002B2CF9AE}" pid="9" name="FooterPath">
    <vt:lpwstr>PR\1211799DE.docx</vt:lpwstr>
  </property>
  <property fmtid="{D5CDD505-2E9C-101B-9397-08002B2CF9AE}" pid="10" name="PE number">
    <vt:lpwstr>655.929</vt:lpwstr>
  </property>
  <property fmtid="{D5CDD505-2E9C-101B-9397-08002B2CF9AE}" pid="11" name="Bookout">
    <vt:lpwstr>OK - 2020/09/14 08:55</vt:lpwstr>
  </property>
  <property fmtid="{D5CDD505-2E9C-101B-9397-08002B2CF9AE}" pid="12" name="SDLStudio">
    <vt:lpwstr/>
  </property>
  <property fmtid="{D5CDD505-2E9C-101B-9397-08002B2CF9AE}" pid="13" name="&lt;Extension&gt;">
    <vt:lpwstr>DE</vt:lpwstr>
  </property>
</Properties>
</file>