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7B3BD0" w:rsidTr="00481807">
        <w:trPr>
          <w:trHeight w:hRule="exact" w:val="1418"/>
        </w:trPr>
        <w:tc>
          <w:tcPr>
            <w:tcW w:w="6804" w:type="dxa"/>
            <w:shd w:val="clear" w:color="auto" w:fill="auto"/>
            <w:vAlign w:val="center"/>
          </w:tcPr>
          <w:p w:rsidR="00DF0DC8" w:rsidRPr="007B3BD0" w:rsidRDefault="00C01C46" w:rsidP="00481807">
            <w:pPr>
              <w:pStyle w:val="EPName"/>
            </w:pPr>
            <w:r w:rsidRPr="007B3BD0">
              <w:t>Europa-Parlamentet</w:t>
            </w:r>
          </w:p>
          <w:p w:rsidR="00DF0DC8" w:rsidRPr="007B3BD0" w:rsidRDefault="00495C97" w:rsidP="00495C97">
            <w:pPr>
              <w:pStyle w:val="EPTerm"/>
              <w:rPr>
                <w:rStyle w:val="HideTWBExt"/>
                <w:noProof w:val="0"/>
                <w:vanish w:val="0"/>
                <w:color w:val="auto"/>
              </w:rPr>
            </w:pPr>
            <w:r w:rsidRPr="007B3BD0">
              <w:t>2019-2024</w:t>
            </w:r>
          </w:p>
        </w:tc>
        <w:tc>
          <w:tcPr>
            <w:tcW w:w="2268" w:type="dxa"/>
            <w:shd w:val="clear" w:color="auto" w:fill="auto"/>
          </w:tcPr>
          <w:p w:rsidR="00DF0DC8" w:rsidRPr="007B3BD0" w:rsidRDefault="007B0C9D" w:rsidP="00481807">
            <w:pPr>
              <w:pStyle w:val="EPLogo"/>
            </w:pPr>
            <w:r w:rsidRPr="007B3BD0">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7B3BD0" w:rsidRDefault="00F64B87" w:rsidP="00F64B87">
      <w:pPr>
        <w:pStyle w:val="LineTop"/>
      </w:pPr>
    </w:p>
    <w:p w:rsidR="00F64B87" w:rsidRPr="007B3BD0" w:rsidRDefault="00F64B87" w:rsidP="00F64B87">
      <w:pPr>
        <w:pStyle w:val="EPBody"/>
      </w:pPr>
      <w:r w:rsidRPr="007B3BD0">
        <w:rPr>
          <w:rStyle w:val="HideTWBExt"/>
          <w:noProof w:val="0"/>
        </w:rPr>
        <w:t>&lt;</w:t>
      </w:r>
      <w:r w:rsidRPr="007B3BD0">
        <w:rPr>
          <w:rStyle w:val="HideTWBExt"/>
          <w:i w:val="0"/>
          <w:noProof w:val="0"/>
        </w:rPr>
        <w:t>Commission&gt;</w:t>
      </w:r>
      <w:r w:rsidRPr="007B3BD0">
        <w:rPr>
          <w:rStyle w:val="HideTWBInt"/>
        </w:rPr>
        <w:t>{REGI}</w:t>
      </w:r>
      <w:r w:rsidRPr="007B3BD0">
        <w:t>Regionaludviklingsudvalget</w:t>
      </w:r>
      <w:r w:rsidRPr="007B3BD0">
        <w:rPr>
          <w:rStyle w:val="HideTWBExt"/>
          <w:noProof w:val="0"/>
        </w:rPr>
        <w:t>&lt;/</w:t>
      </w:r>
      <w:r w:rsidRPr="007B3BD0">
        <w:rPr>
          <w:rStyle w:val="HideTWBExt"/>
          <w:i w:val="0"/>
          <w:noProof w:val="0"/>
        </w:rPr>
        <w:t>Commission</w:t>
      </w:r>
      <w:r w:rsidRPr="007B3BD0">
        <w:rPr>
          <w:rStyle w:val="HideTWBExt"/>
          <w:noProof w:val="0"/>
        </w:rPr>
        <w:t>&gt;</w:t>
      </w:r>
    </w:p>
    <w:p w:rsidR="001173AC" w:rsidRPr="007B3BD0" w:rsidRDefault="001173AC" w:rsidP="001173AC">
      <w:pPr>
        <w:pStyle w:val="LineBottom"/>
      </w:pPr>
    </w:p>
    <w:p w:rsidR="00EA74BF" w:rsidRPr="007B3BD0" w:rsidRDefault="00495C97" w:rsidP="001173AC">
      <w:pPr>
        <w:pStyle w:val="HeadingReferenceOJPV"/>
        <w:rPr>
          <w:rFonts w:ascii="Times New Roman" w:hAnsi="Times New Roman"/>
        </w:rPr>
      </w:pPr>
      <w:r w:rsidRPr="007B3BD0">
        <w:rPr>
          <w:rFonts w:ascii="Times New Roman" w:hAnsi="Times New Roman"/>
        </w:rPr>
        <w:t>REGI_PV(2019)1104_1</w:t>
      </w:r>
    </w:p>
    <w:p w:rsidR="00EA74BF" w:rsidRPr="007B3BD0" w:rsidRDefault="00C01C46" w:rsidP="001173AC">
      <w:pPr>
        <w:pStyle w:val="HeadingDocType24a"/>
      </w:pPr>
      <w:r w:rsidRPr="007B3BD0">
        <w:t>PROTOKOL</w:t>
      </w:r>
    </w:p>
    <w:p w:rsidR="00495C97" w:rsidRPr="007B3BD0" w:rsidRDefault="00C01C46" w:rsidP="001173AC">
      <w:pPr>
        <w:pStyle w:val="HeadingCenter12a"/>
      </w:pPr>
      <w:r w:rsidRPr="007B3BD0">
        <w:t>fra mødet den 4. november 2019 kl. 15.00-18.30</w:t>
      </w:r>
    </w:p>
    <w:p w:rsidR="00EA74BF" w:rsidRPr="007B3BD0" w:rsidRDefault="00495C97" w:rsidP="001173AC">
      <w:pPr>
        <w:pStyle w:val="HeadingCenter12a"/>
      </w:pPr>
      <w:r w:rsidRPr="007B3BD0">
        <w:t>og den 5. novem</w:t>
      </w:r>
      <w:bookmarkStart w:id="0" w:name="_GoBack"/>
      <w:bookmarkEnd w:id="0"/>
      <w:r w:rsidRPr="007B3BD0">
        <w:t>ber 2019 kl. 9.00-12.30</w:t>
      </w:r>
    </w:p>
    <w:p w:rsidR="00EA74BF" w:rsidRPr="007B3BD0" w:rsidRDefault="00495C97" w:rsidP="001173AC">
      <w:pPr>
        <w:pStyle w:val="HeadingCenter12a"/>
      </w:pPr>
      <w:r w:rsidRPr="007B3BD0">
        <w:t>BRUXELLES</w:t>
      </w:r>
    </w:p>
    <w:p w:rsidR="00EA74BF" w:rsidRPr="007B3BD0" w:rsidRDefault="00C01C46" w:rsidP="001173AC">
      <w:pPr>
        <w:pStyle w:val="MeetingIntro"/>
      </w:pPr>
      <w:r w:rsidRPr="007B3BD0">
        <w:t>Mødet åbnet mandag den 4. november 2019 kl. 15.08 under forsæde af Younous Omarjee (formand).</w:t>
      </w:r>
    </w:p>
    <w:p w:rsidR="00495C97" w:rsidRPr="007B3BD0" w:rsidRDefault="00B84C6A" w:rsidP="00B84C6A">
      <w:pPr>
        <w:pStyle w:val="PVxHeading"/>
        <w:numPr>
          <w:ilvl w:val="0"/>
          <w:numId w:val="0"/>
        </w:numPr>
        <w:tabs>
          <w:tab w:val="left" w:pos="720"/>
        </w:tabs>
        <w:ind w:left="720" w:hanging="720"/>
      </w:pPr>
      <w:r w:rsidRPr="007B3BD0">
        <w:t>1.</w:t>
      </w:r>
      <w:r w:rsidRPr="007B3BD0">
        <w:tab/>
        <w:t>Vedtagelse af dagsordenen</w:t>
      </w:r>
      <w:r w:rsidRPr="007B3BD0">
        <w:tab/>
      </w:r>
      <w:r w:rsidRPr="007B3BD0">
        <w:rPr>
          <w:b w:val="0"/>
        </w:rPr>
        <w:t>REGI_OJ (2019)1104_1</w:t>
      </w:r>
    </w:p>
    <w:p w:rsidR="00495C97" w:rsidRPr="007B3BD0" w:rsidRDefault="00495C97" w:rsidP="00634C09">
      <w:pPr>
        <w:pStyle w:val="PVxIndent"/>
        <w:ind w:left="0"/>
      </w:pPr>
      <w:r w:rsidRPr="007B3BD0">
        <w:t>Dagsordenen vedtoges i den form, der fremgår af denne protokol.</w:t>
      </w:r>
    </w:p>
    <w:p w:rsidR="00495C97" w:rsidRPr="007B3BD0" w:rsidRDefault="00B84C6A" w:rsidP="007C02AE">
      <w:pPr>
        <w:pStyle w:val="PVxHeading"/>
        <w:numPr>
          <w:ilvl w:val="0"/>
          <w:numId w:val="0"/>
        </w:numPr>
        <w:tabs>
          <w:tab w:val="left" w:pos="720"/>
        </w:tabs>
        <w:ind w:left="720" w:hanging="720"/>
      </w:pPr>
      <w:r w:rsidRPr="007B3BD0">
        <w:t>2.</w:t>
      </w:r>
      <w:r w:rsidRPr="007B3BD0">
        <w:tab/>
        <w:t>Godkendelse af protokollerne fra møderne den:</w:t>
      </w:r>
    </w:p>
    <w:p w:rsidR="00495C97" w:rsidRPr="007B3BD0" w:rsidRDefault="007C02AE" w:rsidP="007C02AE">
      <w:pPr>
        <w:pStyle w:val="PVxIndentRightTab"/>
        <w:tabs>
          <w:tab w:val="left" w:pos="720"/>
          <w:tab w:val="left" w:pos="993"/>
          <w:tab w:val="left" w:pos="2694"/>
        </w:tabs>
        <w:ind w:left="709" w:hanging="709"/>
      </w:pPr>
      <w:r w:rsidRPr="007B3BD0">
        <w:tab/>
      </w:r>
      <w:r w:rsidRPr="007B3BD0">
        <w:rPr>
          <w:rFonts w:ascii="Symbol" w:hAnsi="Symbol"/>
        </w:rPr>
        <w:t></w:t>
      </w:r>
      <w:r w:rsidRPr="007B3BD0">
        <w:rPr>
          <w:rFonts w:ascii="Symbol" w:hAnsi="Symbol"/>
        </w:rPr>
        <w:tab/>
      </w:r>
      <w:r w:rsidRPr="007B3BD0">
        <w:t>2. oktober 2019,</w:t>
      </w:r>
      <w:r w:rsidRPr="007B3BD0">
        <w:tab/>
        <w:t>ordinært møde</w:t>
      </w:r>
      <w:r w:rsidRPr="007B3BD0">
        <w:tab/>
        <w:t>PE 641.428v01-00</w:t>
      </w:r>
    </w:p>
    <w:p w:rsidR="00BD2FBF" w:rsidRPr="007B3BD0" w:rsidRDefault="007C02AE" w:rsidP="007C02AE">
      <w:pPr>
        <w:pStyle w:val="PVxIndentRightTab"/>
        <w:tabs>
          <w:tab w:val="left" w:pos="720"/>
          <w:tab w:val="left" w:pos="993"/>
          <w:tab w:val="left" w:pos="1701"/>
          <w:tab w:val="left" w:pos="2694"/>
        </w:tabs>
        <w:ind w:left="709" w:hanging="709"/>
      </w:pPr>
      <w:r w:rsidRPr="007B3BD0">
        <w:tab/>
      </w:r>
      <w:r w:rsidRPr="007B3BD0">
        <w:rPr>
          <w:rFonts w:ascii="Symbol" w:hAnsi="Symbol"/>
        </w:rPr>
        <w:t></w:t>
      </w:r>
      <w:r w:rsidRPr="007B3BD0">
        <w:rPr>
          <w:rFonts w:ascii="Symbol" w:hAnsi="Symbol"/>
        </w:rPr>
        <w:tab/>
      </w:r>
      <w:r w:rsidRPr="007B3BD0">
        <w:t>2. oktober 2019,</w:t>
      </w:r>
      <w:r w:rsidRPr="007B3BD0">
        <w:tab/>
        <w:t xml:space="preserve">høring af Elisa Ferreira, indstillet kommissær  </w:t>
      </w:r>
    </w:p>
    <w:p w:rsidR="00BD2FBF" w:rsidRPr="007B3BD0" w:rsidRDefault="00BD2FBF" w:rsidP="007C02AE">
      <w:pPr>
        <w:pStyle w:val="PVxIndentRightTab"/>
        <w:tabs>
          <w:tab w:val="left" w:pos="720"/>
          <w:tab w:val="left" w:pos="993"/>
          <w:tab w:val="left" w:pos="1701"/>
          <w:tab w:val="left" w:pos="2694"/>
        </w:tabs>
        <w:ind w:left="709" w:hanging="709"/>
      </w:pPr>
      <w:r w:rsidRPr="007B3BD0">
        <w:tab/>
      </w:r>
      <w:r w:rsidRPr="007B3BD0">
        <w:tab/>
      </w:r>
      <w:r w:rsidRPr="007B3BD0">
        <w:tab/>
      </w:r>
      <w:r w:rsidRPr="007B3BD0">
        <w:tab/>
      </w:r>
      <w:r w:rsidRPr="007B3BD0">
        <w:tab/>
        <w:t xml:space="preserve">med ansvar for samhørighed og reformer </w:t>
      </w:r>
      <w:r w:rsidRPr="007B3BD0">
        <w:tab/>
        <w:t>PE 642.865v01-00</w:t>
      </w:r>
    </w:p>
    <w:p w:rsidR="00495C97" w:rsidRPr="007B3BD0" w:rsidRDefault="00495C97" w:rsidP="007C02AE">
      <w:pPr>
        <w:pStyle w:val="PVxIndentRightTab"/>
        <w:tabs>
          <w:tab w:val="left" w:pos="720"/>
          <w:tab w:val="left" w:pos="993"/>
          <w:tab w:val="left" w:pos="2694"/>
        </w:tabs>
        <w:spacing w:before="240" w:after="240"/>
        <w:ind w:left="709" w:hanging="709"/>
      </w:pPr>
      <w:r w:rsidRPr="007B3BD0">
        <w:t>Protokollerne godkendtes.</w:t>
      </w:r>
    </w:p>
    <w:p w:rsidR="00997B12" w:rsidRPr="007B3BD0" w:rsidRDefault="00B84C6A" w:rsidP="00B84C6A">
      <w:pPr>
        <w:pStyle w:val="PVxHeading"/>
        <w:numPr>
          <w:ilvl w:val="0"/>
          <w:numId w:val="0"/>
        </w:numPr>
        <w:tabs>
          <w:tab w:val="left" w:pos="720"/>
        </w:tabs>
        <w:ind w:left="720" w:hanging="720"/>
      </w:pPr>
      <w:r w:rsidRPr="007B3BD0">
        <w:t>3.</w:t>
      </w:r>
      <w:r w:rsidRPr="007B3BD0">
        <w:tab/>
        <w:t>Meddelelser fra formanden</w:t>
      </w:r>
    </w:p>
    <w:p w:rsidR="00495C97" w:rsidRPr="007B3BD0" w:rsidRDefault="002F0CBD" w:rsidP="00634C09">
      <w:pPr>
        <w:pStyle w:val="PVxIndent12b"/>
        <w:ind w:left="0"/>
      </w:pPr>
      <w:r w:rsidRPr="007B3BD0">
        <w:t>Ingen.</w:t>
      </w:r>
    </w:p>
    <w:p w:rsidR="003D5BE7" w:rsidRPr="007B3BD0" w:rsidRDefault="00B84C6A" w:rsidP="00B84C6A">
      <w:pPr>
        <w:pStyle w:val="PVxHeading"/>
        <w:numPr>
          <w:ilvl w:val="0"/>
          <w:numId w:val="0"/>
        </w:numPr>
        <w:tabs>
          <w:tab w:val="left" w:pos="720"/>
        </w:tabs>
        <w:ind w:left="720" w:hanging="720"/>
      </w:pPr>
      <w:r w:rsidRPr="007B3BD0">
        <w:t>4.</w:t>
      </w:r>
      <w:r w:rsidRPr="007B3BD0">
        <w:tab/>
        <w:t>Undersøgelse bestilt af Temaafdeling B, "Undersøgelse for REGI-udvalget – kønsdimensionen i EU's samhørighedspolitik"</w:t>
      </w:r>
    </w:p>
    <w:p w:rsidR="003D5BE7" w:rsidRPr="007B3BD0" w:rsidRDefault="003D3ADA" w:rsidP="003D5BE7">
      <w:r w:rsidRPr="007B3BD0">
        <w:t>Manuela Samek Lodovici, ledende forsker, Istituto per la Ricerca Sociale, Milano, Italien, fremlagde undersøgelsen og besvarede indlæg fra medlemmerne.</w:t>
      </w:r>
    </w:p>
    <w:p w:rsidR="00634C09" w:rsidRPr="007B3BD0" w:rsidRDefault="00634C09" w:rsidP="003D5BE7"/>
    <w:p w:rsidR="003D5BE7" w:rsidRPr="007B3BD0" w:rsidRDefault="00634C09">
      <w:pPr>
        <w:tabs>
          <w:tab w:val="left" w:pos="-1057"/>
          <w:tab w:val="left" w:pos="-720"/>
          <w:tab w:val="left" w:pos="0"/>
          <w:tab w:val="left" w:pos="720"/>
          <w:tab w:val="left" w:pos="2154"/>
          <w:tab w:val="left" w:pos="2880"/>
        </w:tabs>
      </w:pPr>
      <w:r w:rsidRPr="007B3BD0">
        <w:rPr>
          <w:b/>
          <w:i/>
        </w:rPr>
        <w:lastRenderedPageBreak/>
        <w:t xml:space="preserve">Indlæg: </w:t>
      </w:r>
      <w:r w:rsidRPr="007B3BD0">
        <w:t>Manuela Samek Lodovici, Pascal Arimont, Monika Vana, Isabel Benjumea Benjumea, Stéphane Bijoux, Alexandra Geese, Rosa D'Amato, Constanze Krehl, Younous Omarjee.</w:t>
      </w:r>
    </w:p>
    <w:p w:rsidR="00634C09" w:rsidRPr="007B3BD0" w:rsidRDefault="00B84C6A" w:rsidP="00B84C6A">
      <w:pPr>
        <w:pStyle w:val="PVxHeading"/>
        <w:numPr>
          <w:ilvl w:val="0"/>
          <w:numId w:val="0"/>
        </w:numPr>
        <w:tabs>
          <w:tab w:val="left" w:pos="720"/>
        </w:tabs>
        <w:ind w:left="720" w:hanging="720"/>
      </w:pPr>
      <w:r w:rsidRPr="007B3BD0">
        <w:t>5.</w:t>
      </w:r>
      <w:r w:rsidRPr="007B3BD0">
        <w:tab/>
        <w:t>Drøftelse med Mariana Kotzeva, generaldirektør for Eurostat – Fremlæggelse af "Eurostat regional yearbook" for 2019</w:t>
      </w:r>
    </w:p>
    <w:p w:rsidR="00634C09" w:rsidRPr="007B3BD0" w:rsidRDefault="00634C09" w:rsidP="00634C09">
      <w:r w:rsidRPr="007B3BD0">
        <w:t>Mariana Kotzeva, generaldirektør for Eurostat, fremlagde "Eurostat regional yearbook" for 2019 og besvarede indlæg fra medlemmerne.</w:t>
      </w:r>
    </w:p>
    <w:p w:rsidR="00634C09" w:rsidRPr="007B3BD0" w:rsidRDefault="00634C09" w:rsidP="00634C09"/>
    <w:p w:rsidR="00634C09" w:rsidRPr="007B3BD0" w:rsidRDefault="00634C09" w:rsidP="00634C09">
      <w:r w:rsidRPr="007B3BD0">
        <w:rPr>
          <w:b/>
          <w:i/>
        </w:rPr>
        <w:t xml:space="preserve">Indlæg: </w:t>
      </w:r>
      <w:r w:rsidRPr="007B3BD0">
        <w:t>Younous Omarjee, Mariana Kotzeva, Mauri Pekkarinen, Alessandro Panza, Andrey Novakov, Daniel Buda, Niklas Nienaß, Stelios Kympouropoulos.</w:t>
      </w:r>
    </w:p>
    <w:p w:rsidR="00FA2068" w:rsidRPr="007B3BD0" w:rsidRDefault="00FA2068" w:rsidP="00FA2068">
      <w:pPr>
        <w:spacing w:before="240"/>
      </w:pPr>
      <w:r w:rsidRPr="007B3BD0">
        <w:t>Mødet udsat kl. 17.32.</w:t>
      </w:r>
    </w:p>
    <w:p w:rsidR="00FA2068" w:rsidRPr="007B3BD0" w:rsidRDefault="00FA2068" w:rsidP="00FA2068">
      <w:pPr>
        <w:spacing w:before="240" w:after="240"/>
        <w:jc w:val="center"/>
      </w:pPr>
      <w:r w:rsidRPr="007B3BD0">
        <w:t>* * *</w:t>
      </w:r>
    </w:p>
    <w:p w:rsidR="00FA2068" w:rsidRPr="007B3BD0" w:rsidRDefault="00B84C6A" w:rsidP="00B84C6A">
      <w:pPr>
        <w:pStyle w:val="PVxHeading"/>
        <w:numPr>
          <w:ilvl w:val="0"/>
          <w:numId w:val="0"/>
        </w:numPr>
        <w:tabs>
          <w:tab w:val="left" w:pos="720"/>
        </w:tabs>
        <w:ind w:left="720" w:hanging="720"/>
      </w:pPr>
      <w:r w:rsidRPr="007B3BD0">
        <w:t>6.</w:t>
      </w:r>
      <w:r w:rsidRPr="007B3BD0">
        <w:tab/>
        <w:t>For lukkede døre</w:t>
      </w:r>
    </w:p>
    <w:p w:rsidR="007D2E58" w:rsidRPr="007B3BD0" w:rsidRDefault="007D2E58" w:rsidP="007D2E58">
      <w:r w:rsidRPr="007B3BD0">
        <w:t>Koordinatorerne holdt møde for lukkede døre.</w:t>
      </w:r>
    </w:p>
    <w:p w:rsidR="00FA2068" w:rsidRPr="007B3BD0" w:rsidRDefault="00FA2068" w:rsidP="00FA2068">
      <w:pPr>
        <w:spacing w:before="240" w:after="240"/>
        <w:jc w:val="center"/>
      </w:pPr>
      <w:r w:rsidRPr="007B3BD0">
        <w:t>* * *</w:t>
      </w:r>
    </w:p>
    <w:p w:rsidR="00FA2068" w:rsidRPr="007B3BD0" w:rsidRDefault="00FA2068" w:rsidP="00FA2068">
      <w:pPr>
        <w:spacing w:before="240" w:after="240"/>
        <w:jc w:val="both"/>
      </w:pPr>
      <w:r w:rsidRPr="007B3BD0">
        <w:t>Mødet genoptaget tirsdag den 5. november 2019 kl. 9.11 under forsæde af Younous Omarjee (formand).</w:t>
      </w:r>
    </w:p>
    <w:p w:rsidR="00FA2068" w:rsidRPr="007B3BD0" w:rsidRDefault="00B84C6A" w:rsidP="00B84C6A">
      <w:pPr>
        <w:pStyle w:val="PVxHeading"/>
        <w:numPr>
          <w:ilvl w:val="0"/>
          <w:numId w:val="0"/>
        </w:numPr>
        <w:tabs>
          <w:tab w:val="left" w:pos="720"/>
        </w:tabs>
        <w:ind w:left="720" w:hanging="720"/>
      </w:pPr>
      <w:r w:rsidRPr="007B3BD0">
        <w:t>7.</w:t>
      </w:r>
      <w:r w:rsidRPr="007B3BD0">
        <w:tab/>
        <w:t>Drøftelse med Iliana Ivanova, medlem af Den Europæiske Revisionsret</w:t>
      </w:r>
    </w:p>
    <w:p w:rsidR="007D2E58" w:rsidRPr="007B3BD0" w:rsidRDefault="007D2E58" w:rsidP="007D2E58">
      <w:r w:rsidRPr="007B3BD0">
        <w:t>Iliana Ivanova, medlem af Revisionsretten, fremlagde Revisionsrettens seneste beretninger om gennemførelse af samhørighedspolitikken, performance og national tildeling.</w:t>
      </w:r>
    </w:p>
    <w:p w:rsidR="007D2E58" w:rsidRPr="007B3BD0" w:rsidRDefault="007D2E58" w:rsidP="007D2E58">
      <w:r w:rsidRPr="007B3BD0">
        <w:t>Fremlæggelsen blev efterfulgt af en spørgerunde med medlemmerne.</w:t>
      </w:r>
    </w:p>
    <w:p w:rsidR="007D2E58" w:rsidRPr="007B3BD0" w:rsidRDefault="007D2E58" w:rsidP="007D2E58">
      <w:pPr>
        <w:spacing w:before="240"/>
      </w:pPr>
      <w:r w:rsidRPr="007B3BD0">
        <w:rPr>
          <w:b/>
          <w:i/>
        </w:rPr>
        <w:t xml:space="preserve">Indlæg: </w:t>
      </w:r>
      <w:r w:rsidRPr="007B3BD0">
        <w:t>Younous Omarjee, Iliana Ivanova, Constanze Krehl, Andrey Novakov, Mauri Pekkarinen, Andżelika Anna Możdżanowska, Jan Olbrycht, Erik von Breska (Kommissionen).</w:t>
      </w:r>
    </w:p>
    <w:p w:rsidR="009961E9" w:rsidRPr="007B3BD0" w:rsidRDefault="00B84C6A" w:rsidP="00B84C6A">
      <w:pPr>
        <w:pStyle w:val="PVxHeading"/>
        <w:numPr>
          <w:ilvl w:val="0"/>
          <w:numId w:val="0"/>
        </w:numPr>
        <w:tabs>
          <w:tab w:val="left" w:pos="720"/>
        </w:tabs>
        <w:ind w:left="720" w:hanging="720"/>
      </w:pPr>
      <w:r w:rsidRPr="007B3BD0">
        <w:t>8.</w:t>
      </w:r>
      <w:r w:rsidRPr="007B3BD0">
        <w:tab/>
        <w:t>Drøftelse med Karl-Heinz Lambertz, formand for Det Europæiske Regionsudvalg</w:t>
      </w:r>
    </w:p>
    <w:p w:rsidR="009961E9" w:rsidRPr="007B3BD0" w:rsidRDefault="009961E9" w:rsidP="009961E9">
      <w:r w:rsidRPr="007B3BD0">
        <w:t>Karl-Heinz Lambertz, formand for Det Europæiske Regionsudvalg, holdt indledningsvist et oplæg om Regionsudvalgets arbejde og EU's fremtid og udvekslede derefter synspunkter med medlemmerne.</w:t>
      </w:r>
    </w:p>
    <w:p w:rsidR="00725CB4" w:rsidRPr="007B3BD0" w:rsidRDefault="00725CB4" w:rsidP="00725CB4">
      <w:pPr>
        <w:spacing w:before="240"/>
      </w:pPr>
      <w:r w:rsidRPr="007B3BD0">
        <w:rPr>
          <w:b/>
          <w:i/>
        </w:rPr>
        <w:t xml:space="preserve">Indlæg: </w:t>
      </w:r>
      <w:r w:rsidRPr="007B3BD0">
        <w:t>Younous Omarjee, Karl-Heinz Lambertz, Martina Michels, Cristina Maestre Martín De Almagro, Stéphane Bijoux, François Alfonsi.</w:t>
      </w:r>
    </w:p>
    <w:p w:rsidR="00725CB4" w:rsidRPr="007B3BD0" w:rsidRDefault="00B84C6A" w:rsidP="00B84C6A">
      <w:pPr>
        <w:pStyle w:val="PVxHeading"/>
        <w:numPr>
          <w:ilvl w:val="0"/>
          <w:numId w:val="0"/>
        </w:numPr>
        <w:tabs>
          <w:tab w:val="left" w:pos="720"/>
        </w:tabs>
        <w:ind w:left="720" w:hanging="720"/>
        <w:rPr>
          <w:bCs/>
        </w:rPr>
      </w:pPr>
      <w:r w:rsidRPr="007B3BD0">
        <w:t>9.</w:t>
      </w:r>
      <w:r w:rsidRPr="007B3BD0">
        <w:tab/>
        <w:t>Decharge 2018: Unionens almindelige budget – Europa-Kommissionen</w:t>
      </w:r>
    </w:p>
    <w:p w:rsidR="00725CB4" w:rsidRPr="007B3BD0" w:rsidRDefault="00725CB4" w:rsidP="00725CB4">
      <w:r w:rsidRPr="007B3BD0">
        <w:t>REGI/9/01040</w:t>
      </w:r>
    </w:p>
    <w:p w:rsidR="00725CB4" w:rsidRPr="007B3BD0" w:rsidRDefault="00725CB4" w:rsidP="00725CB4">
      <w:pPr>
        <w:autoSpaceDE w:val="0"/>
        <w:autoSpaceDN w:val="0"/>
        <w:adjustRightInd w:val="0"/>
        <w:spacing w:after="120"/>
        <w:ind w:firstLine="720"/>
        <w:rPr>
          <w:snapToGrid/>
          <w:color w:val="000000"/>
          <w:szCs w:val="24"/>
        </w:rPr>
      </w:pPr>
      <w:r w:rsidRPr="007B3BD0">
        <w:rPr>
          <w:snapToGrid/>
          <w:color w:val="000000"/>
          <w:szCs w:val="24"/>
        </w:rPr>
        <w:t>2019/2055(DEC)</w:t>
      </w:r>
      <w:r w:rsidRPr="007B3BD0">
        <w:rPr>
          <w:snapToGrid/>
          <w:color w:val="000000"/>
          <w:szCs w:val="24"/>
        </w:rPr>
        <w:tab/>
        <w:t>COM(2019)0316[01] – C9-0050/2019</w:t>
      </w:r>
    </w:p>
    <w:p w:rsidR="00725CB4" w:rsidRPr="007B3BD0" w:rsidRDefault="00725CB4" w:rsidP="00725CB4">
      <w:pPr>
        <w:autoSpaceDE w:val="0"/>
        <w:autoSpaceDN w:val="0"/>
        <w:adjustRightInd w:val="0"/>
        <w:spacing w:after="120"/>
        <w:rPr>
          <w:snapToGrid/>
          <w:color w:val="000000"/>
          <w:szCs w:val="24"/>
        </w:rPr>
      </w:pPr>
      <w:r w:rsidRPr="007B3BD0">
        <w:rPr>
          <w:snapToGrid/>
          <w:color w:val="000000"/>
          <w:szCs w:val="24"/>
        </w:rPr>
        <w:t>Kor.udv.:</w:t>
      </w:r>
    </w:p>
    <w:p w:rsidR="00B61EBD" w:rsidRPr="007B3BD0" w:rsidRDefault="00725CB4" w:rsidP="00B61EBD">
      <w:pPr>
        <w:autoSpaceDE w:val="0"/>
        <w:autoSpaceDN w:val="0"/>
        <w:adjustRightInd w:val="0"/>
        <w:spacing w:after="120"/>
        <w:rPr>
          <w:snapToGrid/>
          <w:color w:val="000000"/>
          <w:szCs w:val="24"/>
        </w:rPr>
      </w:pPr>
      <w:r w:rsidRPr="007B3BD0">
        <w:rPr>
          <w:snapToGrid/>
          <w:color w:val="000000"/>
          <w:szCs w:val="24"/>
        </w:rPr>
        <w:tab/>
        <w:t>CONT - Monika Hohlmeier (PPE)</w:t>
      </w:r>
    </w:p>
    <w:p w:rsidR="00B61EBD" w:rsidRPr="007B3BD0" w:rsidRDefault="00B61EBD" w:rsidP="007D2E58">
      <w:pPr>
        <w:tabs>
          <w:tab w:val="left" w:pos="-1057"/>
          <w:tab w:val="left" w:pos="-720"/>
          <w:tab w:val="left" w:pos="0"/>
          <w:tab w:val="left" w:pos="720"/>
          <w:tab w:val="left" w:pos="2154"/>
          <w:tab w:val="left" w:pos="2880"/>
        </w:tabs>
        <w:spacing w:before="240" w:after="240"/>
      </w:pPr>
      <w:r w:rsidRPr="007B3BD0">
        <w:t>Formanden gav ordet til ordføreren, Josianne Cutajar, som redegjorde for sine indledende tanker om denne udtalelse.</w:t>
      </w:r>
    </w:p>
    <w:p w:rsidR="00B61EBD" w:rsidRPr="007B3BD0" w:rsidRDefault="00B61EBD" w:rsidP="007D2E58">
      <w:pPr>
        <w:tabs>
          <w:tab w:val="left" w:pos="-1057"/>
          <w:tab w:val="left" w:pos="-720"/>
          <w:tab w:val="left" w:pos="0"/>
          <w:tab w:val="left" w:pos="720"/>
          <w:tab w:val="left" w:pos="2154"/>
          <w:tab w:val="left" w:pos="2880"/>
        </w:tabs>
        <w:spacing w:before="240" w:after="240"/>
      </w:pPr>
      <w:r w:rsidRPr="007B3BD0">
        <w:rPr>
          <w:b/>
          <w:i/>
        </w:rPr>
        <w:t xml:space="preserve">Indlæg: </w:t>
      </w:r>
      <w:r w:rsidRPr="007B3BD0">
        <w:t>Younous Omarjee, Josianne Cutajar, Cristian Ghinea, Bronis Ropė</w:t>
      </w:r>
    </w:p>
    <w:p w:rsidR="00B61EBD" w:rsidRPr="007B3BD0" w:rsidRDefault="00B84C6A" w:rsidP="00B84C6A">
      <w:pPr>
        <w:pStyle w:val="PVxHeading"/>
        <w:numPr>
          <w:ilvl w:val="0"/>
          <w:numId w:val="0"/>
        </w:numPr>
        <w:tabs>
          <w:tab w:val="left" w:pos="720"/>
        </w:tabs>
        <w:ind w:left="720" w:hanging="720"/>
      </w:pPr>
      <w:r w:rsidRPr="007B3BD0">
        <w:t>10.</w:t>
      </w:r>
      <w:r w:rsidRPr="007B3BD0">
        <w:tab/>
        <w:t>Godkendelse af koordinatorernes afgørelser</w:t>
      </w:r>
    </w:p>
    <w:p w:rsidR="00B61EBD" w:rsidRPr="007B3BD0" w:rsidRDefault="00B61EBD" w:rsidP="00B61EBD">
      <w:r w:rsidRPr="007B3BD0">
        <w:t>Koordinatorernes afgørelser godkendtes som følger:</w:t>
      </w:r>
    </w:p>
    <w:p w:rsidR="00055B69" w:rsidRPr="007B3BD0" w:rsidRDefault="00055B69" w:rsidP="00B61EBD"/>
    <w:p w:rsidR="00055B69" w:rsidRPr="007B3BD0" w:rsidRDefault="00055B69" w:rsidP="00055B69">
      <w:pPr>
        <w:pBdr>
          <w:top w:val="single" w:sz="4" w:space="1" w:color="auto"/>
          <w:left w:val="single" w:sz="4" w:space="4" w:color="auto"/>
          <w:bottom w:val="single" w:sz="4" w:space="1" w:color="auto"/>
          <w:right w:val="single" w:sz="4" w:space="4" w:color="auto"/>
        </w:pBdr>
        <w:rPr>
          <w:rFonts w:eastAsia="Calibri"/>
          <w:b/>
          <w:bCs/>
        </w:rPr>
      </w:pPr>
      <w:r w:rsidRPr="007B3BD0">
        <w:rPr>
          <w:b/>
          <w:bCs/>
        </w:rPr>
        <w:t>Tilbagemelding om interinstitutionelle forhandlinger om lovgivningssager</w:t>
      </w:r>
    </w:p>
    <w:p w:rsidR="00055B69" w:rsidRPr="007B3BD0" w:rsidRDefault="00055B69" w:rsidP="00055B69">
      <w:pPr>
        <w:ind w:left="720" w:hanging="720"/>
        <w:rPr>
          <w:lang w:eastAsia="en-GB"/>
        </w:rPr>
      </w:pPr>
    </w:p>
    <w:p w:rsidR="00B61EBD" w:rsidRPr="007B3BD0" w:rsidRDefault="00B61EBD" w:rsidP="00055B69">
      <w:pPr>
        <w:tabs>
          <w:tab w:val="left" w:pos="-1057"/>
          <w:tab w:val="left" w:pos="-720"/>
          <w:tab w:val="left" w:pos="0"/>
          <w:tab w:val="left" w:pos="720"/>
          <w:tab w:val="left" w:pos="2154"/>
          <w:tab w:val="left" w:pos="2880"/>
        </w:tabs>
      </w:pPr>
      <w:r w:rsidRPr="007B3BD0">
        <w:t>Koordinatorerne drøftede fremskridtene i de interinstitutionelle forhandlinger om følgende lovgivningssager:</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w:t>
      </w:r>
      <w:r w:rsidRPr="007B3BD0">
        <w:tab/>
        <w:t>forordningen om fælles bestemmelser (Krehl, Novakov)</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w:t>
      </w:r>
      <w:r w:rsidRPr="007B3BD0">
        <w:tab/>
        <w:t>EFRU/Samhørighedsfonden (Cozzolino)</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w:t>
      </w:r>
      <w:r w:rsidRPr="007B3BD0">
        <w:tab/>
        <w:t>INTERREG (Arimont).</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bemærkede navnlig konsekvenserne af brexit og omfanget af Det Europæiske Råds "forhandlingsramme" for fremskridt i forhandlingerne. De understregede, at de er fast besluttet på at fastholde Parlamentets beføjelser som medlovgiver af alle aspekter af disse sager.</w:t>
      </w:r>
    </w:p>
    <w:p w:rsidR="00B84C6A" w:rsidRPr="007B3BD0" w:rsidRDefault="00B84C6A" w:rsidP="00B84C6A">
      <w:pPr>
        <w:pBdr>
          <w:top w:val="single" w:sz="4" w:space="1" w:color="auto"/>
          <w:left w:val="single" w:sz="4" w:space="4" w:color="auto"/>
          <w:bottom w:val="single" w:sz="4" w:space="1" w:color="auto"/>
          <w:right w:val="single" w:sz="4" w:space="4" w:color="auto"/>
        </w:pBdr>
        <w:rPr>
          <w:rFonts w:eastAsia="Calibri"/>
          <w:b/>
          <w:snapToGrid/>
        </w:rPr>
      </w:pPr>
      <w:r w:rsidRPr="007B3BD0">
        <w:rPr>
          <w:b/>
          <w:bCs/>
        </w:rPr>
        <w:t>Henviste dokumenter</w:t>
      </w:r>
    </w:p>
    <w:p w:rsidR="00B84C6A" w:rsidRPr="007B3BD0" w:rsidRDefault="00B84C6A" w:rsidP="00B84C6A">
      <w:pPr>
        <w:ind w:left="720" w:hanging="7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2748"/>
      </w:tblGrid>
      <w:tr w:rsidR="00B84C6A" w:rsidRPr="007B3BD0" w:rsidTr="00B84C6A">
        <w:tc>
          <w:tcPr>
            <w:tcW w:w="2748" w:type="dxa"/>
            <w:tcBorders>
              <w:top w:val="single" w:sz="4" w:space="0" w:color="auto"/>
              <w:left w:val="single" w:sz="4" w:space="0" w:color="auto"/>
              <w:bottom w:val="single" w:sz="4" w:space="0" w:color="auto"/>
              <w:right w:val="single" w:sz="4" w:space="0" w:color="auto"/>
            </w:tcBorders>
            <w:shd w:val="clear" w:color="auto" w:fill="CCECFF"/>
            <w:hideMark/>
          </w:tcPr>
          <w:p w:rsidR="00B84C6A" w:rsidRPr="007B3BD0" w:rsidRDefault="00B84C6A">
            <w:pPr>
              <w:keepNext/>
              <w:keepLines/>
              <w:spacing w:before="40" w:after="40"/>
              <w:rPr>
                <w:b/>
              </w:rPr>
            </w:pPr>
            <w:r w:rsidRPr="007B3BD0">
              <w:rPr>
                <w:b/>
              </w:rPr>
              <w:t>Lovgivningsmæssige udtalelser</w:t>
            </w:r>
          </w:p>
        </w:tc>
      </w:tr>
    </w:tbl>
    <w:p w:rsidR="00B84C6A" w:rsidRPr="007B3BD0" w:rsidRDefault="00B84C6A" w:rsidP="00B84C6A">
      <w:pPr>
        <w:rPr>
          <w:lang w:eastAsia="en-GB"/>
        </w:rPr>
      </w:pPr>
    </w:p>
    <w:tbl>
      <w:tblPr>
        <w:tblW w:w="0" w:type="auto"/>
        <w:tblLook w:val="01E0" w:firstRow="1" w:lastRow="1" w:firstColumn="1" w:lastColumn="1" w:noHBand="0" w:noVBand="0"/>
      </w:tblPr>
      <w:tblGrid>
        <w:gridCol w:w="465"/>
        <w:gridCol w:w="8556"/>
      </w:tblGrid>
      <w:tr w:rsidR="00B84C6A" w:rsidRPr="007B3BD0" w:rsidTr="00B84C6A">
        <w:trPr>
          <w:cantSplit/>
        </w:trPr>
        <w:tc>
          <w:tcPr>
            <w:tcW w:w="465" w:type="dxa"/>
            <w:tcBorders>
              <w:top w:val="nil"/>
              <w:left w:val="nil"/>
              <w:bottom w:val="nil"/>
              <w:right w:val="single" w:sz="4" w:space="0" w:color="auto"/>
            </w:tcBorders>
            <w:hideMark/>
          </w:tcPr>
          <w:p w:rsidR="00B84C6A" w:rsidRPr="007B3BD0" w:rsidRDefault="00B84C6A">
            <w:pPr>
              <w:tabs>
                <w:tab w:val="left" w:pos="426"/>
              </w:tabs>
            </w:pPr>
            <w:r w:rsidRPr="007B3BD0">
              <w:t>1.</w:t>
            </w:r>
          </w:p>
        </w:tc>
        <w:tc>
          <w:tcPr>
            <w:tcW w:w="8556" w:type="dxa"/>
            <w:tcBorders>
              <w:top w:val="single" w:sz="4" w:space="0" w:color="auto"/>
              <w:left w:val="single" w:sz="4" w:space="0" w:color="auto"/>
              <w:bottom w:val="single" w:sz="4" w:space="0" w:color="auto"/>
              <w:right w:val="single" w:sz="4" w:space="0" w:color="auto"/>
            </w:tcBorders>
            <w:vAlign w:val="center"/>
            <w:hideMark/>
          </w:tcPr>
          <w:p w:rsidR="00B84C6A" w:rsidRPr="007B3BD0" w:rsidRDefault="00B84C6A">
            <w:pPr>
              <w:rPr>
                <w:b/>
                <w:i/>
                <w:color w:val="000000"/>
              </w:rPr>
            </w:pPr>
            <w:r w:rsidRPr="007B3BD0">
              <w:rPr>
                <w:b/>
                <w:i/>
                <w:color w:val="000000"/>
              </w:rPr>
              <w:t>Forslag til Europa-Parlamentets og Rådets forordning om en forvaltningsramme for budgetinstrumentet for konvergens og konkurrenceevne for euroområdet</w:t>
            </w:r>
          </w:p>
          <w:p w:rsidR="00B84C6A" w:rsidRPr="007B3BD0" w:rsidRDefault="007C02AE" w:rsidP="007C02AE">
            <w:pPr>
              <w:rPr>
                <w:color w:val="000000"/>
              </w:rPr>
            </w:pPr>
            <w:r w:rsidRPr="007B3BD0">
              <w:rPr>
                <w:color w:val="000000"/>
              </w:rPr>
              <w:t>2019/0161 (COD) - COM(2019)0354</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vedtog ikke at afgive udtalelse.</w:t>
      </w:r>
    </w:p>
    <w:p w:rsidR="00055B69" w:rsidRPr="007B3BD0" w:rsidRDefault="00055B69" w:rsidP="00055B69">
      <w:pPr>
        <w:rPr>
          <w:lang w:eastAsia="en-GB"/>
        </w:rPr>
      </w:pPr>
    </w:p>
    <w:tbl>
      <w:tblPr>
        <w:tblW w:w="0" w:type="auto"/>
        <w:tblLook w:val="01E0" w:firstRow="1" w:lastRow="1" w:firstColumn="1" w:lastColumn="1" w:noHBand="0" w:noVBand="0"/>
      </w:tblPr>
      <w:tblGrid>
        <w:gridCol w:w="465"/>
        <w:gridCol w:w="8556"/>
      </w:tblGrid>
      <w:tr w:rsidR="00055B69" w:rsidRPr="007B3BD0" w:rsidTr="001F49EB">
        <w:trPr>
          <w:cantSplit/>
        </w:trPr>
        <w:tc>
          <w:tcPr>
            <w:tcW w:w="465" w:type="dxa"/>
            <w:tcBorders>
              <w:top w:val="nil"/>
              <w:left w:val="nil"/>
              <w:bottom w:val="nil"/>
              <w:right w:val="single" w:sz="4" w:space="0" w:color="auto"/>
            </w:tcBorders>
            <w:hideMark/>
          </w:tcPr>
          <w:p w:rsidR="00055B69" w:rsidRPr="007B3BD0" w:rsidRDefault="00055B69" w:rsidP="001F49EB">
            <w:pPr>
              <w:tabs>
                <w:tab w:val="left" w:pos="426"/>
              </w:tabs>
            </w:pPr>
            <w:r w:rsidRPr="007B3BD0">
              <w:t>2.</w:t>
            </w:r>
          </w:p>
        </w:tc>
        <w:tc>
          <w:tcPr>
            <w:tcW w:w="8556" w:type="dxa"/>
            <w:tcBorders>
              <w:top w:val="single" w:sz="4" w:space="0" w:color="auto"/>
              <w:left w:val="single" w:sz="4" w:space="0" w:color="auto"/>
              <w:bottom w:val="single" w:sz="4" w:space="0" w:color="auto"/>
              <w:right w:val="single" w:sz="4" w:space="0" w:color="auto"/>
            </w:tcBorders>
            <w:vAlign w:val="center"/>
            <w:hideMark/>
          </w:tcPr>
          <w:p w:rsidR="00055B69" w:rsidRPr="007B3BD0" w:rsidRDefault="00055B69" w:rsidP="001F49EB">
            <w:pPr>
              <w:rPr>
                <w:b/>
                <w:i/>
                <w:color w:val="000000"/>
              </w:rPr>
            </w:pPr>
            <w:r w:rsidRPr="007B3BD0">
              <w:rPr>
                <w:b/>
                <w:i/>
                <w:color w:val="000000"/>
              </w:rPr>
              <w:t>Forslag til Europa-Parlamentets og Rådets forordning om oprettelse af det europæiske reformstøtteprogram</w:t>
            </w:r>
          </w:p>
          <w:p w:rsidR="00055B69" w:rsidRPr="007B3BD0" w:rsidRDefault="00055B69" w:rsidP="001F49EB">
            <w:pPr>
              <w:rPr>
                <w:color w:val="000000"/>
              </w:rPr>
            </w:pPr>
            <w:r w:rsidRPr="007B3BD0">
              <w:t>2018/0213(COD) - COM(2018)0391</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besluttede at bekræfte den udtalelse, der var blevet vedtaget i den seneste valgperiode, uden ændringer. Genvedtagelsen af udtalelsen ville blive bekræftet ved en proceduremæssig afstemning i hele udvalget.</w:t>
      </w:r>
    </w:p>
    <w:p w:rsidR="00CE7077" w:rsidRPr="007B3BD0" w:rsidRDefault="00CE7077" w:rsidP="00B61EBD">
      <w:pPr>
        <w:tabs>
          <w:tab w:val="left" w:pos="-1057"/>
          <w:tab w:val="left" w:pos="-720"/>
          <w:tab w:val="left" w:pos="0"/>
          <w:tab w:val="left" w:pos="720"/>
          <w:tab w:val="left" w:pos="2154"/>
          <w:tab w:val="left" w:pos="2880"/>
        </w:tabs>
        <w:spacing w:before="240" w:after="240"/>
      </w:pPr>
    </w:p>
    <w:tbl>
      <w:tblPr>
        <w:tblW w:w="0" w:type="auto"/>
        <w:tblLook w:val="01E0" w:firstRow="1" w:lastRow="1" w:firstColumn="1" w:lastColumn="1" w:noHBand="0" w:noVBand="0"/>
      </w:tblPr>
      <w:tblGrid>
        <w:gridCol w:w="465"/>
        <w:gridCol w:w="8556"/>
      </w:tblGrid>
      <w:tr w:rsidR="00CE7077" w:rsidRPr="007B3BD0" w:rsidTr="001F49EB">
        <w:trPr>
          <w:cantSplit/>
        </w:trPr>
        <w:tc>
          <w:tcPr>
            <w:tcW w:w="465" w:type="dxa"/>
            <w:tcBorders>
              <w:top w:val="nil"/>
              <w:left w:val="nil"/>
              <w:bottom w:val="nil"/>
              <w:right w:val="single" w:sz="4" w:space="0" w:color="auto"/>
            </w:tcBorders>
            <w:hideMark/>
          </w:tcPr>
          <w:p w:rsidR="00CE7077" w:rsidRPr="007B3BD0" w:rsidRDefault="00CE7077" w:rsidP="001F49EB">
            <w:pPr>
              <w:tabs>
                <w:tab w:val="left" w:pos="426"/>
              </w:tabs>
            </w:pPr>
            <w:r w:rsidRPr="007B3BD0">
              <w:t>3.</w:t>
            </w:r>
          </w:p>
        </w:tc>
        <w:tc>
          <w:tcPr>
            <w:tcW w:w="8556" w:type="dxa"/>
            <w:tcBorders>
              <w:top w:val="single" w:sz="4" w:space="0" w:color="auto"/>
              <w:left w:val="single" w:sz="4" w:space="0" w:color="auto"/>
              <w:bottom w:val="single" w:sz="4" w:space="0" w:color="auto"/>
              <w:right w:val="single" w:sz="4" w:space="0" w:color="auto"/>
            </w:tcBorders>
            <w:vAlign w:val="center"/>
            <w:hideMark/>
          </w:tcPr>
          <w:p w:rsidR="00CE7077" w:rsidRPr="007B3BD0" w:rsidRDefault="00CE7077" w:rsidP="001F49EB">
            <w:pPr>
              <w:rPr>
                <w:b/>
                <w:i/>
                <w:color w:val="000000"/>
              </w:rPr>
            </w:pPr>
            <w:r w:rsidRPr="007B3BD0">
              <w:rPr>
                <w:b/>
                <w:i/>
                <w:color w:val="000000"/>
              </w:rPr>
              <w:t>Forslag til Europa-Parlamentets og Rådets afgørelse om ændring af Europa-Parlamentets og Rådets afgørelse nr. 1313/2013/EU om en EU-civilbeskyttelsesmekanisme</w:t>
            </w:r>
          </w:p>
          <w:p w:rsidR="00CE7077" w:rsidRPr="007B3BD0" w:rsidRDefault="00CE7077" w:rsidP="001F49EB">
            <w:pPr>
              <w:rPr>
                <w:color w:val="000000"/>
              </w:rPr>
            </w:pPr>
            <w:r w:rsidRPr="007B3BD0">
              <w:t>2019/0070(COD) - COM(2019)0125</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besluttede at udarbejde en udtalelse. Ordføreren ville blive udpeget af S&amp;D-Gruppen (2 point).</w:t>
      </w:r>
    </w:p>
    <w:p w:rsidR="00CE7077" w:rsidRPr="007B3BD0" w:rsidRDefault="00CE7077" w:rsidP="00B61EBD">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CE7077">
        <w:trPr>
          <w:trHeight w:val="461"/>
        </w:trPr>
        <w:tc>
          <w:tcPr>
            <w:tcW w:w="9066" w:type="dxa"/>
            <w:vAlign w:val="center"/>
          </w:tcPr>
          <w:p w:rsidR="00CE7077" w:rsidRPr="007B3BD0" w:rsidRDefault="00CE7077" w:rsidP="00CE7077">
            <w:pPr>
              <w:rPr>
                <w:b/>
              </w:rPr>
            </w:pPr>
            <w:r w:rsidRPr="007B3BD0">
              <w:rPr>
                <w:b/>
              </w:rPr>
              <w:t>Initiativbetænkninger</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ville sende forslag til nye initiativbetænkninger til sekretariatet senest den 22. november 2019. Der ville blive truffet afgørelse om eventuelle nye initiativbetænkninger på næste koordinatormøde.</w:t>
      </w:r>
    </w:p>
    <w:p w:rsidR="00CE7077" w:rsidRPr="007B3BD0"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1F49EB">
        <w:trPr>
          <w:trHeight w:val="461"/>
        </w:trPr>
        <w:tc>
          <w:tcPr>
            <w:tcW w:w="9066" w:type="dxa"/>
            <w:vAlign w:val="center"/>
          </w:tcPr>
          <w:p w:rsidR="00CE7077" w:rsidRPr="007B3BD0" w:rsidRDefault="00CE7077" w:rsidP="001F49EB">
            <w:pPr>
              <w:rPr>
                <w:b/>
              </w:rPr>
            </w:pPr>
            <w:r w:rsidRPr="007B3BD0">
              <w:rPr>
                <w:b/>
              </w:rPr>
              <w:t>REGI-udvalgets mulige deltagelse i STOA-panelet</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vedtog, at udvalget skulle anmode om at deltage i Panelet for Fremtidens Videnskab og Teknologi (STOA).</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Hvis anmodningen blev efterkommet, ville REGI's medlem af panelet blive Rosa D'Amato (NI).</w:t>
      </w:r>
    </w:p>
    <w:p w:rsidR="00CE7077" w:rsidRPr="007B3BD0"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1F49EB">
        <w:trPr>
          <w:trHeight w:val="461"/>
        </w:trPr>
        <w:tc>
          <w:tcPr>
            <w:tcW w:w="9066" w:type="dxa"/>
            <w:vAlign w:val="center"/>
          </w:tcPr>
          <w:p w:rsidR="00CE7077" w:rsidRPr="007B3BD0" w:rsidRDefault="00CE7077" w:rsidP="001F49EB">
            <w:pPr>
              <w:rPr>
                <w:b/>
              </w:rPr>
            </w:pPr>
            <w:r w:rsidRPr="007B3BD0">
              <w:rPr>
                <w:b/>
              </w:rPr>
              <w:t>Handicapnetværket</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vedtog at udpege Stelios Kympouropoulos (PPE) som REGI's repræsentant i handicapnetværket med Erik Bergkvist (S&amp;D) som stedfortræder.</w:t>
      </w:r>
    </w:p>
    <w:p w:rsidR="00CE7077" w:rsidRPr="007B3BD0"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1F49EB">
        <w:trPr>
          <w:trHeight w:val="461"/>
        </w:trPr>
        <w:tc>
          <w:tcPr>
            <w:tcW w:w="9066" w:type="dxa"/>
            <w:vAlign w:val="center"/>
          </w:tcPr>
          <w:p w:rsidR="00CE7077" w:rsidRPr="007B3BD0" w:rsidRDefault="00CE7077" w:rsidP="001F49EB">
            <w:pPr>
              <w:rPr>
                <w:b/>
              </w:rPr>
            </w:pPr>
            <w:r w:rsidRPr="007B3BD0">
              <w:rPr>
                <w:b/>
              </w:rPr>
              <w:t>Netværket for andragender – udpegelse af REGI-medlem</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besluttede at udpege Josianne Cutajar (S&amp;D) som REGI's repræsentant i netværket for andragender. Der ville blive udpeget en stedfortræder på et senere tidspunkt.</w:t>
      </w:r>
    </w:p>
    <w:p w:rsidR="00CE7077" w:rsidRPr="007B3BD0"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1F49EB">
        <w:trPr>
          <w:trHeight w:val="461"/>
        </w:trPr>
        <w:tc>
          <w:tcPr>
            <w:tcW w:w="9066" w:type="dxa"/>
            <w:vAlign w:val="center"/>
          </w:tcPr>
          <w:p w:rsidR="00CE7077" w:rsidRPr="007B3BD0" w:rsidRDefault="00CE7077" w:rsidP="001F49EB">
            <w:pPr>
              <w:rPr>
                <w:b/>
              </w:rPr>
            </w:pPr>
            <w:r w:rsidRPr="007B3BD0">
              <w:rPr>
                <w:b/>
              </w:rPr>
              <w:t>Integration af kønsaspektet</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vedtog at udpege Monika Vana (Verts/EFA) som REGI's repræsentant i netværket for integrering af kønsaspektet med Niyazi Kizilyürek (GUE/NGL) som stedfortræder.</w:t>
      </w:r>
    </w:p>
    <w:p w:rsidR="00CE7077" w:rsidRPr="007B3BD0"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1F49EB">
        <w:trPr>
          <w:trHeight w:val="461"/>
        </w:trPr>
        <w:tc>
          <w:tcPr>
            <w:tcW w:w="9066" w:type="dxa"/>
            <w:vAlign w:val="center"/>
          </w:tcPr>
          <w:p w:rsidR="00CE7077" w:rsidRPr="007B3BD0" w:rsidRDefault="00CE7077" w:rsidP="001F49EB">
            <w:pPr>
              <w:rPr>
                <w:b/>
              </w:rPr>
            </w:pPr>
            <w:r w:rsidRPr="007B3BD0">
              <w:rPr>
                <w:b/>
              </w:rPr>
              <w:t>Undersøgelser, workshops osv.</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godkendte forskningsprogrammerne for første halvår i 2020 som følger:</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1.</w:t>
      </w:r>
      <w:r w:rsidRPr="007B3BD0">
        <w:tab/>
        <w:t>Workshop/briefing om fonden for retfærdig omstilling og kulstofintensive regioner</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2.</w:t>
      </w:r>
      <w:r w:rsidRPr="007B3BD0">
        <w:tab/>
        <w:t>Undersøgelse af de europæiske struktur- og investeringsfonde i ikkebymæssige områder</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3.</w:t>
      </w:r>
      <w:r w:rsidRPr="007B3BD0">
        <w:tab/>
        <w:t>Undersøgelse af tilbagestående regioner EU – status og fremtidige udfordringer.</w:t>
      </w:r>
    </w:p>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(Koordinatorerne godkendte også principielt en undersøgelse af samhørighedspolitik og klimaændringer i andet halvår af 2020).</w:t>
      </w:r>
    </w:p>
    <w:p w:rsidR="00CE7077" w:rsidRPr="007B3BD0"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1F49EB">
        <w:trPr>
          <w:trHeight w:val="461"/>
        </w:trPr>
        <w:tc>
          <w:tcPr>
            <w:tcW w:w="9066" w:type="dxa"/>
            <w:vAlign w:val="center"/>
          </w:tcPr>
          <w:p w:rsidR="00CE7077" w:rsidRPr="007B3BD0" w:rsidRDefault="00CE7077" w:rsidP="001F49EB">
            <w:pPr>
              <w:rPr>
                <w:b/>
              </w:rPr>
            </w:pPr>
            <w:r w:rsidRPr="007B3BD0">
              <w:rPr>
                <w:b/>
              </w:rPr>
              <w:t>Mundtlige forespørgsler og dertil knyttede debatter</w:t>
            </w:r>
          </w:p>
        </w:tc>
      </w:tr>
    </w:tbl>
    <w:p w:rsidR="00B61EBD" w:rsidRPr="007B3BD0" w:rsidRDefault="00B61EBD" w:rsidP="00B61EBD">
      <w:pPr>
        <w:tabs>
          <w:tab w:val="left" w:pos="-1057"/>
          <w:tab w:val="left" w:pos="-720"/>
          <w:tab w:val="left" w:pos="0"/>
          <w:tab w:val="left" w:pos="720"/>
          <w:tab w:val="left" w:pos="2154"/>
          <w:tab w:val="left" w:pos="2880"/>
        </w:tabs>
        <w:spacing w:before="240" w:after="240"/>
      </w:pPr>
      <w:r w:rsidRPr="007B3BD0">
        <w:t>Formanden opfordrede koordinatorerne til at overveje mulige emner for fremtidige mundtlige forespørgsler og beslutninger i henhold til forretningsordenens artikel 136.</w:t>
      </w:r>
    </w:p>
    <w:p w:rsidR="00CE7077" w:rsidRPr="007B3BD0"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7B3BD0" w:rsidTr="001F49EB">
        <w:trPr>
          <w:trHeight w:val="461"/>
        </w:trPr>
        <w:tc>
          <w:tcPr>
            <w:tcW w:w="9066" w:type="dxa"/>
            <w:vAlign w:val="center"/>
          </w:tcPr>
          <w:p w:rsidR="00CE7077" w:rsidRPr="007B3BD0" w:rsidRDefault="00CE7077" w:rsidP="001F49EB">
            <w:pPr>
              <w:rPr>
                <w:b/>
              </w:rPr>
            </w:pPr>
            <w:r w:rsidRPr="007B3BD0">
              <w:rPr>
                <w:b/>
              </w:rPr>
              <w:t>Diverse sager</w:t>
            </w:r>
          </w:p>
        </w:tc>
      </w:tr>
    </w:tbl>
    <w:p w:rsidR="00B61EBD" w:rsidRPr="007B3BD0" w:rsidRDefault="00B61EBD" w:rsidP="007D2E58">
      <w:pPr>
        <w:tabs>
          <w:tab w:val="left" w:pos="-1057"/>
          <w:tab w:val="left" w:pos="-720"/>
          <w:tab w:val="left" w:pos="0"/>
          <w:tab w:val="left" w:pos="720"/>
          <w:tab w:val="left" w:pos="2154"/>
          <w:tab w:val="left" w:pos="2880"/>
        </w:tabs>
        <w:spacing w:before="240" w:after="240"/>
      </w:pPr>
      <w:r w:rsidRPr="007B3BD0">
        <w:t>Ingen sager under dette punkt.</w:t>
      </w:r>
    </w:p>
    <w:p w:rsidR="00CE7077" w:rsidRPr="007B3BD0" w:rsidRDefault="007C02AE" w:rsidP="007C02AE">
      <w:pPr>
        <w:tabs>
          <w:tab w:val="left" w:pos="-1057"/>
          <w:tab w:val="left" w:pos="-720"/>
          <w:tab w:val="left" w:pos="0"/>
          <w:tab w:val="left" w:pos="720"/>
          <w:tab w:val="left" w:pos="2154"/>
          <w:tab w:val="left" w:pos="2880"/>
        </w:tabs>
        <w:spacing w:before="240" w:after="240"/>
        <w:jc w:val="center"/>
      </w:pPr>
      <w:r w:rsidRPr="007B3BD0">
        <w:t>o     O     o</w:t>
      </w:r>
    </w:p>
    <w:p w:rsidR="009E0A5B" w:rsidRPr="007B3BD0" w:rsidRDefault="00B84C6A" w:rsidP="00B84C6A">
      <w:pPr>
        <w:pStyle w:val="PVxHeading"/>
        <w:numPr>
          <w:ilvl w:val="0"/>
          <w:numId w:val="0"/>
        </w:numPr>
        <w:tabs>
          <w:tab w:val="left" w:pos="720"/>
        </w:tabs>
        <w:ind w:left="720" w:hanging="720"/>
      </w:pPr>
      <w:r w:rsidRPr="007B3BD0">
        <w:t>11.</w:t>
      </w:r>
      <w:r w:rsidRPr="007B3BD0">
        <w:tab/>
        <w:t>Diverse sager</w:t>
      </w:r>
    </w:p>
    <w:p w:rsidR="0069389A" w:rsidRPr="007B3BD0" w:rsidRDefault="0069389A" w:rsidP="00C35FAB">
      <w:r w:rsidRPr="007B3BD0">
        <w:t>Ingen sager under dette punkt.</w:t>
      </w:r>
    </w:p>
    <w:p w:rsidR="00B61EBD" w:rsidRPr="007B3BD0" w:rsidRDefault="00B84C6A" w:rsidP="00B84C6A">
      <w:pPr>
        <w:pStyle w:val="PVxHeading"/>
        <w:numPr>
          <w:ilvl w:val="0"/>
          <w:numId w:val="0"/>
        </w:numPr>
        <w:tabs>
          <w:tab w:val="left" w:pos="720"/>
        </w:tabs>
        <w:ind w:left="720" w:hanging="720"/>
      </w:pPr>
      <w:r w:rsidRPr="007B3BD0">
        <w:t>12.</w:t>
      </w:r>
      <w:r w:rsidRPr="007B3BD0">
        <w:tab/>
        <w:t xml:space="preserve">Næste møder </w:t>
      </w:r>
    </w:p>
    <w:p w:rsidR="009E0A5B" w:rsidRPr="007B3BD0" w:rsidRDefault="00B84C6A" w:rsidP="00B84C6A">
      <w:pPr>
        <w:ind w:left="1080" w:hanging="360"/>
      </w:pPr>
      <w:r w:rsidRPr="007B3BD0">
        <w:rPr>
          <w:rFonts w:ascii="Symbol" w:hAnsi="Symbol"/>
        </w:rPr>
        <w:t></w:t>
      </w:r>
      <w:r w:rsidRPr="007B3BD0">
        <w:rPr>
          <w:rFonts w:ascii="Symbol" w:hAnsi="Symbol"/>
        </w:rPr>
        <w:tab/>
      </w:r>
      <w:r w:rsidRPr="007B3BD0">
        <w:t>4. december 2019 kl. 15.00-18.30</w:t>
      </w:r>
    </w:p>
    <w:p w:rsidR="009E0A5B" w:rsidRPr="007B3BD0" w:rsidRDefault="00B84C6A" w:rsidP="00B84C6A">
      <w:pPr>
        <w:ind w:left="1080" w:hanging="360"/>
      </w:pPr>
      <w:r w:rsidRPr="007B3BD0">
        <w:rPr>
          <w:rFonts w:ascii="Symbol" w:hAnsi="Symbol"/>
        </w:rPr>
        <w:t></w:t>
      </w:r>
      <w:r w:rsidRPr="007B3BD0">
        <w:rPr>
          <w:rFonts w:ascii="Symbol" w:hAnsi="Symbol"/>
        </w:rPr>
        <w:tab/>
      </w:r>
      <w:r w:rsidRPr="007B3BD0">
        <w:t>5. december 2019 kl. 9.00-12.30</w:t>
      </w:r>
    </w:p>
    <w:p w:rsidR="00265D01" w:rsidRPr="007B3BD0" w:rsidRDefault="009E0A5B" w:rsidP="00265D01">
      <w:pPr>
        <w:spacing w:before="240"/>
      </w:pPr>
      <w:r w:rsidRPr="007B3BD0">
        <w:t>Mødet hævet kl. 11.29.</w:t>
      </w:r>
    </w:p>
    <w:p w:rsidR="00265D01" w:rsidRPr="007B3BD0" w:rsidRDefault="00265D01" w:rsidP="00265D01">
      <w:pPr>
        <w:spacing w:before="240"/>
        <w:sectPr w:rsidR="00265D01" w:rsidRPr="007B3BD0" w:rsidSect="007B3BD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7B3BD0" w:rsidRDefault="00CC6E1E" w:rsidP="00E2660A">
      <w:pPr>
        <w:pStyle w:val="AttendancePVTitle"/>
      </w:pPr>
      <w:r w:rsidRPr="007B3BD0">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7B3BD0">
        <w:trPr>
          <w:cantSplit/>
        </w:trPr>
        <w:tc>
          <w:tcPr>
            <w:tcW w:w="9072" w:type="dxa"/>
            <w:shd w:val="pct10" w:color="000000" w:fill="FFFFFF"/>
          </w:tcPr>
          <w:p w:rsidR="008452E8" w:rsidRPr="007B3BD0" w:rsidRDefault="00CC6E1E" w:rsidP="00AD4CEB">
            <w:pPr>
              <w:pStyle w:val="AttendancePVTable"/>
            </w:pPr>
            <w:r w:rsidRPr="007B3BD0">
              <w:t>Бюро/Mesa/Předsednictvo/Formandskabet/Vorstand/Juhatus/Προεδρείο/Bureau/Predsjedništvo/Ufficio di presidenza/Prezidijs/ Biuras/Elnökség/Prezydium/Birou/Predsedníctvo/Predsedstvo/Puheenjohtajisto/Presidiet (*)</w:t>
            </w:r>
          </w:p>
        </w:tc>
      </w:tr>
      <w:tr w:rsidR="008452E8" w:rsidRPr="007B3BD0">
        <w:trPr>
          <w:cantSplit/>
          <w:trHeight w:val="720"/>
        </w:trPr>
        <w:tc>
          <w:tcPr>
            <w:tcW w:w="9072" w:type="dxa"/>
            <w:shd w:val="clear" w:color="000000" w:fill="FFFFFF"/>
          </w:tcPr>
          <w:p w:rsidR="008452E8" w:rsidRPr="007B3BD0" w:rsidRDefault="00AB038C" w:rsidP="00AD4CEB">
            <w:pPr>
              <w:pStyle w:val="AttendancePVTable"/>
            </w:pPr>
            <w:r w:rsidRPr="007B3BD0">
              <w:t>Younous Omarjee (P), Krzysztof Hetman (1st VP), Cristian Ghinea (2nd VP), Adrian Dragoş Benea (3rd VP) (2), Isabel Benjumea Benjumea (4th VP) (1)</w:t>
            </w:r>
          </w:p>
        </w:tc>
      </w:tr>
      <w:tr w:rsidR="008452E8" w:rsidRPr="007B3BD0">
        <w:trPr>
          <w:cantSplit/>
        </w:trPr>
        <w:tc>
          <w:tcPr>
            <w:tcW w:w="9072" w:type="dxa"/>
            <w:shd w:val="pct10" w:color="000000" w:fill="FFFFFF"/>
          </w:tcPr>
          <w:p w:rsidR="008452E8" w:rsidRPr="007B3BD0" w:rsidRDefault="00CC6E1E" w:rsidP="00AD4CEB">
            <w:pPr>
              <w:pStyle w:val="AttendancePVTable"/>
            </w:pPr>
            <w:r w:rsidRPr="007B3BD0">
              <w:t>Членове/Diputados/Poslanci/Medlemmer/Mitglieder/Parlamendiliikmed/Βουλευτές/Members/Députés/Zastupnici/Deputati/Deputāti/ Nariai/Képviselõk/Membri/Leden/Posłowie/Deputados/Deputaţi/Jäsenet/Ledamöter</w:t>
            </w:r>
          </w:p>
        </w:tc>
      </w:tr>
      <w:tr w:rsidR="008452E8" w:rsidRPr="007B3BD0">
        <w:trPr>
          <w:cantSplit/>
          <w:trHeight w:val="1200"/>
        </w:trPr>
        <w:tc>
          <w:tcPr>
            <w:tcW w:w="9072" w:type="dxa"/>
            <w:shd w:val="clear" w:color="000000" w:fill="FFFFFF"/>
          </w:tcPr>
          <w:p w:rsidR="008452E8" w:rsidRPr="007B3BD0" w:rsidRDefault="00AB038C" w:rsidP="00BC1C34">
            <w:pPr>
              <w:pStyle w:val="AttendancePVTable"/>
            </w:pPr>
            <w:r w:rsidRPr="007B3BD0">
              <w:t>Mathilde Androuët, Pascal Arimont, Tom Berendsen (2), Erik Bergkvist (2), Stéphane Bijoux, Franc Bogovič, Rosa D'Amato, Tamás Deutsch (2), Christian Doleschal (2), Francesca Donato, Mircea</w:t>
            </w:r>
            <w:r w:rsidRPr="007B3BD0">
              <w:noBreakHyphen/>
              <w:t>Gheorghe Hava, Peter Jahr (1), Manolis Kefalogiannis, Ondřej Knotek (1), Constanze Krehl, Cristina Maestre Martín De Almagro, Pedro Marques (2), Martina Michels, Andżelika Anna Możdżanowska (2), Niklas Nienaß (1), Andrey Novakov, Alessandro Panza, Tsvetelina Penkova, Susana Solís Pérez (1), Monika Vana (1), Julie Ward (1)</w:t>
            </w:r>
          </w:p>
        </w:tc>
      </w:tr>
      <w:tr w:rsidR="008452E8" w:rsidRPr="007B3BD0">
        <w:trPr>
          <w:cantSplit/>
        </w:trPr>
        <w:tc>
          <w:tcPr>
            <w:tcW w:w="9072" w:type="dxa"/>
            <w:shd w:val="pct10" w:color="000000" w:fill="FFFFFF"/>
          </w:tcPr>
          <w:p w:rsidR="008452E8" w:rsidRPr="007B3BD0" w:rsidRDefault="00CC6E1E" w:rsidP="00AD4CEB">
            <w:pPr>
              <w:pStyle w:val="AttendancePVTable"/>
            </w:pPr>
            <w:r w:rsidRPr="007B3BD0">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7B3BD0">
        <w:trPr>
          <w:cantSplit/>
          <w:trHeight w:val="1200"/>
        </w:trPr>
        <w:tc>
          <w:tcPr>
            <w:tcW w:w="9072" w:type="dxa"/>
            <w:shd w:val="clear" w:color="000000" w:fill="FFFFFF"/>
          </w:tcPr>
          <w:p w:rsidR="008452E8" w:rsidRPr="007B3BD0" w:rsidRDefault="00AB038C" w:rsidP="00AD4CEB">
            <w:pPr>
              <w:pStyle w:val="AttendancePVTable"/>
            </w:pPr>
            <w:r w:rsidRPr="007B3BD0">
              <w:t>François Alfonsi, Álvaro Amaro (2), Daniel Buda (1), Josianne Cutajar (2), Alexandra Geese (1), Mónica Silvana González (1), Stelios Kympouropoulos (1), Jan Olbrycht (2), Dimitrios Papadimoulis (2), Mauri Pekkarinen, Stanislav Polčák (1), Bronis Ropė (2), Tomislav Sokol (2), Maria Spyraki (1)</w:t>
            </w:r>
          </w:p>
        </w:tc>
      </w:tr>
    </w:tbl>
    <w:p w:rsidR="008452E8" w:rsidRPr="007B3BD0" w:rsidRDefault="008452E8" w:rsidP="005D5A08">
      <w:pPr>
        <w:pStyle w:val="AttendancePV"/>
      </w:pPr>
    </w:p>
    <w:p w:rsidR="008452E8" w:rsidRPr="007B3BD0" w:rsidRDefault="008452E8" w:rsidP="005D5A08">
      <w:pPr>
        <w:pStyle w:val="AttendancePV"/>
      </w:pPr>
    </w:p>
    <w:p w:rsidR="00714F25" w:rsidRPr="007B3BD0"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7B3BD0">
        <w:trPr>
          <w:cantSplit/>
        </w:trPr>
        <w:tc>
          <w:tcPr>
            <w:tcW w:w="9072" w:type="dxa"/>
            <w:gridSpan w:val="2"/>
            <w:shd w:val="pct10" w:color="000000" w:fill="FFFFFF"/>
          </w:tcPr>
          <w:p w:rsidR="008452E8" w:rsidRPr="007B3BD0" w:rsidRDefault="006D2283" w:rsidP="00467244">
            <w:pPr>
              <w:pStyle w:val="AttendancePVTable"/>
            </w:pPr>
            <w:r w:rsidRPr="007B3BD0">
              <w:t>209 (7)</w:t>
            </w:r>
          </w:p>
        </w:tc>
      </w:tr>
      <w:tr w:rsidR="008452E8" w:rsidRPr="007B3BD0">
        <w:trPr>
          <w:cantSplit/>
          <w:trHeight w:val="720"/>
        </w:trPr>
        <w:tc>
          <w:tcPr>
            <w:tcW w:w="9072" w:type="dxa"/>
            <w:gridSpan w:val="2"/>
          </w:tcPr>
          <w:p w:rsidR="008452E8" w:rsidRPr="007B3BD0" w:rsidRDefault="008452E8" w:rsidP="00AD4CEB">
            <w:pPr>
              <w:pStyle w:val="AttendancePVTable"/>
            </w:pPr>
          </w:p>
        </w:tc>
      </w:tr>
      <w:tr w:rsidR="008452E8" w:rsidRPr="007B3BD0">
        <w:trPr>
          <w:cantSplit/>
        </w:trPr>
        <w:tc>
          <w:tcPr>
            <w:tcW w:w="9072" w:type="dxa"/>
            <w:gridSpan w:val="2"/>
            <w:shd w:val="pct10" w:color="000000" w:fill="FFFFFF"/>
          </w:tcPr>
          <w:p w:rsidR="008452E8" w:rsidRPr="007B3BD0" w:rsidRDefault="00467244" w:rsidP="00AD4CEB">
            <w:pPr>
              <w:pStyle w:val="AttendancePVTable"/>
            </w:pPr>
            <w:r w:rsidRPr="007B3BD0">
              <w:t>216 (3)</w:t>
            </w:r>
          </w:p>
        </w:tc>
      </w:tr>
      <w:tr w:rsidR="008452E8" w:rsidRPr="007B3BD0">
        <w:trPr>
          <w:cantSplit/>
          <w:trHeight w:val="720"/>
        </w:trPr>
        <w:tc>
          <w:tcPr>
            <w:tcW w:w="9072" w:type="dxa"/>
            <w:gridSpan w:val="2"/>
          </w:tcPr>
          <w:p w:rsidR="008452E8" w:rsidRPr="007B3BD0" w:rsidRDefault="008452E8" w:rsidP="00AD4CEB">
            <w:pPr>
              <w:pStyle w:val="AttendancePVTable"/>
            </w:pPr>
          </w:p>
        </w:tc>
      </w:tr>
      <w:tr w:rsidR="008452E8" w:rsidRPr="007B3BD0">
        <w:trPr>
          <w:cantSplit/>
        </w:trPr>
        <w:tc>
          <w:tcPr>
            <w:tcW w:w="9072" w:type="dxa"/>
            <w:gridSpan w:val="2"/>
            <w:shd w:val="pct10" w:color="000000" w:fill="FFFFFF"/>
          </w:tcPr>
          <w:p w:rsidR="008452E8" w:rsidRPr="007B3BD0" w:rsidRDefault="006D2283" w:rsidP="00467244">
            <w:pPr>
              <w:pStyle w:val="AttendancePVTable"/>
            </w:pPr>
            <w:r w:rsidRPr="007B3BD0">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7B3BD0">
        <w:trPr>
          <w:trHeight w:val="720"/>
        </w:trPr>
        <w:tc>
          <w:tcPr>
            <w:tcW w:w="7513" w:type="dxa"/>
          </w:tcPr>
          <w:p w:rsidR="008452E8" w:rsidRPr="007B3BD0" w:rsidRDefault="008452E8" w:rsidP="00AD4CEB">
            <w:pPr>
              <w:pStyle w:val="AttendancePVTable"/>
            </w:pPr>
          </w:p>
        </w:tc>
        <w:tc>
          <w:tcPr>
            <w:tcW w:w="1559" w:type="dxa"/>
          </w:tcPr>
          <w:p w:rsidR="008452E8" w:rsidRPr="007B3BD0" w:rsidRDefault="008452E8" w:rsidP="00AD4CEB">
            <w:pPr>
              <w:pStyle w:val="AttendancePVTable"/>
            </w:pPr>
          </w:p>
        </w:tc>
      </w:tr>
    </w:tbl>
    <w:p w:rsidR="008452E8" w:rsidRPr="007B3BD0" w:rsidRDefault="008452E8" w:rsidP="005D5A08">
      <w:pPr>
        <w:pStyle w:val="AttendancePV"/>
      </w:pPr>
    </w:p>
    <w:p w:rsidR="0083601E" w:rsidRPr="007B3BD0" w:rsidRDefault="0083601E" w:rsidP="005D5A08">
      <w:pPr>
        <w:pStyle w:val="AttendancePV"/>
      </w:pPr>
    </w:p>
    <w:p w:rsidR="0083601E" w:rsidRPr="007B3BD0" w:rsidRDefault="0083601E" w:rsidP="005D5A08">
      <w:pPr>
        <w:pStyle w:val="AttendancePV"/>
      </w:pPr>
    </w:p>
    <w:p w:rsidR="008452E8" w:rsidRPr="007B3BD0" w:rsidRDefault="00FC68F1" w:rsidP="005D5A08">
      <w:pPr>
        <w:pStyle w:val="AttendancePV"/>
      </w:pPr>
      <w:r w:rsidRPr="007B3BD0">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7B3BD0" w:rsidRDefault="00FC68F1" w:rsidP="005D5A08">
      <w:pPr>
        <w:pStyle w:val="AttendancePV"/>
      </w:pPr>
      <w:r w:rsidRPr="007B3BD0">
        <w:t>(1)</w:t>
      </w:r>
      <w:r w:rsidRPr="007B3BD0">
        <w:tab/>
        <w:t>4.11.2019</w:t>
      </w:r>
    </w:p>
    <w:p w:rsidR="008452E8" w:rsidRPr="007B3BD0" w:rsidRDefault="00FC68F1" w:rsidP="005D5A08">
      <w:pPr>
        <w:pStyle w:val="AttendancePV"/>
      </w:pPr>
      <w:r w:rsidRPr="007B3BD0">
        <w:t>(2)</w:t>
      </w:r>
      <w:r w:rsidRPr="007B3BD0">
        <w:tab/>
        <w:t>5.11.2019</w:t>
      </w:r>
    </w:p>
    <w:p w:rsidR="0083601E" w:rsidRPr="007B3BD0" w:rsidRDefault="0076749D" w:rsidP="005D5A08">
      <w:pPr>
        <w:pStyle w:val="AttendancePV"/>
      </w:pPr>
      <w:r w:rsidRPr="007B3BD0">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7B3BD0" w:rsidTr="00B15084">
        <w:trPr>
          <w:cantSplit/>
        </w:trPr>
        <w:tc>
          <w:tcPr>
            <w:tcW w:w="9072" w:type="dxa"/>
            <w:shd w:val="pct10" w:color="000000" w:fill="FFFFFF"/>
          </w:tcPr>
          <w:p w:rsidR="0083601E" w:rsidRPr="007B3BD0" w:rsidRDefault="0083601E" w:rsidP="00AD4CEB">
            <w:pPr>
              <w:pStyle w:val="AttendancePVTable"/>
            </w:pPr>
            <w:r w:rsidRPr="007B3BD0">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7B3BD0" w:rsidTr="00B15084">
        <w:trPr>
          <w:cantSplit/>
          <w:trHeight w:val="720"/>
        </w:trPr>
        <w:tc>
          <w:tcPr>
            <w:tcW w:w="9072" w:type="dxa"/>
          </w:tcPr>
          <w:p w:rsidR="0083601E" w:rsidRPr="007B3BD0" w:rsidRDefault="0083601E" w:rsidP="00AD4CEB">
            <w:pPr>
              <w:pStyle w:val="AttendancePVTable"/>
            </w:pPr>
          </w:p>
        </w:tc>
      </w:tr>
    </w:tbl>
    <w:p w:rsidR="008452E8" w:rsidRPr="007B3BD0" w:rsidRDefault="008452E8" w:rsidP="005D5A08">
      <w:pPr>
        <w:pStyle w:val="AttendancePV"/>
      </w:pPr>
    </w:p>
    <w:p w:rsidR="0083601E" w:rsidRPr="007B3BD0" w:rsidRDefault="0083601E" w:rsidP="005D5A08">
      <w:pPr>
        <w:pStyle w:val="AttendancePV"/>
      </w:pPr>
    </w:p>
    <w:p w:rsidR="00DB5CC6" w:rsidRPr="007B3BD0"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7B3BD0">
        <w:tc>
          <w:tcPr>
            <w:tcW w:w="9072" w:type="dxa"/>
            <w:shd w:val="pct10" w:color="000000" w:fill="FFFFFF"/>
          </w:tcPr>
          <w:p w:rsidR="008452E8" w:rsidRPr="007B3BD0" w:rsidRDefault="00CC6E1E" w:rsidP="00F51C97">
            <w:pPr>
              <w:pStyle w:val="AttendancePVTable"/>
            </w:pPr>
            <w:r w:rsidRPr="007B3BD0">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7B3BD0">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7B3BD0">
        <w:trPr>
          <w:trHeight w:val="720"/>
        </w:trPr>
        <w:tc>
          <w:tcPr>
            <w:tcW w:w="9072" w:type="dxa"/>
          </w:tcPr>
          <w:p w:rsidR="008452E8" w:rsidRPr="007B3BD0" w:rsidRDefault="008452E8" w:rsidP="00AD4CEB">
            <w:pPr>
              <w:pStyle w:val="AttendancePVTable"/>
            </w:pPr>
          </w:p>
        </w:tc>
      </w:tr>
    </w:tbl>
    <w:p w:rsidR="008452E8" w:rsidRPr="007B3BD0" w:rsidRDefault="008452E8" w:rsidP="005D5A08">
      <w:pPr>
        <w:pStyle w:val="AttendancePV"/>
      </w:pPr>
    </w:p>
    <w:p w:rsidR="0083601E" w:rsidRPr="007B3BD0" w:rsidRDefault="0083601E" w:rsidP="005D5A08">
      <w:pPr>
        <w:pStyle w:val="AttendancePV"/>
      </w:pPr>
    </w:p>
    <w:p w:rsidR="008452E8" w:rsidRPr="007B3BD0"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7B3BD0">
        <w:tc>
          <w:tcPr>
            <w:tcW w:w="9072" w:type="dxa"/>
            <w:gridSpan w:val="2"/>
            <w:shd w:val="pct10" w:color="000000" w:fill="FFFFFF"/>
          </w:tcPr>
          <w:p w:rsidR="008452E8" w:rsidRPr="007B3BD0" w:rsidRDefault="00CC6E1E" w:rsidP="00AD4CEB">
            <w:pPr>
              <w:pStyle w:val="AttendancePVTable"/>
            </w:pPr>
            <w:r w:rsidRPr="007B3BD0">
              <w:t>Съвет/Consejo/Rada/Rådet/Rat/Nõukogu/Συμβούλιο/Council/Conseil/Vijeće/Consiglio/Padome/Taryba/Tanács/Kunsill/Raad/ Conselho/Consiliu/Svet/Neuvosto/Rådet (*)</w:t>
            </w:r>
          </w:p>
        </w:tc>
      </w:tr>
      <w:tr w:rsidR="008452E8" w:rsidRPr="007B3BD0">
        <w:trPr>
          <w:trHeight w:val="720"/>
        </w:trPr>
        <w:tc>
          <w:tcPr>
            <w:tcW w:w="9072" w:type="dxa"/>
            <w:gridSpan w:val="2"/>
          </w:tcPr>
          <w:p w:rsidR="008452E8" w:rsidRPr="007B3BD0" w:rsidRDefault="008452E8" w:rsidP="00AD4CEB">
            <w:pPr>
              <w:pStyle w:val="AttendancePVTable"/>
            </w:pPr>
          </w:p>
        </w:tc>
      </w:tr>
      <w:tr w:rsidR="008452E8" w:rsidRPr="007B3BD0">
        <w:tc>
          <w:tcPr>
            <w:tcW w:w="9072" w:type="dxa"/>
            <w:gridSpan w:val="2"/>
            <w:shd w:val="pct10" w:color="000000" w:fill="FFFFFF"/>
          </w:tcPr>
          <w:p w:rsidR="008452E8" w:rsidRPr="007B3BD0" w:rsidRDefault="00CC6E1E" w:rsidP="002E2B09">
            <w:pPr>
              <w:pStyle w:val="AttendancePVTable"/>
            </w:pPr>
            <w:r w:rsidRPr="007B3BD0">
              <w:t>Комисия/Comisión/Komise/Kommissionen/Kommission/Komisjon/Επιτροπή/Commission/Komisija/Commissione/Bizottság/ Kummissjoni/Commissie/Komisja/Comissão/Comisie/Komisia/Komissio/Kommissionen (*)</w:t>
            </w:r>
          </w:p>
        </w:tc>
      </w:tr>
      <w:tr w:rsidR="008452E8" w:rsidRPr="007B3BD0">
        <w:trPr>
          <w:trHeight w:val="720"/>
        </w:trPr>
        <w:tc>
          <w:tcPr>
            <w:tcW w:w="9072" w:type="dxa"/>
            <w:gridSpan w:val="2"/>
          </w:tcPr>
          <w:p w:rsidR="008452E8" w:rsidRPr="007B3BD0" w:rsidRDefault="00045779" w:rsidP="003D3161">
            <w:pPr>
              <w:pStyle w:val="AttendancePVTable"/>
            </w:pPr>
            <w:r w:rsidRPr="007B3BD0">
              <w:t xml:space="preserve">Mariana Kotzeva (F), Pierre Bischoff (F), Erik von Breska (F), Petra Goran  (F), Lothar Kuhl (F), Ioana Rus (F), </w:t>
            </w:r>
          </w:p>
        </w:tc>
      </w:tr>
      <w:tr w:rsidR="008452E8" w:rsidRPr="007B3BD0">
        <w:tc>
          <w:tcPr>
            <w:tcW w:w="9072" w:type="dxa"/>
            <w:gridSpan w:val="2"/>
            <w:shd w:val="pct10" w:color="000000" w:fill="FFFFFF"/>
          </w:tcPr>
          <w:p w:rsidR="008452E8" w:rsidRPr="007B3BD0" w:rsidRDefault="00F0068D" w:rsidP="00F0068D">
            <w:pPr>
              <w:pStyle w:val="AttendancePVTable"/>
            </w:pPr>
            <w:r w:rsidRPr="007B3BD0">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7B3BD0">
        <w:trPr>
          <w:cantSplit/>
          <w:trHeight w:val="720"/>
        </w:trPr>
        <w:tc>
          <w:tcPr>
            <w:tcW w:w="1701" w:type="dxa"/>
          </w:tcPr>
          <w:p w:rsidR="008452E8" w:rsidRPr="007B3BD0" w:rsidRDefault="00045779" w:rsidP="00AD4CEB">
            <w:pPr>
              <w:pStyle w:val="AttendancePVTable"/>
            </w:pPr>
            <w:r w:rsidRPr="007B3BD0">
              <w:t>ECA</w:t>
            </w:r>
          </w:p>
          <w:p w:rsidR="00045779" w:rsidRPr="007B3BD0" w:rsidRDefault="00045779" w:rsidP="00AD4CEB">
            <w:pPr>
              <w:pStyle w:val="AttendancePVTable"/>
            </w:pPr>
            <w:r w:rsidRPr="007B3BD0">
              <w:t>CoR</w:t>
            </w:r>
          </w:p>
        </w:tc>
        <w:tc>
          <w:tcPr>
            <w:tcW w:w="7371" w:type="dxa"/>
          </w:tcPr>
          <w:p w:rsidR="008452E8" w:rsidRPr="007B3BD0" w:rsidRDefault="00905F32" w:rsidP="00AD4CEB">
            <w:pPr>
              <w:pStyle w:val="AttendancePVTable"/>
            </w:pPr>
            <w:r w:rsidRPr="007B3BD0">
              <w:t>Iliana Ivanova (M), Jean-François Hynderick (F)</w:t>
            </w:r>
          </w:p>
          <w:p w:rsidR="00045779" w:rsidRPr="007B3BD0" w:rsidRDefault="00045779" w:rsidP="00045779">
            <w:pPr>
              <w:pStyle w:val="AttendancePVTable"/>
            </w:pPr>
            <w:r w:rsidRPr="007B3BD0">
              <w:t>Karl-Heinz Lambertz (P), Nicolas Lete (F)</w:t>
            </w:r>
          </w:p>
        </w:tc>
      </w:tr>
    </w:tbl>
    <w:p w:rsidR="008452E8" w:rsidRPr="007B3BD0" w:rsidRDefault="008452E8" w:rsidP="005D5A08">
      <w:pPr>
        <w:pStyle w:val="AttendancePV"/>
      </w:pPr>
    </w:p>
    <w:p w:rsidR="008452E8" w:rsidRPr="007B3BD0"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7B3BD0">
        <w:trPr>
          <w:cantSplit/>
        </w:trPr>
        <w:tc>
          <w:tcPr>
            <w:tcW w:w="9072" w:type="dxa"/>
            <w:shd w:val="pct10" w:color="000000" w:fill="FFFFFF"/>
          </w:tcPr>
          <w:p w:rsidR="008452E8" w:rsidRPr="007B3BD0" w:rsidRDefault="00007788" w:rsidP="00AD4CEB">
            <w:pPr>
              <w:pStyle w:val="AttendancePVTable"/>
            </w:pPr>
            <w:r w:rsidRPr="007B3BD0">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7B3BD0">
        <w:trPr>
          <w:cantSplit/>
          <w:trHeight w:val="1200"/>
        </w:trPr>
        <w:tc>
          <w:tcPr>
            <w:tcW w:w="9072" w:type="dxa"/>
          </w:tcPr>
          <w:p w:rsidR="008452E8" w:rsidRPr="007B3BD0" w:rsidRDefault="008452E8" w:rsidP="00AD4CEB">
            <w:pPr>
              <w:pStyle w:val="AttendancePVTable"/>
            </w:pPr>
          </w:p>
        </w:tc>
      </w:tr>
    </w:tbl>
    <w:p w:rsidR="0083601E" w:rsidRPr="007B3BD0" w:rsidRDefault="0083601E" w:rsidP="005D5A08">
      <w:pPr>
        <w:pStyle w:val="AttendancePV"/>
      </w:pPr>
      <w:r w:rsidRPr="007B3BD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B3BD0">
        <w:trPr>
          <w:cantSplit/>
        </w:trPr>
        <w:tc>
          <w:tcPr>
            <w:tcW w:w="9072" w:type="dxa"/>
            <w:gridSpan w:val="2"/>
            <w:shd w:val="pct10" w:color="000000" w:fill="FFFFFF"/>
          </w:tcPr>
          <w:p w:rsidR="008452E8" w:rsidRPr="007B3BD0" w:rsidRDefault="00C634EF" w:rsidP="005F6C89">
            <w:pPr>
              <w:pStyle w:val="AttendancePVTable"/>
            </w:pPr>
            <w:r w:rsidRPr="007B3BD0">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7B3BD0">
        <w:trPr>
          <w:cantSplit/>
        </w:trPr>
        <w:tc>
          <w:tcPr>
            <w:tcW w:w="1701" w:type="dxa"/>
            <w:shd w:val="clear" w:color="auto" w:fill="FFFFFF"/>
          </w:tcPr>
          <w:p w:rsidR="008452E8" w:rsidRPr="007B3BD0" w:rsidRDefault="008452E8" w:rsidP="00A66B35">
            <w:pPr>
              <w:pStyle w:val="AttendancePVTable"/>
            </w:pPr>
            <w:r w:rsidRPr="007B3BD0">
              <w:t>PPE</w:t>
            </w:r>
          </w:p>
          <w:p w:rsidR="008452E8" w:rsidRPr="007B3BD0" w:rsidRDefault="00CE5AEB" w:rsidP="00A66B35">
            <w:pPr>
              <w:pStyle w:val="AttendancePVTable"/>
            </w:pPr>
            <w:r w:rsidRPr="007B3BD0">
              <w:t>S&amp;D</w:t>
            </w:r>
          </w:p>
          <w:p w:rsidR="00A5325A" w:rsidRPr="007B3BD0" w:rsidRDefault="00A5325A" w:rsidP="00A66B35">
            <w:pPr>
              <w:pStyle w:val="AttendancePVTable"/>
            </w:pPr>
            <w:r w:rsidRPr="007B3BD0">
              <w:t>Renew</w:t>
            </w:r>
          </w:p>
          <w:p w:rsidR="008452E8" w:rsidRPr="007B3BD0" w:rsidRDefault="00926DB0" w:rsidP="00A66B35">
            <w:pPr>
              <w:pStyle w:val="AttendancePVTable"/>
            </w:pPr>
            <w:r w:rsidRPr="007B3BD0">
              <w:t>Verts/ALE</w:t>
            </w:r>
          </w:p>
          <w:p w:rsidR="00A5325A" w:rsidRPr="007B3BD0" w:rsidRDefault="00A5325A" w:rsidP="00A5325A">
            <w:pPr>
              <w:pStyle w:val="AttendancePVTable"/>
            </w:pPr>
            <w:r w:rsidRPr="007B3BD0">
              <w:t>ID</w:t>
            </w:r>
          </w:p>
          <w:p w:rsidR="00A5325A" w:rsidRPr="007B3BD0" w:rsidRDefault="00A5325A" w:rsidP="00A5325A">
            <w:pPr>
              <w:pStyle w:val="AttendancePVTable"/>
            </w:pPr>
            <w:r w:rsidRPr="007B3BD0">
              <w:t>ECR</w:t>
            </w:r>
          </w:p>
          <w:p w:rsidR="008452E8" w:rsidRPr="007B3BD0" w:rsidRDefault="00926DB0" w:rsidP="00A66B35">
            <w:pPr>
              <w:pStyle w:val="AttendancePVTable"/>
            </w:pPr>
            <w:r w:rsidRPr="007B3BD0">
              <w:t>GUE/NGL</w:t>
            </w:r>
          </w:p>
          <w:p w:rsidR="008452E8" w:rsidRPr="007B3BD0" w:rsidRDefault="008452E8" w:rsidP="00A66B35">
            <w:pPr>
              <w:pStyle w:val="AttendancePVTable"/>
            </w:pPr>
            <w:r w:rsidRPr="007B3BD0">
              <w:t>NI</w:t>
            </w:r>
          </w:p>
        </w:tc>
        <w:tc>
          <w:tcPr>
            <w:tcW w:w="7371" w:type="dxa"/>
            <w:shd w:val="clear" w:color="auto" w:fill="FFFFFF"/>
          </w:tcPr>
          <w:p w:rsidR="008452E8" w:rsidRPr="007B3BD0" w:rsidRDefault="00905F32" w:rsidP="00A66B35">
            <w:pPr>
              <w:pStyle w:val="AttendancePVTable"/>
            </w:pPr>
            <w:r w:rsidRPr="007B3BD0">
              <w:t>Pawel Kaleta, Madalina Stoian, Nicolae Banda</w:t>
            </w:r>
          </w:p>
          <w:p w:rsidR="008452E8" w:rsidRPr="007B3BD0" w:rsidRDefault="00905F32" w:rsidP="00A66B35">
            <w:pPr>
              <w:pStyle w:val="AttendancePVTable"/>
            </w:pPr>
            <w:r w:rsidRPr="007B3BD0">
              <w:t>Rasa Rudzkyte, Markus Wolschlager, Pirjo Wagello</w:t>
            </w:r>
          </w:p>
          <w:p w:rsidR="008452E8" w:rsidRPr="007B3BD0" w:rsidRDefault="00905F32" w:rsidP="00A66B35">
            <w:pPr>
              <w:pStyle w:val="AttendancePVTable"/>
            </w:pPr>
            <w:r w:rsidRPr="007B3BD0">
              <w:t>Bogdan Rogin, Sissel Kvist</w:t>
            </w:r>
          </w:p>
          <w:p w:rsidR="008452E8" w:rsidRPr="007B3BD0" w:rsidRDefault="00905F32" w:rsidP="00A66B35">
            <w:pPr>
              <w:pStyle w:val="AttendancePVTable"/>
            </w:pPr>
            <w:r w:rsidRPr="007B3BD0">
              <w:t>Simone Reinhart, Alan Kecckes</w:t>
            </w:r>
          </w:p>
          <w:p w:rsidR="008452E8" w:rsidRPr="007B3BD0" w:rsidRDefault="0052681C" w:rsidP="00A66B35">
            <w:pPr>
              <w:pStyle w:val="AttendancePVTable"/>
            </w:pPr>
            <w:r w:rsidRPr="007B3BD0">
              <w:t>Martina Angelini</w:t>
            </w:r>
          </w:p>
          <w:p w:rsidR="008452E8" w:rsidRPr="007B3BD0" w:rsidRDefault="00905F32" w:rsidP="00A66B35">
            <w:pPr>
              <w:pStyle w:val="AttendancePVTable"/>
            </w:pPr>
            <w:r w:rsidRPr="007B3BD0">
              <w:t>Vincenzo Matano</w:t>
            </w:r>
          </w:p>
          <w:p w:rsidR="008452E8" w:rsidRPr="007B3BD0" w:rsidRDefault="00905F32" w:rsidP="00A66B35">
            <w:pPr>
              <w:pStyle w:val="AttendancePVTable"/>
            </w:pPr>
            <w:r w:rsidRPr="007B3BD0">
              <w:t>Antoine Pièrre Bazantay</w:t>
            </w:r>
          </w:p>
          <w:p w:rsidR="0006514D" w:rsidRPr="007B3BD0" w:rsidRDefault="00905F32" w:rsidP="00374A20">
            <w:pPr>
              <w:pStyle w:val="AttendancePVTable"/>
            </w:pPr>
            <w:r w:rsidRPr="007B3BD0">
              <w:t>Andrea Picone</w:t>
            </w:r>
          </w:p>
        </w:tc>
      </w:tr>
      <w:tr w:rsidR="00905F32" w:rsidRPr="007B3BD0">
        <w:trPr>
          <w:cantSplit/>
        </w:trPr>
        <w:tc>
          <w:tcPr>
            <w:tcW w:w="1701" w:type="dxa"/>
            <w:shd w:val="clear" w:color="auto" w:fill="FFFFFF"/>
          </w:tcPr>
          <w:p w:rsidR="00905F32" w:rsidRPr="007B3BD0" w:rsidRDefault="00905F32" w:rsidP="00A66B35">
            <w:pPr>
              <w:pStyle w:val="AttendancePVTable"/>
            </w:pPr>
          </w:p>
        </w:tc>
        <w:tc>
          <w:tcPr>
            <w:tcW w:w="7371" w:type="dxa"/>
            <w:shd w:val="clear" w:color="auto" w:fill="FFFFFF"/>
          </w:tcPr>
          <w:p w:rsidR="00905F32" w:rsidRPr="007B3BD0" w:rsidRDefault="00905F32" w:rsidP="00A66B35">
            <w:pPr>
              <w:pStyle w:val="AttendancePVTable"/>
            </w:pPr>
          </w:p>
        </w:tc>
      </w:tr>
    </w:tbl>
    <w:p w:rsidR="00DB5CC6" w:rsidRPr="007B3BD0" w:rsidRDefault="00DB5CC6" w:rsidP="005D5A08">
      <w:pPr>
        <w:pStyle w:val="AttendancePV"/>
      </w:pPr>
    </w:p>
    <w:p w:rsidR="0083601E" w:rsidRPr="007B3BD0" w:rsidRDefault="0083601E" w:rsidP="005D5A08">
      <w:pPr>
        <w:pStyle w:val="AttendancePV"/>
      </w:pPr>
    </w:p>
    <w:p w:rsidR="0083601E" w:rsidRPr="007B3BD0"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B3BD0">
        <w:trPr>
          <w:cantSplit/>
        </w:trPr>
        <w:tc>
          <w:tcPr>
            <w:tcW w:w="9072" w:type="dxa"/>
            <w:gridSpan w:val="2"/>
            <w:shd w:val="pct10" w:color="000000" w:fill="FFFFFF"/>
          </w:tcPr>
          <w:p w:rsidR="008452E8" w:rsidRPr="007B3BD0" w:rsidRDefault="00DC629C" w:rsidP="00AD4CEB">
            <w:pPr>
              <w:pStyle w:val="AttendancePVTable"/>
            </w:pPr>
            <w:r w:rsidRPr="007B3BD0">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7B3BD0" w:rsidTr="003C7A12">
        <w:trPr>
          <w:cantSplit/>
          <w:trHeight w:val="510"/>
        </w:trPr>
        <w:tc>
          <w:tcPr>
            <w:tcW w:w="9072" w:type="dxa"/>
            <w:gridSpan w:val="2"/>
            <w:shd w:val="clear" w:color="auto" w:fill="FFFFFF"/>
          </w:tcPr>
          <w:p w:rsidR="008452E8" w:rsidRPr="007B3BD0" w:rsidRDefault="008452E8" w:rsidP="00AD4CEB">
            <w:pPr>
              <w:pStyle w:val="AttendancePVTable"/>
            </w:pPr>
          </w:p>
        </w:tc>
      </w:tr>
      <w:tr w:rsidR="008452E8" w:rsidRPr="007B3BD0">
        <w:trPr>
          <w:cantSplit/>
        </w:trPr>
        <w:tc>
          <w:tcPr>
            <w:tcW w:w="9072" w:type="dxa"/>
            <w:gridSpan w:val="2"/>
            <w:shd w:val="pct10" w:color="000000" w:fill="FFFFFF"/>
          </w:tcPr>
          <w:p w:rsidR="008452E8" w:rsidRPr="007B3BD0" w:rsidRDefault="00C634EF" w:rsidP="00AD4CEB">
            <w:pPr>
              <w:pStyle w:val="AttendancePVTable"/>
            </w:pPr>
            <w:r w:rsidRPr="007B3BD0">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7B3BD0" w:rsidTr="003C7A12">
        <w:trPr>
          <w:cantSplit/>
          <w:trHeight w:val="510"/>
        </w:trPr>
        <w:tc>
          <w:tcPr>
            <w:tcW w:w="9072" w:type="dxa"/>
            <w:gridSpan w:val="2"/>
            <w:shd w:val="clear" w:color="auto" w:fill="FFFFFF"/>
          </w:tcPr>
          <w:p w:rsidR="008452E8" w:rsidRPr="007B3BD0" w:rsidRDefault="008452E8" w:rsidP="00AD4CEB">
            <w:pPr>
              <w:pStyle w:val="AttendancePVTable"/>
            </w:pPr>
          </w:p>
        </w:tc>
      </w:tr>
      <w:tr w:rsidR="008452E8" w:rsidRPr="007B3BD0">
        <w:trPr>
          <w:cantSplit/>
        </w:trPr>
        <w:tc>
          <w:tcPr>
            <w:tcW w:w="9072" w:type="dxa"/>
            <w:gridSpan w:val="2"/>
            <w:shd w:val="pct10" w:color="000000" w:fill="FFFFFF"/>
          </w:tcPr>
          <w:p w:rsidR="008452E8" w:rsidRPr="007B3BD0" w:rsidRDefault="00C634EF" w:rsidP="00AD4CEB">
            <w:pPr>
              <w:pStyle w:val="AttendancePVTable"/>
            </w:pPr>
            <w:r w:rsidRPr="007B3BD0">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7B3BD0">
              <w:noBreakHyphen/>
              <w:t>generaal/Dyrekcja Generalna/Direcção-Geral/Direcţii Generale/Generálne riaditeľstvo/Generalni direktorat/Pääosasto/Generaldirektorat</w:t>
            </w:r>
          </w:p>
        </w:tc>
      </w:tr>
      <w:tr w:rsidR="008452E8" w:rsidRPr="007B3BD0">
        <w:trPr>
          <w:cantSplit/>
          <w:trHeight w:val="720"/>
        </w:trPr>
        <w:tc>
          <w:tcPr>
            <w:tcW w:w="1701" w:type="dxa"/>
            <w:shd w:val="clear" w:color="auto" w:fill="FFFFFF"/>
          </w:tcPr>
          <w:p w:rsidR="008452E8" w:rsidRPr="007B3BD0" w:rsidRDefault="008452E8" w:rsidP="00A66B35">
            <w:pPr>
              <w:pStyle w:val="AttendancePVTable"/>
            </w:pPr>
            <w:r w:rsidRPr="007B3BD0">
              <w:t>DG PRES</w:t>
            </w:r>
          </w:p>
          <w:p w:rsidR="008452E8" w:rsidRPr="007B3BD0" w:rsidRDefault="008452E8" w:rsidP="00A66B35">
            <w:pPr>
              <w:pStyle w:val="AttendancePVTable"/>
            </w:pPr>
            <w:r w:rsidRPr="007B3BD0">
              <w:t>DG IPOL</w:t>
            </w:r>
          </w:p>
          <w:p w:rsidR="008452E8" w:rsidRPr="007B3BD0" w:rsidRDefault="008452E8" w:rsidP="00A66B35">
            <w:pPr>
              <w:pStyle w:val="AttendancePVTable"/>
            </w:pPr>
            <w:r w:rsidRPr="007B3BD0">
              <w:t>DG EXPO</w:t>
            </w:r>
          </w:p>
          <w:p w:rsidR="00CA53ED" w:rsidRPr="007B3BD0" w:rsidRDefault="00CA53ED" w:rsidP="00A66B35">
            <w:pPr>
              <w:pStyle w:val="AttendancePVTable"/>
            </w:pPr>
            <w:r w:rsidRPr="007B3BD0">
              <w:t>DG EPRS</w:t>
            </w:r>
          </w:p>
          <w:p w:rsidR="008452E8" w:rsidRPr="007B3BD0" w:rsidRDefault="008452E8" w:rsidP="00A66B35">
            <w:pPr>
              <w:pStyle w:val="AttendancePVTable"/>
            </w:pPr>
            <w:r w:rsidRPr="007B3BD0">
              <w:t>DG COMM</w:t>
            </w:r>
          </w:p>
          <w:p w:rsidR="008452E8" w:rsidRPr="007B3BD0" w:rsidRDefault="008452E8" w:rsidP="00A66B35">
            <w:pPr>
              <w:pStyle w:val="AttendancePVTable"/>
            </w:pPr>
            <w:r w:rsidRPr="007B3BD0">
              <w:t>DG PERS</w:t>
            </w:r>
          </w:p>
          <w:p w:rsidR="008452E8" w:rsidRPr="007B3BD0" w:rsidRDefault="007C674A" w:rsidP="00A66B35">
            <w:pPr>
              <w:pStyle w:val="AttendancePVTable"/>
            </w:pPr>
            <w:r w:rsidRPr="007B3BD0">
              <w:t>DG INLO</w:t>
            </w:r>
          </w:p>
          <w:p w:rsidR="008452E8" w:rsidRPr="007B3BD0" w:rsidRDefault="008452E8" w:rsidP="00A66B35">
            <w:pPr>
              <w:pStyle w:val="AttendancePVTable"/>
            </w:pPr>
            <w:r w:rsidRPr="007B3BD0">
              <w:t>DG TRAD</w:t>
            </w:r>
          </w:p>
          <w:p w:rsidR="007C674A" w:rsidRPr="007B3BD0" w:rsidRDefault="007C674A" w:rsidP="00A66B35">
            <w:pPr>
              <w:pStyle w:val="AttendancePVTable"/>
            </w:pPr>
            <w:r w:rsidRPr="007B3BD0">
              <w:t>DG LINC</w:t>
            </w:r>
          </w:p>
          <w:p w:rsidR="008452E8" w:rsidRPr="007B3BD0" w:rsidRDefault="008452E8" w:rsidP="00A66B35">
            <w:pPr>
              <w:pStyle w:val="AttendancePVTable"/>
            </w:pPr>
            <w:r w:rsidRPr="007B3BD0">
              <w:t>DG FINS</w:t>
            </w:r>
          </w:p>
          <w:p w:rsidR="00CA53ED" w:rsidRPr="007B3BD0" w:rsidRDefault="00CA53ED" w:rsidP="00A66B35">
            <w:pPr>
              <w:pStyle w:val="AttendancePVTable"/>
            </w:pPr>
            <w:r w:rsidRPr="007B3BD0">
              <w:t>DG ITEC</w:t>
            </w:r>
          </w:p>
          <w:p w:rsidR="007C674A" w:rsidRPr="007B3BD0" w:rsidRDefault="00CA53ED" w:rsidP="00A66B35">
            <w:pPr>
              <w:pStyle w:val="AttendancePVTable"/>
            </w:pPr>
            <w:r w:rsidRPr="007B3BD0">
              <w:t>DG SAFE</w:t>
            </w:r>
          </w:p>
        </w:tc>
        <w:tc>
          <w:tcPr>
            <w:tcW w:w="7371" w:type="dxa"/>
            <w:shd w:val="clear" w:color="auto" w:fill="FFFFFF"/>
          </w:tcPr>
          <w:p w:rsidR="008452E8" w:rsidRPr="007B3BD0" w:rsidRDefault="008452E8" w:rsidP="00A66B35">
            <w:pPr>
              <w:pStyle w:val="AttendancePVTable"/>
            </w:pPr>
          </w:p>
          <w:p w:rsidR="008452E8" w:rsidRPr="007B3BD0" w:rsidRDefault="00CE7077" w:rsidP="00A66B35">
            <w:pPr>
              <w:pStyle w:val="AttendancePVTable"/>
            </w:pPr>
            <w:r w:rsidRPr="007B3BD0">
              <w:t>Sabina Magnano, Johannes Litzelmann, Marek Kolodziejski, Stephan Dietzen</w:t>
            </w:r>
          </w:p>
          <w:p w:rsidR="008452E8" w:rsidRPr="007B3BD0" w:rsidRDefault="008452E8" w:rsidP="00A66B35">
            <w:pPr>
              <w:pStyle w:val="AttendancePVTable"/>
            </w:pPr>
          </w:p>
          <w:p w:rsidR="008452E8" w:rsidRPr="007B3BD0" w:rsidRDefault="008452E8" w:rsidP="00A66B35">
            <w:pPr>
              <w:pStyle w:val="AttendancePVTable"/>
            </w:pPr>
          </w:p>
          <w:p w:rsidR="008452E8" w:rsidRPr="007B3BD0" w:rsidRDefault="00905F32" w:rsidP="00A66B35">
            <w:pPr>
              <w:pStyle w:val="AttendancePVTable"/>
            </w:pPr>
            <w:r w:rsidRPr="007B3BD0">
              <w:t>Dana Cristina Popp</w:t>
            </w:r>
          </w:p>
          <w:p w:rsidR="008452E8" w:rsidRPr="007B3BD0" w:rsidRDefault="008452E8" w:rsidP="00A66B35">
            <w:pPr>
              <w:pStyle w:val="AttendancePVTable"/>
            </w:pPr>
          </w:p>
          <w:p w:rsidR="008452E8" w:rsidRPr="007B3BD0" w:rsidRDefault="008452E8" w:rsidP="00A66B35">
            <w:pPr>
              <w:pStyle w:val="AttendancePVTable"/>
            </w:pPr>
          </w:p>
          <w:p w:rsidR="00615488" w:rsidRPr="007B3BD0" w:rsidRDefault="00615488" w:rsidP="00A66B35">
            <w:pPr>
              <w:pStyle w:val="AttendancePVTable"/>
            </w:pPr>
          </w:p>
          <w:p w:rsidR="00CA53ED" w:rsidRPr="007B3BD0" w:rsidRDefault="00CA53ED" w:rsidP="00A66B35">
            <w:pPr>
              <w:pStyle w:val="AttendancePVTable"/>
            </w:pPr>
          </w:p>
          <w:p w:rsidR="00CA53ED" w:rsidRPr="007B3BD0" w:rsidRDefault="00CA53ED" w:rsidP="00A66B35">
            <w:pPr>
              <w:pStyle w:val="AttendancePVTable"/>
            </w:pPr>
          </w:p>
          <w:p w:rsidR="00CA53ED" w:rsidRPr="007B3BD0" w:rsidRDefault="00CA53ED" w:rsidP="00AD4CEB">
            <w:pPr>
              <w:pStyle w:val="AttendancePVTable"/>
            </w:pPr>
          </w:p>
        </w:tc>
      </w:tr>
    </w:tbl>
    <w:p w:rsidR="0083601E" w:rsidRPr="007B3BD0" w:rsidRDefault="0083601E" w:rsidP="005D5A08">
      <w:pPr>
        <w:pStyle w:val="AttendancePV"/>
      </w:pPr>
      <w:r w:rsidRPr="007B3BD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7B3BD0">
        <w:trPr>
          <w:cantSplit/>
        </w:trPr>
        <w:tc>
          <w:tcPr>
            <w:tcW w:w="9072" w:type="dxa"/>
            <w:shd w:val="pct10" w:color="000000" w:fill="FFFFFF"/>
          </w:tcPr>
          <w:p w:rsidR="00A13D65" w:rsidRPr="007B3BD0" w:rsidRDefault="00A13D65" w:rsidP="00AD4CEB">
            <w:pPr>
              <w:pStyle w:val="AttendancePVTable"/>
            </w:pPr>
            <w:r w:rsidRPr="007B3BD0">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7B3BD0" w:rsidTr="003C7A12">
        <w:trPr>
          <w:cantSplit/>
          <w:trHeight w:val="510"/>
        </w:trPr>
        <w:tc>
          <w:tcPr>
            <w:tcW w:w="9072" w:type="dxa"/>
            <w:shd w:val="clear" w:color="auto" w:fill="FFFFFF"/>
          </w:tcPr>
          <w:p w:rsidR="00A13D65" w:rsidRPr="007B3BD0" w:rsidRDefault="00A13D65" w:rsidP="00AD4CEB">
            <w:pPr>
              <w:pStyle w:val="AttendancePVTable"/>
            </w:pPr>
          </w:p>
        </w:tc>
      </w:tr>
      <w:tr w:rsidR="00A13D65" w:rsidRPr="007B3BD0">
        <w:trPr>
          <w:cantSplit/>
        </w:trPr>
        <w:tc>
          <w:tcPr>
            <w:tcW w:w="9072" w:type="dxa"/>
            <w:shd w:val="pct10" w:color="000000" w:fill="FFFFFF"/>
          </w:tcPr>
          <w:p w:rsidR="00A13D65" w:rsidRPr="007B3BD0" w:rsidRDefault="00A13D65" w:rsidP="00E2213D">
            <w:pPr>
              <w:pStyle w:val="AttendancePVTable"/>
            </w:pPr>
            <w:r w:rsidRPr="007B3BD0">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7B3BD0" w:rsidTr="003C7A12">
        <w:trPr>
          <w:cantSplit/>
          <w:trHeight w:val="510"/>
        </w:trPr>
        <w:tc>
          <w:tcPr>
            <w:tcW w:w="9072" w:type="dxa"/>
            <w:shd w:val="clear" w:color="auto" w:fill="FFFFFF"/>
          </w:tcPr>
          <w:p w:rsidR="00A13D65" w:rsidRPr="007B3BD0" w:rsidRDefault="00905F32" w:rsidP="00AD4CEB">
            <w:pPr>
              <w:pStyle w:val="AttendancePVTable"/>
            </w:pPr>
            <w:r w:rsidRPr="007B3BD0">
              <w:t>Stephen Salter, Filipa Azevedo, Guy Deregnaucourt, Roberto Giannella, Beata Grzebieluch, Alexander Keys, Tajana Ljubicic, Chysostomos Panagiotou, Annastiina Papunen, Simona Castellani, Krisztina Manyik, Lisa Mutke</w:t>
            </w:r>
          </w:p>
        </w:tc>
      </w:tr>
      <w:tr w:rsidR="00A13D65" w:rsidRPr="007B3BD0">
        <w:trPr>
          <w:cantSplit/>
        </w:trPr>
        <w:tc>
          <w:tcPr>
            <w:tcW w:w="9072" w:type="dxa"/>
            <w:shd w:val="pct10" w:color="000000" w:fill="FFFFFF"/>
          </w:tcPr>
          <w:p w:rsidR="00A13D65" w:rsidRPr="007B3BD0" w:rsidRDefault="00A13D65" w:rsidP="00AD4CEB">
            <w:pPr>
              <w:pStyle w:val="AttendancePVTable"/>
            </w:pPr>
            <w:r w:rsidRPr="007B3BD0">
              <w:t>Сътрудник/Asistente/Asistent/Assistent/Assistenz/Βοηθός/Assistant/Assistente/Palīgs/Padėjėjas/Asszisztens/Asystent/Pomočnik/ Avustaja/Assistenter</w:t>
            </w:r>
          </w:p>
        </w:tc>
      </w:tr>
      <w:tr w:rsidR="00A13D65" w:rsidRPr="007B3BD0" w:rsidTr="003C7A12">
        <w:trPr>
          <w:cantSplit/>
          <w:trHeight w:val="510"/>
        </w:trPr>
        <w:tc>
          <w:tcPr>
            <w:tcW w:w="9072" w:type="dxa"/>
            <w:shd w:val="clear" w:color="auto" w:fill="FFFFFF"/>
          </w:tcPr>
          <w:p w:rsidR="00A13D65" w:rsidRPr="007B3BD0" w:rsidRDefault="00FC68F1" w:rsidP="00CE7077">
            <w:pPr>
              <w:pStyle w:val="AttendancePVTable"/>
            </w:pPr>
            <w:r w:rsidRPr="007B3BD0">
              <w:t>Francisco Javier Solana Ramos</w:t>
            </w:r>
          </w:p>
        </w:tc>
      </w:tr>
    </w:tbl>
    <w:p w:rsidR="008452E8" w:rsidRPr="007B3BD0" w:rsidRDefault="008452E8" w:rsidP="005D5A08">
      <w:pPr>
        <w:pStyle w:val="AttendancePV"/>
      </w:pPr>
    </w:p>
    <w:p w:rsidR="00801684" w:rsidRPr="007B3BD0" w:rsidRDefault="00801684" w:rsidP="005D5A08">
      <w:pPr>
        <w:pStyle w:val="AttendancePV"/>
      </w:pPr>
    </w:p>
    <w:p w:rsidR="00801684" w:rsidRPr="007B3BD0" w:rsidRDefault="00801684" w:rsidP="005D5A08">
      <w:pPr>
        <w:pStyle w:val="AttendancePV"/>
      </w:pPr>
    </w:p>
    <w:p w:rsidR="00C634EF" w:rsidRPr="007B3BD0" w:rsidRDefault="00C634EF" w:rsidP="00AD4CEB">
      <w:pPr>
        <w:pStyle w:val="AttendancePVFootnote"/>
      </w:pPr>
      <w:r w:rsidRPr="007B3BD0">
        <w:t xml:space="preserve">* </w:t>
      </w:r>
      <w:r w:rsidRPr="007B3BD0">
        <w:tab/>
        <w:t>(P)</w:t>
      </w:r>
      <w:r w:rsidRPr="007B3BD0">
        <w:tab/>
        <w:t>=</w:t>
      </w:r>
      <w:r w:rsidRPr="007B3BD0">
        <w:tab/>
        <w:t>Председател/Presidente/Předseda/Formand/Vorsitzender/Esimees/Πρόεδρος/Chair/Président/Predsjednik/Priekšsēdētājs/ Pirmininkas/Elnök/'Chairman'/Voorzitter/Przewodniczący/Preşedinte/Predseda/Predsednik/Puheenjohtaja/Ordförande</w:t>
      </w:r>
    </w:p>
    <w:p w:rsidR="00C634EF" w:rsidRPr="007B3BD0" w:rsidRDefault="00C634EF" w:rsidP="00AD4CEB">
      <w:pPr>
        <w:pStyle w:val="AttendancePVFootnote"/>
      </w:pPr>
      <w:r w:rsidRPr="007B3BD0">
        <w:tab/>
        <w:t>(VP) =</w:t>
      </w:r>
      <w:r w:rsidRPr="007B3BD0">
        <w:tab/>
        <w:t>Заместник-председател/Vicepresidente/Místopředseda/Næstformand/Stellvertretender Vorsitzender/Aseesimees/Αντιπρόεδρος/ Vice</w:t>
      </w:r>
      <w:r w:rsidRPr="007B3BD0">
        <w:noBreakHyphen/>
        <w:t>Chair/Potpredsjednik/Vice</w:t>
      </w:r>
      <w:r w:rsidRPr="007B3BD0">
        <w:noBreakHyphen/>
        <w:t>Président/Potpredsjednik/Priekšsēdētāja vietnieks/Pirmininko pavaduotojas/Alelnök/ Viċi 'Chairman'/Ondervoorzitter/Wiceprzewodniczący/Vice-Presidente/Vicepreşedinte/Podpredseda/Podpredsednik/ Varapuheenjohtaja/Vice ordförande</w:t>
      </w:r>
    </w:p>
    <w:p w:rsidR="00C634EF" w:rsidRPr="007B3BD0" w:rsidRDefault="00C634EF" w:rsidP="00AD4CEB">
      <w:pPr>
        <w:pStyle w:val="AttendancePVFootnote"/>
      </w:pPr>
      <w:r w:rsidRPr="007B3BD0">
        <w:tab/>
        <w:t>(M)</w:t>
      </w:r>
      <w:r w:rsidRPr="007B3BD0">
        <w:tab/>
        <w:t>=</w:t>
      </w:r>
      <w:r w:rsidRPr="007B3BD0">
        <w:tab/>
        <w:t>Член/Miembro/Člen/Medlem./Mitglied/Parlamendiliige/Βουλευτής/Member/Membre/Član/Membro/Deputāts/Narys/Képviselő/ Membru/Lid/Członek/Membro/Membru/Člen/Poslanec/Jäsen/Ledamot</w:t>
      </w:r>
    </w:p>
    <w:p w:rsidR="006275CD" w:rsidRPr="007B3BD0" w:rsidRDefault="00C634EF" w:rsidP="00AD4CEB">
      <w:pPr>
        <w:pStyle w:val="AttendancePVFootnote"/>
      </w:pPr>
      <w:r w:rsidRPr="007B3BD0">
        <w:tab/>
        <w:t>(F)</w:t>
      </w:r>
      <w:r w:rsidRPr="007B3BD0">
        <w:tab/>
        <w:t>=</w:t>
      </w:r>
      <w:r w:rsidRPr="007B3BD0">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7B3BD0" w:rsidRDefault="0022027F" w:rsidP="0022027F">
      <w:pPr>
        <w:pStyle w:val="AttendancePV"/>
      </w:pPr>
    </w:p>
    <w:sectPr w:rsidR="0022027F" w:rsidRPr="007B3BD0"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46" w:rsidRPr="007B3BD0" w:rsidRDefault="00C01C46">
      <w:r w:rsidRPr="007B3BD0">
        <w:separator/>
      </w:r>
    </w:p>
    <w:p w:rsidR="00C01C46" w:rsidRPr="007B3BD0" w:rsidRDefault="00C01C46"/>
  </w:endnote>
  <w:endnote w:type="continuationSeparator" w:id="0">
    <w:p w:rsidR="00C01C46" w:rsidRPr="007B3BD0" w:rsidRDefault="00C01C46">
      <w:r w:rsidRPr="007B3BD0">
        <w:continuationSeparator/>
      </w:r>
    </w:p>
    <w:p w:rsidR="00C01C46" w:rsidRPr="007B3BD0" w:rsidRDefault="00C01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D0" w:rsidRPr="007B3BD0" w:rsidRDefault="007B3BD0" w:rsidP="007B3BD0">
    <w:pPr>
      <w:pStyle w:val="EPFooter"/>
    </w:pPr>
    <w:r w:rsidRPr="007B3BD0">
      <w:t>PE</w:t>
    </w:r>
    <w:r w:rsidRPr="007B3BD0">
      <w:rPr>
        <w:rStyle w:val="HideTWBExt"/>
        <w:noProof w:val="0"/>
      </w:rPr>
      <w:t>&lt;NoPE&gt;</w:t>
    </w:r>
    <w:r w:rsidRPr="007B3BD0">
      <w:t>643.081</w:t>
    </w:r>
    <w:r w:rsidRPr="007B3BD0">
      <w:rPr>
        <w:rStyle w:val="HideTWBExt"/>
        <w:noProof w:val="0"/>
      </w:rPr>
      <w:t>&lt;/NoPE&gt;&lt;Version&gt;</w:t>
    </w:r>
    <w:r w:rsidRPr="007B3BD0">
      <w:t>v01-00</w:t>
    </w:r>
    <w:r w:rsidRPr="007B3BD0">
      <w:rPr>
        <w:rStyle w:val="HideTWBExt"/>
        <w:noProof w:val="0"/>
      </w:rPr>
      <w:t>&lt;/Version&gt;</w:t>
    </w:r>
    <w:r w:rsidRPr="007B3BD0">
      <w:tab/>
    </w:r>
    <w:r w:rsidRPr="007B3BD0">
      <w:fldChar w:fldCharType="begin"/>
    </w:r>
    <w:r w:rsidRPr="007B3BD0">
      <w:instrText xml:space="preserve"> PAGE  \* MERGEFORMAT </w:instrText>
    </w:r>
    <w:r w:rsidRPr="007B3BD0">
      <w:fldChar w:fldCharType="separate"/>
    </w:r>
    <w:r w:rsidR="00561EBD">
      <w:rPr>
        <w:noProof/>
      </w:rPr>
      <w:t>8</w:t>
    </w:r>
    <w:r w:rsidRPr="007B3BD0">
      <w:fldChar w:fldCharType="end"/>
    </w:r>
    <w:r w:rsidRPr="007B3BD0">
      <w:t>/</w:t>
    </w:r>
    <w:fldSimple w:instr=" NUMPAGES  \* MERGEFORMAT ">
      <w:r w:rsidR="00561EBD">
        <w:rPr>
          <w:noProof/>
        </w:rPr>
        <w:t>8</w:t>
      </w:r>
    </w:fldSimple>
    <w:r w:rsidRPr="007B3BD0">
      <w:tab/>
    </w:r>
    <w:r w:rsidRPr="007B3BD0">
      <w:rPr>
        <w:rStyle w:val="HideTWBExt"/>
        <w:noProof w:val="0"/>
      </w:rPr>
      <w:t>&lt;PathFdR&gt;</w:t>
    </w:r>
    <w:r w:rsidRPr="007B3BD0">
      <w:t>PV\1192093DA.docx</w:t>
    </w:r>
    <w:r w:rsidRPr="007B3BD0">
      <w:rPr>
        <w:rStyle w:val="HideTWBExt"/>
        <w:noProof w:val="0"/>
      </w:rPr>
      <w:t>&lt;/PathFdR&gt;</w:t>
    </w:r>
  </w:p>
  <w:p w:rsidR="00A13D65" w:rsidRPr="007B3BD0" w:rsidRDefault="007B3BD0" w:rsidP="007B3BD0">
    <w:pPr>
      <w:pStyle w:val="EPFooter2"/>
    </w:pPr>
    <w:r w:rsidRPr="007B3BD0">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D0" w:rsidRPr="007B3BD0" w:rsidRDefault="007B3BD0" w:rsidP="007B3BD0">
    <w:pPr>
      <w:pStyle w:val="EPFooter"/>
    </w:pPr>
    <w:r w:rsidRPr="007B3BD0">
      <w:rPr>
        <w:rStyle w:val="HideTWBExt"/>
        <w:noProof w:val="0"/>
      </w:rPr>
      <w:t>&lt;PathFdR&gt;</w:t>
    </w:r>
    <w:r w:rsidRPr="007B3BD0">
      <w:t>PV\1192093DA.docx</w:t>
    </w:r>
    <w:r w:rsidRPr="007B3BD0">
      <w:rPr>
        <w:rStyle w:val="HideTWBExt"/>
        <w:noProof w:val="0"/>
      </w:rPr>
      <w:t>&lt;/PathFdR&gt;</w:t>
    </w:r>
    <w:r w:rsidRPr="007B3BD0">
      <w:tab/>
    </w:r>
    <w:r w:rsidRPr="007B3BD0">
      <w:fldChar w:fldCharType="begin"/>
    </w:r>
    <w:r w:rsidRPr="007B3BD0">
      <w:instrText xml:space="preserve"> PAGE  \* MERGEFORMAT </w:instrText>
    </w:r>
    <w:r w:rsidRPr="007B3BD0">
      <w:fldChar w:fldCharType="separate"/>
    </w:r>
    <w:r w:rsidR="00561EBD">
      <w:rPr>
        <w:noProof/>
      </w:rPr>
      <w:t>9</w:t>
    </w:r>
    <w:r w:rsidRPr="007B3BD0">
      <w:fldChar w:fldCharType="end"/>
    </w:r>
    <w:r w:rsidRPr="007B3BD0">
      <w:t>/</w:t>
    </w:r>
    <w:fldSimple w:instr=" NUMPAGES  \* MERGEFORMAT ">
      <w:r w:rsidR="00561EBD">
        <w:rPr>
          <w:noProof/>
        </w:rPr>
        <w:t>9</w:t>
      </w:r>
    </w:fldSimple>
    <w:r w:rsidRPr="007B3BD0">
      <w:tab/>
      <w:t>PE</w:t>
    </w:r>
    <w:r w:rsidRPr="007B3BD0">
      <w:rPr>
        <w:rStyle w:val="HideTWBExt"/>
        <w:noProof w:val="0"/>
      </w:rPr>
      <w:t>&lt;NoPE&gt;</w:t>
    </w:r>
    <w:r w:rsidRPr="007B3BD0">
      <w:t>643.081</w:t>
    </w:r>
    <w:r w:rsidRPr="007B3BD0">
      <w:rPr>
        <w:rStyle w:val="HideTWBExt"/>
        <w:noProof w:val="0"/>
      </w:rPr>
      <w:t>&lt;/NoPE&gt;&lt;Version&gt;</w:t>
    </w:r>
    <w:r w:rsidRPr="007B3BD0">
      <w:t>v01-00</w:t>
    </w:r>
    <w:r w:rsidRPr="007B3BD0">
      <w:rPr>
        <w:rStyle w:val="HideTWBExt"/>
        <w:noProof w:val="0"/>
      </w:rPr>
      <w:t>&lt;/Version&gt;</w:t>
    </w:r>
  </w:p>
  <w:p w:rsidR="00A13D65" w:rsidRPr="007B3BD0" w:rsidRDefault="007B3BD0" w:rsidP="007B3BD0">
    <w:pPr>
      <w:pStyle w:val="EPFooter2"/>
    </w:pPr>
    <w:r w:rsidRPr="007B3BD0">
      <w:tab/>
    </w:r>
    <w:r w:rsidRPr="007B3BD0">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D0" w:rsidRPr="007B3BD0" w:rsidRDefault="007B3BD0" w:rsidP="007B3BD0">
    <w:pPr>
      <w:pStyle w:val="EPFooter"/>
    </w:pPr>
    <w:r w:rsidRPr="007B3BD0">
      <w:rPr>
        <w:rStyle w:val="HideTWBExt"/>
        <w:noProof w:val="0"/>
      </w:rPr>
      <w:t>&lt;PathFdR&gt;</w:t>
    </w:r>
    <w:r w:rsidRPr="007B3BD0">
      <w:t>PV\1192093DA.docx</w:t>
    </w:r>
    <w:r w:rsidRPr="007B3BD0">
      <w:rPr>
        <w:rStyle w:val="HideTWBExt"/>
        <w:noProof w:val="0"/>
      </w:rPr>
      <w:t>&lt;/PathFdR&gt;</w:t>
    </w:r>
    <w:r w:rsidRPr="007B3BD0">
      <w:tab/>
    </w:r>
    <w:r w:rsidRPr="007B3BD0">
      <w:tab/>
      <w:t>PE</w:t>
    </w:r>
    <w:r w:rsidRPr="007B3BD0">
      <w:rPr>
        <w:rStyle w:val="HideTWBExt"/>
        <w:noProof w:val="0"/>
      </w:rPr>
      <w:t>&lt;NoPE&gt;</w:t>
    </w:r>
    <w:r w:rsidRPr="007B3BD0">
      <w:t>643.081</w:t>
    </w:r>
    <w:r w:rsidRPr="007B3BD0">
      <w:rPr>
        <w:rStyle w:val="HideTWBExt"/>
        <w:noProof w:val="0"/>
      </w:rPr>
      <w:t>&lt;/NoPE&gt;&lt;Version&gt;</w:t>
    </w:r>
    <w:r w:rsidRPr="007B3BD0">
      <w:t>v01-00</w:t>
    </w:r>
    <w:r w:rsidRPr="007B3BD0">
      <w:rPr>
        <w:rStyle w:val="HideTWBExt"/>
        <w:noProof w:val="0"/>
      </w:rPr>
      <w:t>&lt;/Version&gt;</w:t>
    </w:r>
  </w:p>
  <w:p w:rsidR="00A13D65" w:rsidRPr="007B3BD0" w:rsidRDefault="007B3BD0" w:rsidP="007B3BD0">
    <w:pPr>
      <w:pStyle w:val="EPFooter2"/>
    </w:pPr>
    <w:r w:rsidRPr="007B3BD0">
      <w:t>DA</w:t>
    </w:r>
    <w:r w:rsidRPr="007B3BD0">
      <w:tab/>
    </w:r>
    <w:r w:rsidRPr="007B3BD0">
      <w:rPr>
        <w:b w:val="0"/>
        <w:i/>
        <w:color w:val="C0C0C0"/>
        <w:sz w:val="22"/>
      </w:rPr>
      <w:t>Forenet i mangfoldighed</w:t>
    </w:r>
    <w:r w:rsidRPr="007B3BD0">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46" w:rsidRPr="007B3BD0" w:rsidRDefault="00C01C46">
      <w:r w:rsidRPr="007B3BD0">
        <w:separator/>
      </w:r>
    </w:p>
    <w:p w:rsidR="00C01C46" w:rsidRPr="007B3BD0" w:rsidRDefault="00C01C46"/>
  </w:footnote>
  <w:footnote w:type="continuationSeparator" w:id="0">
    <w:p w:rsidR="00C01C46" w:rsidRPr="007B3BD0" w:rsidRDefault="00C01C46">
      <w:r w:rsidRPr="007B3BD0">
        <w:continuationSeparator/>
      </w:r>
    </w:p>
    <w:p w:rsidR="00C01C46" w:rsidRPr="007B3BD0" w:rsidRDefault="00C01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BD" w:rsidRDefault="00561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BD" w:rsidRDefault="00561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BD" w:rsidRDefault="00561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5A20F1"/>
    <w:multiLevelType w:val="hybridMultilevel"/>
    <w:tmpl w:val="D9E6D762"/>
    <w:lvl w:ilvl="0" w:tplc="4FEEB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1C12883"/>
    <w:multiLevelType w:val="hybridMultilevel"/>
    <w:tmpl w:val="E20EB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EFE5EE7"/>
    <w:multiLevelType w:val="hybridMultilevel"/>
    <w:tmpl w:val="8CEA6FF2"/>
    <w:lvl w:ilvl="0" w:tplc="4FEEB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5"/>
  </w:num>
  <w:num w:numId="27">
    <w:abstractNumId w:val="3"/>
  </w:num>
  <w:num w:numId="28">
    <w:abstractNumId w:val="11"/>
  </w:num>
  <w:num w:numId="29">
    <w:abstractNumId w:val="0"/>
  </w:num>
  <w:num w:numId="30">
    <w:abstractNumId w:val="13"/>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REGI"/>
    <w:docVar w:name="LastEditedSection" w:val=" 1"/>
    <w:docVar w:name="MEETMNU" w:val=" 2"/>
    <w:docVar w:name="STOREDT1" w:val="04/11/2019"/>
    <w:docVar w:name="STOREDT2" w:val="05/11/2019"/>
    <w:docVar w:name="strDocTypeID" w:val="PVx"/>
    <w:docVar w:name="strSubDir" w:val="1192"/>
    <w:docVar w:name="TXTLANGUE" w:val="EN"/>
    <w:docVar w:name="TXTLANGUEMIN" w:val="en"/>
    <w:docVar w:name="TXTNRPE" w:val="643.081"/>
    <w:docVar w:name="TXTPEorAP" w:val="PE"/>
    <w:docVar w:name="TXTROUTE" w:val="PV\1192093EN.docx"/>
    <w:docVar w:name="TXTVERSION" w:val="01-00"/>
  </w:docVars>
  <w:rsids>
    <w:rsidRoot w:val="00C01C46"/>
    <w:rsid w:val="00007788"/>
    <w:rsid w:val="00021AD6"/>
    <w:rsid w:val="000265BD"/>
    <w:rsid w:val="00045779"/>
    <w:rsid w:val="000533F1"/>
    <w:rsid w:val="00055B69"/>
    <w:rsid w:val="000637F3"/>
    <w:rsid w:val="0006514D"/>
    <w:rsid w:val="00072B7F"/>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54868"/>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65D01"/>
    <w:rsid w:val="00273DB4"/>
    <w:rsid w:val="002753C7"/>
    <w:rsid w:val="002870DD"/>
    <w:rsid w:val="002A27BB"/>
    <w:rsid w:val="002D74B5"/>
    <w:rsid w:val="002D7816"/>
    <w:rsid w:val="002E083E"/>
    <w:rsid w:val="002E2B09"/>
    <w:rsid w:val="002E37A9"/>
    <w:rsid w:val="002F0CBD"/>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D3161"/>
    <w:rsid w:val="003D3ADA"/>
    <w:rsid w:val="003D5BE7"/>
    <w:rsid w:val="003E0A41"/>
    <w:rsid w:val="003E0BDE"/>
    <w:rsid w:val="003E0D2D"/>
    <w:rsid w:val="003E582C"/>
    <w:rsid w:val="003E5C5D"/>
    <w:rsid w:val="003F18DC"/>
    <w:rsid w:val="00405A95"/>
    <w:rsid w:val="004062E2"/>
    <w:rsid w:val="00415FB2"/>
    <w:rsid w:val="0045430B"/>
    <w:rsid w:val="00467244"/>
    <w:rsid w:val="00472CBA"/>
    <w:rsid w:val="00481465"/>
    <w:rsid w:val="00481807"/>
    <w:rsid w:val="0048229C"/>
    <w:rsid w:val="00495C97"/>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2681C"/>
    <w:rsid w:val="00543EF6"/>
    <w:rsid w:val="00553CD4"/>
    <w:rsid w:val="00561EBD"/>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34C09"/>
    <w:rsid w:val="00640211"/>
    <w:rsid w:val="006418F2"/>
    <w:rsid w:val="0064227F"/>
    <w:rsid w:val="00643758"/>
    <w:rsid w:val="00650AF2"/>
    <w:rsid w:val="00654687"/>
    <w:rsid w:val="00672690"/>
    <w:rsid w:val="00675887"/>
    <w:rsid w:val="0067649D"/>
    <w:rsid w:val="0069389A"/>
    <w:rsid w:val="006B2516"/>
    <w:rsid w:val="006B2AF7"/>
    <w:rsid w:val="006C0C67"/>
    <w:rsid w:val="006C1AC2"/>
    <w:rsid w:val="006C52AC"/>
    <w:rsid w:val="006C6F0A"/>
    <w:rsid w:val="006D0C4F"/>
    <w:rsid w:val="006D2283"/>
    <w:rsid w:val="006D3CC8"/>
    <w:rsid w:val="006E2C80"/>
    <w:rsid w:val="00704D52"/>
    <w:rsid w:val="0070508E"/>
    <w:rsid w:val="00713B78"/>
    <w:rsid w:val="00714F25"/>
    <w:rsid w:val="007153A2"/>
    <w:rsid w:val="00725CB4"/>
    <w:rsid w:val="00754C89"/>
    <w:rsid w:val="00755125"/>
    <w:rsid w:val="00765523"/>
    <w:rsid w:val="00765E1E"/>
    <w:rsid w:val="0076749D"/>
    <w:rsid w:val="00771979"/>
    <w:rsid w:val="00785E9B"/>
    <w:rsid w:val="00792939"/>
    <w:rsid w:val="00793FC2"/>
    <w:rsid w:val="007A3289"/>
    <w:rsid w:val="007B0C9D"/>
    <w:rsid w:val="007B3BD0"/>
    <w:rsid w:val="007C02AE"/>
    <w:rsid w:val="007C674A"/>
    <w:rsid w:val="007D1D46"/>
    <w:rsid w:val="007D2E58"/>
    <w:rsid w:val="007D6B19"/>
    <w:rsid w:val="007E0B3D"/>
    <w:rsid w:val="007E5C31"/>
    <w:rsid w:val="007F01C7"/>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2F84"/>
    <w:rsid w:val="008E4DD5"/>
    <w:rsid w:val="008E6B98"/>
    <w:rsid w:val="008F6F69"/>
    <w:rsid w:val="008F7A17"/>
    <w:rsid w:val="00905F32"/>
    <w:rsid w:val="00905F78"/>
    <w:rsid w:val="009119A3"/>
    <w:rsid w:val="00926DB0"/>
    <w:rsid w:val="009408CB"/>
    <w:rsid w:val="009515D1"/>
    <w:rsid w:val="00956466"/>
    <w:rsid w:val="00960270"/>
    <w:rsid w:val="009671C2"/>
    <w:rsid w:val="0097066F"/>
    <w:rsid w:val="00972263"/>
    <w:rsid w:val="0099346B"/>
    <w:rsid w:val="00994629"/>
    <w:rsid w:val="009961E9"/>
    <w:rsid w:val="00997B12"/>
    <w:rsid w:val="009D17C3"/>
    <w:rsid w:val="009D762D"/>
    <w:rsid w:val="009E0A5B"/>
    <w:rsid w:val="009E0B27"/>
    <w:rsid w:val="009E24B6"/>
    <w:rsid w:val="009E7A82"/>
    <w:rsid w:val="00A00F95"/>
    <w:rsid w:val="00A13D65"/>
    <w:rsid w:val="00A13DDE"/>
    <w:rsid w:val="00A16FC5"/>
    <w:rsid w:val="00A36A4E"/>
    <w:rsid w:val="00A427A6"/>
    <w:rsid w:val="00A44C95"/>
    <w:rsid w:val="00A5325A"/>
    <w:rsid w:val="00A6035E"/>
    <w:rsid w:val="00A60939"/>
    <w:rsid w:val="00A65248"/>
    <w:rsid w:val="00A66B35"/>
    <w:rsid w:val="00A74BB5"/>
    <w:rsid w:val="00A8070F"/>
    <w:rsid w:val="00A81EEA"/>
    <w:rsid w:val="00A87091"/>
    <w:rsid w:val="00A91422"/>
    <w:rsid w:val="00A92F32"/>
    <w:rsid w:val="00AB038C"/>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61EBD"/>
    <w:rsid w:val="00B84C6A"/>
    <w:rsid w:val="00BA4044"/>
    <w:rsid w:val="00BA464F"/>
    <w:rsid w:val="00BB0B38"/>
    <w:rsid w:val="00BC1C34"/>
    <w:rsid w:val="00BC7215"/>
    <w:rsid w:val="00BD2FBF"/>
    <w:rsid w:val="00BD3F38"/>
    <w:rsid w:val="00BF102E"/>
    <w:rsid w:val="00BF288C"/>
    <w:rsid w:val="00BF54D6"/>
    <w:rsid w:val="00C01C42"/>
    <w:rsid w:val="00C01C46"/>
    <w:rsid w:val="00C13E92"/>
    <w:rsid w:val="00C346F1"/>
    <w:rsid w:val="00C35FAB"/>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E7077"/>
    <w:rsid w:val="00CF2D24"/>
    <w:rsid w:val="00CF45C4"/>
    <w:rsid w:val="00CF78F5"/>
    <w:rsid w:val="00D11A34"/>
    <w:rsid w:val="00D329C8"/>
    <w:rsid w:val="00D342CE"/>
    <w:rsid w:val="00D374CC"/>
    <w:rsid w:val="00D45997"/>
    <w:rsid w:val="00D50562"/>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29A6"/>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2068"/>
    <w:rsid w:val="00FA6AF5"/>
    <w:rsid w:val="00FB09D1"/>
    <w:rsid w:val="00FB3DF0"/>
    <w:rsid w:val="00FC1B11"/>
    <w:rsid w:val="00FC68F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4C0EFA-1DD9-4033-95E7-1211E472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77"/>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7D2E58"/>
    <w:pPr>
      <w:ind w:left="720"/>
      <w:contextualSpacing/>
    </w:pPr>
  </w:style>
  <w:style w:type="paragraph" w:styleId="Footer">
    <w:name w:val="footer"/>
    <w:basedOn w:val="Normal"/>
    <w:link w:val="FooterChar"/>
    <w:rsid w:val="00CE7077"/>
    <w:pPr>
      <w:tabs>
        <w:tab w:val="center" w:pos="4513"/>
        <w:tab w:val="right" w:pos="9026"/>
      </w:tabs>
    </w:pPr>
  </w:style>
  <w:style w:type="character" w:customStyle="1" w:styleId="FooterChar">
    <w:name w:val="Footer Char"/>
    <w:basedOn w:val="DefaultParagraphFont"/>
    <w:link w:val="Footer"/>
    <w:rsid w:val="00CE7077"/>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7539">
      <w:bodyDiv w:val="1"/>
      <w:marLeft w:val="0"/>
      <w:marRight w:val="0"/>
      <w:marTop w:val="0"/>
      <w:marBottom w:val="0"/>
      <w:divBdr>
        <w:top w:val="none" w:sz="0" w:space="0" w:color="auto"/>
        <w:left w:val="none" w:sz="0" w:space="0" w:color="auto"/>
        <w:bottom w:val="none" w:sz="0" w:space="0" w:color="auto"/>
        <w:right w:val="none" w:sz="0" w:space="0" w:color="auto"/>
      </w:divBdr>
    </w:div>
    <w:div w:id="584648299">
      <w:bodyDiv w:val="1"/>
      <w:marLeft w:val="0"/>
      <w:marRight w:val="0"/>
      <w:marTop w:val="0"/>
      <w:marBottom w:val="0"/>
      <w:divBdr>
        <w:top w:val="none" w:sz="0" w:space="0" w:color="auto"/>
        <w:left w:val="none" w:sz="0" w:space="0" w:color="auto"/>
        <w:bottom w:val="none" w:sz="0" w:space="0" w:color="auto"/>
        <w:right w:val="none" w:sz="0" w:space="0" w:color="auto"/>
      </w:divBdr>
    </w:div>
    <w:div w:id="614561855">
      <w:bodyDiv w:val="1"/>
      <w:marLeft w:val="0"/>
      <w:marRight w:val="0"/>
      <w:marTop w:val="0"/>
      <w:marBottom w:val="0"/>
      <w:divBdr>
        <w:top w:val="none" w:sz="0" w:space="0" w:color="auto"/>
        <w:left w:val="none" w:sz="0" w:space="0" w:color="auto"/>
        <w:bottom w:val="none" w:sz="0" w:space="0" w:color="auto"/>
        <w:right w:val="none" w:sz="0" w:space="0" w:color="auto"/>
      </w:divBdr>
    </w:div>
    <w:div w:id="729616561">
      <w:bodyDiv w:val="1"/>
      <w:marLeft w:val="0"/>
      <w:marRight w:val="0"/>
      <w:marTop w:val="0"/>
      <w:marBottom w:val="0"/>
      <w:divBdr>
        <w:top w:val="none" w:sz="0" w:space="0" w:color="auto"/>
        <w:left w:val="none" w:sz="0" w:space="0" w:color="auto"/>
        <w:bottom w:val="none" w:sz="0" w:space="0" w:color="auto"/>
        <w:right w:val="none" w:sz="0" w:space="0" w:color="auto"/>
      </w:divBdr>
    </w:div>
    <w:div w:id="800995794">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10476960">
      <w:bodyDiv w:val="1"/>
      <w:marLeft w:val="0"/>
      <w:marRight w:val="0"/>
      <w:marTop w:val="0"/>
      <w:marBottom w:val="0"/>
      <w:divBdr>
        <w:top w:val="none" w:sz="0" w:space="0" w:color="auto"/>
        <w:left w:val="none" w:sz="0" w:space="0" w:color="auto"/>
        <w:bottom w:val="none" w:sz="0" w:space="0" w:color="auto"/>
        <w:right w:val="none" w:sz="0" w:space="0" w:color="auto"/>
      </w:divBdr>
    </w:div>
    <w:div w:id="1318417145">
      <w:bodyDiv w:val="1"/>
      <w:marLeft w:val="0"/>
      <w:marRight w:val="0"/>
      <w:marTop w:val="0"/>
      <w:marBottom w:val="0"/>
      <w:divBdr>
        <w:top w:val="none" w:sz="0" w:space="0" w:color="auto"/>
        <w:left w:val="none" w:sz="0" w:space="0" w:color="auto"/>
        <w:bottom w:val="none" w:sz="0" w:space="0" w:color="auto"/>
        <w:right w:val="none" w:sz="0" w:space="0" w:color="auto"/>
      </w:divBdr>
    </w:div>
    <w:div w:id="1552615882">
      <w:bodyDiv w:val="1"/>
      <w:marLeft w:val="0"/>
      <w:marRight w:val="0"/>
      <w:marTop w:val="0"/>
      <w:marBottom w:val="0"/>
      <w:divBdr>
        <w:top w:val="none" w:sz="0" w:space="0" w:color="auto"/>
        <w:left w:val="none" w:sz="0" w:space="0" w:color="auto"/>
        <w:bottom w:val="none" w:sz="0" w:space="0" w:color="auto"/>
        <w:right w:val="none" w:sz="0" w:space="0" w:color="auto"/>
      </w:divBdr>
    </w:div>
    <w:div w:id="1799108658">
      <w:bodyDiv w:val="1"/>
      <w:marLeft w:val="0"/>
      <w:marRight w:val="0"/>
      <w:marTop w:val="0"/>
      <w:marBottom w:val="0"/>
      <w:divBdr>
        <w:top w:val="none" w:sz="0" w:space="0" w:color="auto"/>
        <w:left w:val="none" w:sz="0" w:space="0" w:color="auto"/>
        <w:bottom w:val="none" w:sz="0" w:space="0" w:color="auto"/>
        <w:right w:val="none" w:sz="0" w:space="0" w:color="auto"/>
      </w:divBdr>
    </w:div>
    <w:div w:id="19453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STE~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7AEB-FFF3-4F28-8A10-6F7F15BD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9</Pages>
  <Words>1612</Words>
  <Characters>15485</Characters>
  <Application>Microsoft Office Word</Application>
  <DocSecurity>0</DocSecurity>
  <Lines>336</Lines>
  <Paragraphs>178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16919</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CASTELLANI Simona</dc:creator>
  <cp:keywords/>
  <cp:lastModifiedBy>ZINOCKER Marianne</cp:lastModifiedBy>
  <cp:revision>2</cp:revision>
  <cp:lastPrinted>2009-06-18T13:43:00Z</cp:lastPrinted>
  <dcterms:created xsi:type="dcterms:W3CDTF">2019-11-13T16:40:00Z</dcterms:created>
  <dcterms:modified xsi:type="dcterms:W3CDTF">2019-11-13T16:40:00Z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1192093</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PV\1192093DA.docx</vt:lpwstr>
  </property>
  <property fmtid="{D5CDD505-2E9C-101B-9397-08002B2CF9AE}" pid="10" name="PE number">
    <vt:lpwstr>643.081</vt:lpwstr>
  </property>
  <property fmtid="{D5CDD505-2E9C-101B-9397-08002B2CF9AE}" pid="11" name="SubscribeElise">
    <vt:lpwstr/>
  </property>
  <property fmtid="{D5CDD505-2E9C-101B-9397-08002B2CF9AE}" pid="12" name="SendToEpades">
    <vt:lpwstr>OK - 2019/11/11 16:05</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- 2019/11/13 17:40</vt:lpwstr>
  </property>
</Properties>
</file>