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91" w:rsidRPr="00A2012C" w:rsidRDefault="00850491" w:rsidP="00850491">
      <w:pPr>
        <w:pStyle w:val="ATHeading1"/>
      </w:pPr>
      <w:bookmarkStart w:id="0" w:name="TANumber"/>
      <w:bookmarkStart w:id="1" w:name="_GoBack"/>
      <w:bookmarkEnd w:id="1"/>
      <w:r w:rsidRPr="00A2012C">
        <w:t>P7_TA(2012)0466</w:t>
      </w:r>
    </w:p>
    <w:p w:rsidR="00850491" w:rsidRPr="00A2012C" w:rsidRDefault="00850491" w:rsidP="00850491">
      <w:pPr>
        <w:pStyle w:val="ATHeading2"/>
      </w:pPr>
      <w:bookmarkStart w:id="2" w:name="title"/>
      <w:r w:rsidRPr="00A2012C">
        <w:t>Għajnuna makrofinanzjarja lir-Repubblika Kirgiża</w:t>
      </w:r>
      <w:bookmarkEnd w:id="2"/>
      <w:r w:rsidRPr="00A2012C">
        <w:t xml:space="preserve"> </w:t>
      </w:r>
      <w:bookmarkStart w:id="3" w:name="Etoiles"/>
      <w:r w:rsidRPr="00A2012C">
        <w:t>***I</w:t>
      </w:r>
      <w:bookmarkEnd w:id="3"/>
    </w:p>
    <w:p w:rsidR="00850491" w:rsidRPr="00A2012C" w:rsidRDefault="008E72CA" w:rsidP="00850491">
      <w:pPr>
        <w:rPr>
          <w:i/>
          <w:vanish/>
        </w:rPr>
      </w:pPr>
      <w:r>
        <w:rPr>
          <w:i/>
        </w:rPr>
        <w:fldChar w:fldCharType="begin"/>
      </w:r>
      <w:r w:rsidR="00850491" w:rsidRPr="00A2012C">
        <w:rPr>
          <w:i/>
        </w:rPr>
        <w:instrText>tc "(</w:instrText>
      </w:r>
      <w:bookmarkStart w:id="4" w:name="DocNumber"/>
      <w:r w:rsidR="00850491" w:rsidRPr="00A2012C">
        <w:rPr>
          <w:i/>
        </w:rPr>
        <w:instrText>A7-0</w:instrText>
      </w:r>
      <w:r w:rsidR="00850491" w:rsidRPr="00A2012C">
        <w:rPr>
          <w:i/>
          <w:lang w:val="mt-MT"/>
        </w:rPr>
        <w:instrText>208</w:instrText>
      </w:r>
      <w:r w:rsidR="00850491" w:rsidRPr="00A2012C">
        <w:rPr>
          <w:i/>
        </w:rPr>
        <w:instrText>/2012</w:instrText>
      </w:r>
      <w:bookmarkEnd w:id="4"/>
      <w:r w:rsidR="00850491" w:rsidRPr="00A2012C">
        <w:rPr>
          <w:i/>
        </w:rPr>
        <w:instrText xml:space="preserve"> - Rapporteur: Vital Moreira)" \l 3 \n&gt;MERGEFORMAT</w:instrText>
      </w:r>
      <w:r>
        <w:rPr>
          <w:i/>
        </w:rPr>
        <w:fldChar w:fldCharType="end"/>
      </w:r>
    </w:p>
    <w:p w:rsidR="00850491" w:rsidRPr="00A2012C" w:rsidRDefault="00850491" w:rsidP="00850491">
      <w:pPr>
        <w:rPr>
          <w:vanish/>
        </w:rPr>
      </w:pPr>
      <w:bookmarkStart w:id="5" w:name="Commission"/>
      <w:r w:rsidRPr="00A2012C">
        <w:rPr>
          <w:vanish/>
        </w:rPr>
        <w:t>Kumitat għall-Kummerċ Internazzjonali</w:t>
      </w:r>
      <w:bookmarkEnd w:id="5"/>
    </w:p>
    <w:p w:rsidR="00850491" w:rsidRPr="00A2012C" w:rsidRDefault="00850491" w:rsidP="00850491">
      <w:pPr>
        <w:rPr>
          <w:vanish/>
        </w:rPr>
      </w:pPr>
      <w:bookmarkStart w:id="6" w:name="PE"/>
      <w:r w:rsidRPr="00A2012C">
        <w:rPr>
          <w:vanish/>
        </w:rPr>
        <w:t>PE488.020</w:t>
      </w:r>
      <w:bookmarkEnd w:id="6"/>
    </w:p>
    <w:p w:rsidR="00850491" w:rsidRPr="00A2012C" w:rsidRDefault="00850491" w:rsidP="00850491">
      <w:pPr>
        <w:pStyle w:val="ATHeading3"/>
      </w:pPr>
      <w:bookmarkStart w:id="7" w:name="Sujet"/>
      <w:r w:rsidRPr="00A2012C">
        <w:t>Riżoluzzjoni leġislattiva tal-Parlament Ewropew tal-</w:t>
      </w:r>
      <w:r w:rsidRPr="00A2012C">
        <w:rPr>
          <w:lang w:val="mt-MT"/>
        </w:rPr>
        <w:t>11</w:t>
      </w:r>
      <w:r w:rsidRPr="00A2012C">
        <w:t xml:space="preserve"> ta' Diċembru 2012 dwar il-proposta għal deciżjoni tal-Parlament Ewropew u tal-Kunsill li tipprovdi għajnuna makrofinanzjarja lir-Repubblika Kirgiża</w:t>
      </w:r>
      <w:bookmarkEnd w:id="7"/>
      <w:r w:rsidRPr="00A2012C">
        <w:t xml:space="preserve"> </w:t>
      </w:r>
      <w:bookmarkStart w:id="8" w:name="References"/>
      <w:r w:rsidRPr="00A2012C">
        <w:t>(COM(2011)0925 – C7-0521/2011 – 2011/0458(COD))</w:t>
      </w:r>
      <w:bookmarkEnd w:id="8"/>
    </w:p>
    <w:p w:rsidR="00850491" w:rsidRPr="00A2012C" w:rsidRDefault="00850491" w:rsidP="00850491"/>
    <w:p w:rsidR="00850491" w:rsidRPr="00A2012C" w:rsidRDefault="00850491" w:rsidP="00850491">
      <w:pPr>
        <w:pStyle w:val="Normal12Bold"/>
        <w:rPr>
          <w:szCs w:val="24"/>
        </w:rPr>
      </w:pPr>
      <w:bookmarkStart w:id="9" w:name="TextBodyBegin"/>
      <w:bookmarkEnd w:id="9"/>
      <w:r w:rsidRPr="00A2012C">
        <w:rPr>
          <w:szCs w:val="24"/>
        </w:rPr>
        <w:t>(Proċedura leġislattiva ordinarja: l-ewwel qari)</w:t>
      </w:r>
    </w:p>
    <w:p w:rsidR="00850491" w:rsidRPr="00A2012C" w:rsidRDefault="00850491" w:rsidP="00850491">
      <w:pPr>
        <w:pStyle w:val="Normal12"/>
        <w:rPr>
          <w:szCs w:val="24"/>
        </w:rPr>
      </w:pPr>
      <w:r w:rsidRPr="00A2012C">
        <w:rPr>
          <w:i/>
          <w:szCs w:val="24"/>
        </w:rPr>
        <w:t>Il-Parlament Ewropew</w:t>
      </w:r>
      <w:r w:rsidRPr="00A2012C">
        <w:rPr>
          <w:szCs w:val="24"/>
        </w:rPr>
        <w:t>,</w:t>
      </w:r>
    </w:p>
    <w:p w:rsidR="00850491" w:rsidRPr="00A2012C" w:rsidRDefault="00850491" w:rsidP="00850491">
      <w:pPr>
        <w:pStyle w:val="Normal12Hanging"/>
        <w:ind w:left="567" w:hanging="567"/>
        <w:rPr>
          <w:szCs w:val="24"/>
        </w:rPr>
      </w:pPr>
      <w:r w:rsidRPr="00A2012C">
        <w:rPr>
          <w:szCs w:val="24"/>
        </w:rPr>
        <w:t>–</w:t>
      </w:r>
      <w:r w:rsidRPr="00A2012C">
        <w:rPr>
          <w:szCs w:val="24"/>
        </w:rPr>
        <w:tab/>
        <w:t>wara li kkunsidra l-proposta tal-Kummissjoni lill-Parlament Ewropew u lill-Kunsill (COM(2011)0925),</w:t>
      </w:r>
    </w:p>
    <w:p w:rsidR="00850491" w:rsidRPr="00A2012C" w:rsidRDefault="00850491" w:rsidP="00850491">
      <w:pPr>
        <w:pStyle w:val="Normal12Hanging"/>
        <w:ind w:left="567" w:hanging="567"/>
        <w:rPr>
          <w:szCs w:val="24"/>
        </w:rPr>
      </w:pPr>
      <w:r w:rsidRPr="00A2012C">
        <w:rPr>
          <w:szCs w:val="24"/>
        </w:rPr>
        <w:t>–</w:t>
      </w:r>
      <w:r w:rsidRPr="00A2012C">
        <w:rPr>
          <w:szCs w:val="24"/>
        </w:rPr>
        <w:tab/>
        <w:t>wara li kkunsidra l-Artikolu 294(2) u l-Artikolu 209 tat-Trattat dwar il-Funzjonament tal-Unjoni Ewropea, li skonthom il-Kummissjoni ppreżentat il-proposta lill-Parlament (C7–0521/2011),</w:t>
      </w:r>
    </w:p>
    <w:p w:rsidR="00850491" w:rsidRPr="00A2012C" w:rsidRDefault="00850491" w:rsidP="00850491">
      <w:pPr>
        <w:pStyle w:val="Normal12Hanging"/>
        <w:ind w:left="567" w:hanging="567"/>
        <w:rPr>
          <w:szCs w:val="24"/>
        </w:rPr>
      </w:pPr>
      <w:r w:rsidRPr="00A2012C">
        <w:rPr>
          <w:szCs w:val="24"/>
        </w:rPr>
        <w:t>–</w:t>
      </w:r>
      <w:r w:rsidRPr="00A2012C">
        <w:rPr>
          <w:szCs w:val="24"/>
        </w:rPr>
        <w:tab/>
        <w:t>wara li kkunsidra l-Artikolu 294(3) tat-Trattat dwar il-Funzjonament tal-Unjoni Ewropea,</w:t>
      </w:r>
    </w:p>
    <w:p w:rsidR="00850491" w:rsidRPr="00A2012C" w:rsidRDefault="00850491" w:rsidP="00850491">
      <w:pPr>
        <w:pStyle w:val="Normal12Hanging"/>
        <w:ind w:left="567" w:hanging="567"/>
        <w:rPr>
          <w:szCs w:val="24"/>
        </w:rPr>
      </w:pPr>
      <w:r w:rsidRPr="00A2012C">
        <w:rPr>
          <w:szCs w:val="24"/>
        </w:rPr>
        <w:t>–</w:t>
      </w:r>
      <w:r w:rsidRPr="00A2012C">
        <w:rPr>
          <w:szCs w:val="24"/>
        </w:rPr>
        <w:tab/>
        <w:t>wara li kkunsidra l-Artikolu 55 tar-Regoli ta’ Proċedura tiegħu,</w:t>
      </w:r>
    </w:p>
    <w:p w:rsidR="00850491" w:rsidRPr="00A2012C" w:rsidRDefault="00850491" w:rsidP="00850491">
      <w:pPr>
        <w:pStyle w:val="Normal12Hanging"/>
        <w:ind w:left="567" w:hanging="567"/>
        <w:rPr>
          <w:szCs w:val="24"/>
        </w:rPr>
      </w:pPr>
      <w:r w:rsidRPr="00A2012C">
        <w:rPr>
          <w:szCs w:val="24"/>
        </w:rPr>
        <w:t>–</w:t>
      </w:r>
      <w:r w:rsidRPr="00A2012C">
        <w:rPr>
          <w:szCs w:val="24"/>
        </w:rPr>
        <w:tab/>
        <w:t>wara li kkunsidra r-rapport tal-Kumitat għall-Kummerċ Internazzjonali (A7-0208/2012),</w:t>
      </w:r>
    </w:p>
    <w:p w:rsidR="00850491" w:rsidRPr="00A2012C" w:rsidRDefault="00850491" w:rsidP="00850491">
      <w:pPr>
        <w:pStyle w:val="Normal12Hanging"/>
        <w:ind w:left="567" w:hanging="567"/>
        <w:rPr>
          <w:szCs w:val="24"/>
        </w:rPr>
      </w:pPr>
      <w:r w:rsidRPr="00A2012C">
        <w:rPr>
          <w:szCs w:val="24"/>
        </w:rPr>
        <w:t>1.</w:t>
      </w:r>
      <w:r w:rsidRPr="00A2012C">
        <w:rPr>
          <w:szCs w:val="24"/>
        </w:rPr>
        <w:tab/>
        <w:t>Jadotta l-pożizzjoni fl-ewwel qari li tidher hawn taħt;</w:t>
      </w:r>
    </w:p>
    <w:p w:rsidR="00850491" w:rsidRPr="00A2012C" w:rsidRDefault="00850491" w:rsidP="00850491">
      <w:pPr>
        <w:pStyle w:val="Normal12Hanging"/>
        <w:ind w:left="567" w:hanging="567"/>
        <w:rPr>
          <w:szCs w:val="24"/>
        </w:rPr>
      </w:pPr>
      <w:r w:rsidRPr="00A2012C">
        <w:rPr>
          <w:szCs w:val="24"/>
        </w:rPr>
        <w:t>2.</w:t>
      </w:r>
      <w:r w:rsidRPr="00A2012C">
        <w:rPr>
          <w:szCs w:val="24"/>
        </w:rPr>
        <w:tab/>
        <w:t>Jitlob lill-Kummissjoni biex terġa' tirreferi l-kwistjoni lill-Parlament jekk ikollha l-ħsieb li temenda l-proposta b'mod sostanzjali jew li tibdilha b'test ġdid;</w:t>
      </w:r>
    </w:p>
    <w:p w:rsidR="00850491" w:rsidRPr="00A2012C" w:rsidRDefault="00850491" w:rsidP="00850491">
      <w:pPr>
        <w:pStyle w:val="Normal12Hanging"/>
        <w:ind w:left="567" w:hanging="567"/>
        <w:rPr>
          <w:szCs w:val="24"/>
        </w:rPr>
      </w:pPr>
      <w:r w:rsidRPr="00A2012C">
        <w:rPr>
          <w:szCs w:val="24"/>
        </w:rPr>
        <w:t>3.</w:t>
      </w:r>
      <w:r w:rsidRPr="00A2012C">
        <w:rPr>
          <w:szCs w:val="24"/>
        </w:rPr>
        <w:tab/>
        <w:t>Jagħti istruzzjonijiet lill-President tiegħu biex jgħaddi l-pożizzjoni tal-Parlament lill-Kunsill u lill-Kummissjoni kif ukoll lill-parlamenti nazzjonali.</w:t>
      </w:r>
    </w:p>
    <w:p w:rsidR="00850491" w:rsidRPr="00A2012C" w:rsidRDefault="00850491" w:rsidP="00850491">
      <w:pPr>
        <w:pStyle w:val="Rfrenceinterinstitutionnelle"/>
        <w:spacing w:before="120" w:after="120"/>
        <w:ind w:left="567" w:hanging="567"/>
        <w:rPr>
          <w:b/>
          <w:noProof/>
        </w:rPr>
      </w:pPr>
      <w:r w:rsidRPr="00A2012C">
        <w:rPr>
          <w:noProof/>
        </w:rPr>
        <w:br w:type="page"/>
      </w:r>
      <w:r w:rsidRPr="00A2012C">
        <w:rPr>
          <w:b/>
          <w:noProof/>
          <w:snapToGrid w:val="0"/>
        </w:rPr>
        <w:lastRenderedPageBreak/>
        <w:t>P7_TC1-COD(</w:t>
      </w:r>
      <w:r w:rsidR="00A37D34" w:rsidRPr="00A2012C">
        <w:rPr>
          <w:b/>
          <w:noProof/>
        </w:rPr>
        <w:t>2011)</w:t>
      </w:r>
      <w:r w:rsidRPr="00A2012C">
        <w:rPr>
          <w:b/>
          <w:noProof/>
        </w:rPr>
        <w:t>0458</w:t>
      </w:r>
    </w:p>
    <w:p w:rsidR="00850491" w:rsidRPr="00A2012C" w:rsidRDefault="00850491" w:rsidP="00850491">
      <w:pPr>
        <w:pStyle w:val="Statut"/>
        <w:jc w:val="left"/>
        <w:rPr>
          <w:b/>
          <w:noProof/>
        </w:rPr>
      </w:pPr>
      <w:r w:rsidRPr="00A2012C">
        <w:rPr>
          <w:b/>
          <w:noProof/>
        </w:rPr>
        <w:t xml:space="preserve">Pożizzjoni tal-Parlament Ewropew adottata fl-ewwel qari fil-11 ta' Diċembru 2012 bil-ħsieb li </w:t>
      </w:r>
      <w:r w:rsidR="00C854AB" w:rsidRPr="00A2012C">
        <w:rPr>
          <w:b/>
          <w:noProof/>
        </w:rPr>
        <w:t>t</w:t>
      </w:r>
      <w:r w:rsidRPr="00A2012C">
        <w:rPr>
          <w:b/>
          <w:noProof/>
        </w:rPr>
        <w:t>iġi adottat</w:t>
      </w:r>
      <w:r w:rsidR="00C854AB" w:rsidRPr="00A2012C">
        <w:rPr>
          <w:b/>
          <w:noProof/>
        </w:rPr>
        <w:t>a</w:t>
      </w:r>
      <w:r w:rsidRPr="00A2012C">
        <w:rPr>
          <w:b/>
          <w:noProof/>
        </w:rPr>
        <w:t xml:space="preserve"> </w:t>
      </w:r>
      <w:r w:rsidR="00C854AB" w:rsidRPr="00A2012C">
        <w:rPr>
          <w:b/>
          <w:noProof/>
        </w:rPr>
        <w:t>d</w:t>
      </w:r>
      <w:r w:rsidRPr="00A2012C">
        <w:rPr>
          <w:b/>
          <w:noProof/>
        </w:rPr>
        <w:t>-</w:t>
      </w:r>
      <w:r w:rsidR="00C854AB" w:rsidRPr="00A2012C">
        <w:rPr>
          <w:b/>
        </w:rPr>
        <w:t>Deċiżjoni No .../201</w:t>
      </w:r>
      <w:r w:rsidR="00675394" w:rsidRPr="00A2012C">
        <w:rPr>
          <w:b/>
        </w:rPr>
        <w:t>3</w:t>
      </w:r>
      <w:r w:rsidR="00C854AB" w:rsidRPr="00A2012C">
        <w:rPr>
          <w:b/>
        </w:rPr>
        <w:t xml:space="preserve">/UE </w:t>
      </w:r>
      <w:r w:rsidRPr="00A2012C">
        <w:rPr>
          <w:b/>
          <w:noProof/>
        </w:rPr>
        <w:t>tal-Parlament Ewropew u tal-Kunsill li tipprovdi għajnuna makrofinanzjarja lir-Repubblika Kirgiża</w:t>
      </w:r>
    </w:p>
    <w:p w:rsidR="00850491" w:rsidRPr="00A2012C" w:rsidRDefault="00850491" w:rsidP="00850491">
      <w:pPr>
        <w:pStyle w:val="Institutionquiagit"/>
        <w:rPr>
          <w:noProof/>
          <w:lang w:val="es-ES_tradnl"/>
        </w:rPr>
      </w:pPr>
      <w:r w:rsidRPr="00A2012C">
        <w:rPr>
          <w:noProof/>
        </w:rPr>
        <w:t>IL-PARLAMENT EWROPEW U L-KUNSILL TAL-UNJONI EWROPEA,</w:t>
      </w:r>
    </w:p>
    <w:p w:rsidR="00850491" w:rsidRPr="00A2012C" w:rsidRDefault="00850491" w:rsidP="008D0961">
      <w:pPr>
        <w:spacing w:before="120" w:after="120"/>
        <w:rPr>
          <w:noProof/>
          <w:lang w:val="es-ES_tradnl"/>
        </w:rPr>
      </w:pPr>
      <w:r w:rsidRPr="00A2012C">
        <w:rPr>
          <w:noProof/>
          <w:lang w:val="es-ES_tradnl"/>
        </w:rPr>
        <w:t>Wara li kkunsidraw it-Trattat dwar il-Funzjonament tal-Unjoni Ewropea, u b’mod partikulari l-Artikolu 209 tiegħu,</w:t>
      </w:r>
    </w:p>
    <w:p w:rsidR="00850491" w:rsidRPr="00A2012C" w:rsidRDefault="00850491" w:rsidP="008D0961">
      <w:pPr>
        <w:spacing w:before="120" w:after="120"/>
        <w:ind w:left="567" w:hanging="567"/>
        <w:rPr>
          <w:noProof/>
          <w:lang w:val="it-IT"/>
        </w:rPr>
      </w:pPr>
      <w:r w:rsidRPr="00A2012C">
        <w:rPr>
          <w:noProof/>
          <w:lang w:val="it-IT"/>
        </w:rPr>
        <w:t xml:space="preserve">Wara li kkunsidraw il-proposta tal-Kummissjoni Ewropea, </w:t>
      </w:r>
    </w:p>
    <w:p w:rsidR="00850491" w:rsidRPr="00A2012C" w:rsidRDefault="00850491" w:rsidP="008D0961">
      <w:pPr>
        <w:spacing w:before="120" w:after="120"/>
        <w:ind w:left="567" w:hanging="567"/>
        <w:rPr>
          <w:noProof/>
          <w:lang w:val="sv-SE"/>
        </w:rPr>
      </w:pPr>
      <w:r w:rsidRPr="00A2012C">
        <w:rPr>
          <w:noProof/>
          <w:lang w:val="sv-SE"/>
        </w:rPr>
        <w:t>Wara t-trażmissjoni tal-abbozz tal-att leġiżlattiv lill-parlamenti nazzjonali,</w:t>
      </w:r>
    </w:p>
    <w:p w:rsidR="00850491" w:rsidRPr="00A2012C" w:rsidRDefault="00850491" w:rsidP="008D0961">
      <w:pPr>
        <w:spacing w:before="120" w:after="120"/>
        <w:ind w:left="567" w:hanging="567"/>
        <w:rPr>
          <w:noProof/>
          <w:lang w:val="sv-SE"/>
        </w:rPr>
      </w:pPr>
      <w:r w:rsidRPr="00A2012C">
        <w:rPr>
          <w:noProof/>
          <w:lang w:val="sv-SE"/>
        </w:rPr>
        <w:t xml:space="preserve">Filwaqt li jaġixxu skont il-proċedura </w:t>
      </w:r>
      <w:r w:rsidR="00C854AB" w:rsidRPr="00A2012C">
        <w:rPr>
          <w:noProof/>
          <w:lang w:val="sv-SE"/>
        </w:rPr>
        <w:t xml:space="preserve">leġislattiva </w:t>
      </w:r>
      <w:r w:rsidRPr="00A2012C">
        <w:rPr>
          <w:noProof/>
          <w:lang w:val="sv-SE"/>
        </w:rPr>
        <w:t>ordinarja</w:t>
      </w:r>
      <w:r w:rsidRPr="00A2012C">
        <w:rPr>
          <w:rStyle w:val="FootnoteReference"/>
          <w:noProof/>
        </w:rPr>
        <w:footnoteReference w:id="1"/>
      </w:r>
      <w:r w:rsidRPr="00A2012C">
        <w:rPr>
          <w:noProof/>
          <w:lang w:val="sv-SE"/>
        </w:rPr>
        <w:t>,</w:t>
      </w:r>
    </w:p>
    <w:p w:rsidR="00091A60" w:rsidRPr="00A2012C" w:rsidRDefault="00850491" w:rsidP="008D0961">
      <w:pPr>
        <w:spacing w:before="120" w:after="120"/>
        <w:ind w:left="567" w:hanging="567"/>
        <w:rPr>
          <w:noProof/>
          <w:lang w:val="sv-SE"/>
        </w:rPr>
      </w:pPr>
      <w:r w:rsidRPr="00A2012C">
        <w:rPr>
          <w:noProof/>
          <w:lang w:val="sv-SE"/>
        </w:rPr>
        <w:t>Billi:</w:t>
      </w:r>
    </w:p>
    <w:p w:rsidR="00850491" w:rsidRPr="00A2012C" w:rsidRDefault="00091A60" w:rsidP="00091A60">
      <w:pPr>
        <w:spacing w:before="120" w:after="120" w:line="360" w:lineRule="auto"/>
        <w:ind w:left="567" w:hanging="567"/>
        <w:rPr>
          <w:noProof/>
          <w:lang w:val="it-IT"/>
        </w:rPr>
      </w:pPr>
      <w:r w:rsidRPr="00A2012C">
        <w:rPr>
          <w:noProof/>
          <w:lang w:val="sv-SE"/>
        </w:rPr>
        <w:br w:type="page"/>
      </w:r>
      <w:r w:rsidR="008D0961" w:rsidRPr="00A2012C">
        <w:rPr>
          <w:noProof/>
          <w:lang w:val="sv-SE"/>
        </w:rPr>
        <w:lastRenderedPageBreak/>
        <w:t>(1)</w:t>
      </w:r>
      <w:r w:rsidR="008D0961" w:rsidRPr="00A2012C">
        <w:rPr>
          <w:noProof/>
          <w:lang w:val="sv-SE"/>
        </w:rPr>
        <w:tab/>
      </w:r>
      <w:r w:rsidR="00850491" w:rsidRPr="00A2012C">
        <w:rPr>
          <w:noProof/>
          <w:lang w:val="sv-SE"/>
        </w:rPr>
        <w:t xml:space="preserve">Il-kooperazzjoni mal-UE hija bbażata fuq Ftehim ta’ Sħubija u Kooperazzjoni (FSK) li daħal fis-seħħ fl-1999. </w:t>
      </w:r>
      <w:r w:rsidR="00850491" w:rsidRPr="00A2012C">
        <w:rPr>
          <w:noProof/>
        </w:rPr>
        <w:t>L-UE tagħti trattament tas-Sistema ta’ Preferenzi Ġeneralizzati (SPĠ) lir-Repubblika Kirgiża.</w:t>
      </w:r>
    </w:p>
    <w:p w:rsidR="00850491" w:rsidRPr="00A2012C" w:rsidRDefault="008D0961" w:rsidP="00091A60">
      <w:pPr>
        <w:pStyle w:val="Considrant"/>
        <w:numPr>
          <w:ilvl w:val="0"/>
          <w:numId w:val="0"/>
        </w:numPr>
        <w:spacing w:line="360" w:lineRule="auto"/>
        <w:ind w:left="567" w:hanging="567"/>
        <w:rPr>
          <w:noProof/>
          <w:lang w:val="it-IT"/>
        </w:rPr>
      </w:pPr>
      <w:r w:rsidRPr="00A2012C">
        <w:rPr>
          <w:noProof/>
          <w:lang w:val="it-IT"/>
        </w:rPr>
        <w:t>(2)</w:t>
      </w:r>
      <w:r w:rsidRPr="00A2012C">
        <w:rPr>
          <w:noProof/>
          <w:lang w:val="it-IT"/>
        </w:rPr>
        <w:tab/>
      </w:r>
      <w:r w:rsidR="00850491" w:rsidRPr="00A2012C">
        <w:rPr>
          <w:noProof/>
        </w:rPr>
        <w:t>L-ekonomija Kirgiża kienet affettwata mill-kriżi finanzjarja internazzjonali tal-2009 u mill-vjolenza etnika ta’ Ġunju 2010, li ħarbtu l-attivitajiet ekonomiċi, ħolqu ħtiġijiet ta’ infiq pubbliku sostanzjali għar-rikostruzzjoni u l-għajnuna soċjali, u wasslu għal nuqqasijiet kbar fil-finanzjament estern u fil-baġit.</w:t>
      </w:r>
      <w:r w:rsidR="00850491" w:rsidRPr="00A2012C">
        <w:rPr>
          <w:noProof/>
          <w:lang w:val="it-IT"/>
        </w:rPr>
        <w:t xml:space="preserve"> </w:t>
      </w:r>
    </w:p>
    <w:p w:rsidR="00091A60" w:rsidRPr="00A2012C" w:rsidRDefault="008D0961" w:rsidP="00091A60">
      <w:pPr>
        <w:pStyle w:val="Considrant"/>
        <w:numPr>
          <w:ilvl w:val="0"/>
          <w:numId w:val="0"/>
        </w:numPr>
        <w:spacing w:line="360" w:lineRule="auto"/>
        <w:ind w:left="567" w:hanging="567"/>
        <w:rPr>
          <w:noProof/>
        </w:rPr>
      </w:pPr>
      <w:r w:rsidRPr="00A2012C">
        <w:rPr>
          <w:noProof/>
          <w:lang w:val="it-IT"/>
        </w:rPr>
        <w:t>(3)</w:t>
      </w:r>
      <w:r w:rsidRPr="00A2012C">
        <w:rPr>
          <w:noProof/>
          <w:lang w:val="it-IT"/>
        </w:rPr>
        <w:tab/>
      </w:r>
      <w:r w:rsidR="00850491" w:rsidRPr="00A2012C">
        <w:rPr>
          <w:noProof/>
        </w:rPr>
        <w:t>Waqt il-Laqgħa tad-Donaturi ta’ Livell Għoli li saret f’Lulju 2010, il-komunità internazzjonali wegħdet li tagħti USD 1</w:t>
      </w:r>
      <w:r w:rsidR="00C854AB" w:rsidRPr="00A2012C">
        <w:rPr>
          <w:noProof/>
        </w:rPr>
        <w:t>,</w:t>
      </w:r>
      <w:r w:rsidR="00850491" w:rsidRPr="00A2012C">
        <w:rPr>
          <w:noProof/>
        </w:rPr>
        <w:t>1 biljun bħala appoġġ ta’ emerġenza sabiex tgħin fl-irkupru tar-Repubblika Kirgiża.</w:t>
      </w:r>
      <w:r w:rsidR="00850491" w:rsidRPr="00A2012C">
        <w:rPr>
          <w:noProof/>
          <w:lang w:val="it-IT"/>
        </w:rPr>
        <w:t xml:space="preserve"> </w:t>
      </w:r>
      <w:r w:rsidR="00850491" w:rsidRPr="00A2012C">
        <w:rPr>
          <w:noProof/>
        </w:rPr>
        <w:t>Waqt din il-Laqgħa tad-Donaturi ta’ Livell Għoli, l-UE ħabbret li hija se tipprovdi ammont massimu ta’ EUR 117</w:t>
      </w:r>
      <w:r w:rsidR="00C854AB" w:rsidRPr="00A2012C">
        <w:rPr>
          <w:noProof/>
        </w:rPr>
        <w:t>,</w:t>
      </w:r>
      <w:r w:rsidR="00850491" w:rsidRPr="00A2012C">
        <w:rPr>
          <w:noProof/>
        </w:rPr>
        <w:t>9 miljun bħala għajnuna finanzjarja.</w:t>
      </w:r>
    </w:p>
    <w:p w:rsidR="00850491" w:rsidRPr="00A2012C" w:rsidRDefault="00091A60" w:rsidP="00091A60">
      <w:pPr>
        <w:pStyle w:val="Considrant"/>
        <w:numPr>
          <w:ilvl w:val="0"/>
          <w:numId w:val="0"/>
        </w:numPr>
        <w:spacing w:line="360" w:lineRule="auto"/>
        <w:ind w:left="567" w:hanging="567"/>
        <w:rPr>
          <w:noProof/>
        </w:rPr>
      </w:pPr>
      <w:r w:rsidRPr="00A2012C">
        <w:rPr>
          <w:noProof/>
        </w:rPr>
        <w:br w:type="page"/>
      </w:r>
      <w:r w:rsidR="008D0961" w:rsidRPr="00A2012C">
        <w:rPr>
          <w:noProof/>
        </w:rPr>
        <w:lastRenderedPageBreak/>
        <w:t>(4)</w:t>
      </w:r>
      <w:r w:rsidR="008D0961" w:rsidRPr="00A2012C">
        <w:rPr>
          <w:noProof/>
        </w:rPr>
        <w:tab/>
      </w:r>
      <w:r w:rsidR="00850491" w:rsidRPr="00A2012C">
        <w:rPr>
          <w:noProof/>
        </w:rPr>
        <w:t>Fil-konklużjonijiet tiegħu tas-26 ta’ Lulju 2010 dwar ir-Repubblika Kirgiża, il-Kunsill għall-Affarijiet Barranin tal-UE laqa’ l-isforzi tal-gvern il-ġdid Kirgiż sabiex jistabbilixxi qafas istituzzjonali demokratiku u stieden lill-Kummissjoni “tkompli tipprovdi assistenza, inklużi programmi ġodda ta’ assistenza, lill-awtoritajiet Kirgiżi fl-implimentazzjoni tal-programm ta’ riforma tagħhom u biex tikkontribwixxi għall-iżvilupp ekonomiku u soċjali sostenibbli tal-pajjiż”.</w:t>
      </w:r>
    </w:p>
    <w:p w:rsidR="00850491" w:rsidRPr="00A2012C" w:rsidRDefault="008D0961" w:rsidP="00091A60">
      <w:pPr>
        <w:pStyle w:val="Considrant"/>
        <w:numPr>
          <w:ilvl w:val="0"/>
          <w:numId w:val="0"/>
        </w:numPr>
        <w:spacing w:line="360" w:lineRule="auto"/>
        <w:ind w:left="567" w:hanging="567"/>
        <w:rPr>
          <w:noProof/>
          <w:lang w:val="it-IT"/>
        </w:rPr>
      </w:pPr>
      <w:r w:rsidRPr="00A2012C">
        <w:rPr>
          <w:noProof/>
          <w:lang w:val="it-IT"/>
        </w:rPr>
        <w:t>(5)</w:t>
      </w:r>
      <w:r w:rsidRPr="00A2012C">
        <w:rPr>
          <w:noProof/>
          <w:lang w:val="it-IT"/>
        </w:rPr>
        <w:tab/>
      </w:r>
      <w:r w:rsidR="00850491" w:rsidRPr="00A2012C">
        <w:rPr>
          <w:noProof/>
        </w:rPr>
        <w:t>L-appoġġ politiku u ekonomiku tal-UE għad-demokrazija parlamentari tar-Repubblika Kirgiża li għadha fil-bidu tagħha se jipprovdi sinjal politiku ta’ appoġġ qawwi min-naħa tal-UE għar-riformi demokratiċi fl-Asja Ċentrali, b’mod konsistenti mal-politika tal-UE għal dan ir-reġjun li ġiet deskritta fl-Istrateġija għall-Asja Ċentrali għall-perjodu mill-2007 sal-2013 u fid-dikjarazzjonijiet li għamlu l-mexxejja tal-UE.</w:t>
      </w:r>
    </w:p>
    <w:p w:rsidR="00091A60" w:rsidRPr="00A2012C" w:rsidRDefault="008D0961" w:rsidP="00091A60">
      <w:pPr>
        <w:pStyle w:val="Considrant"/>
        <w:numPr>
          <w:ilvl w:val="0"/>
          <w:numId w:val="0"/>
        </w:numPr>
        <w:spacing w:line="360" w:lineRule="auto"/>
        <w:ind w:left="567" w:hanging="567"/>
        <w:rPr>
          <w:noProof/>
          <w:lang w:val="it-IT"/>
        </w:rPr>
      </w:pPr>
      <w:r w:rsidRPr="00A2012C">
        <w:rPr>
          <w:noProof/>
          <w:lang w:val="it-IT"/>
        </w:rPr>
        <w:t>(6)</w:t>
      </w:r>
      <w:r w:rsidRPr="00A2012C">
        <w:rPr>
          <w:noProof/>
          <w:lang w:val="it-IT"/>
        </w:rPr>
        <w:tab/>
      </w:r>
      <w:r w:rsidR="00850491" w:rsidRPr="00A2012C">
        <w:rPr>
          <w:noProof/>
        </w:rPr>
        <w:t>Il-proċess ta’ riforma u aġġustament ekonomiku tar-Repubblika Kirgiża huwa appoġġat minn għajnuna finanzjarja mogħtija mill-Fond Monetarju Internazzjonali (FMI).</w:t>
      </w:r>
      <w:r w:rsidR="00850491" w:rsidRPr="00A2012C">
        <w:rPr>
          <w:noProof/>
          <w:lang w:val="it-IT"/>
        </w:rPr>
        <w:t xml:space="preserve"> </w:t>
      </w:r>
      <w:r w:rsidR="00850491" w:rsidRPr="00A2012C">
        <w:rPr>
          <w:noProof/>
        </w:rPr>
        <w:t xml:space="preserve">F’Ġunju tal-2011, l-awtoritajiet Kirgiżi qablu mal-Faċilità ta’ tliet snin ta’ Kreditu Estiż tal-FMI li tammonta għal </w:t>
      </w:r>
      <w:r w:rsidR="00C854AB" w:rsidRPr="00A2012C">
        <w:rPr>
          <w:noProof/>
        </w:rPr>
        <w:t xml:space="preserve">SDR 66,6 </w:t>
      </w:r>
      <w:r w:rsidR="00850491" w:rsidRPr="00A2012C">
        <w:rPr>
          <w:noProof/>
        </w:rPr>
        <w:t>miljun bħala appoġġ għall-pajjiż.</w:t>
      </w:r>
      <w:r w:rsidR="00850491" w:rsidRPr="00A2012C">
        <w:rPr>
          <w:noProof/>
          <w:lang w:val="it-IT"/>
        </w:rPr>
        <w:t xml:space="preserve"> </w:t>
      </w:r>
    </w:p>
    <w:p w:rsidR="00850491" w:rsidRPr="00A2012C" w:rsidRDefault="00091A60" w:rsidP="00091A60">
      <w:pPr>
        <w:pStyle w:val="Considrant"/>
        <w:numPr>
          <w:ilvl w:val="0"/>
          <w:numId w:val="0"/>
        </w:numPr>
        <w:spacing w:line="360" w:lineRule="auto"/>
        <w:ind w:left="567" w:hanging="567"/>
        <w:rPr>
          <w:noProof/>
          <w:lang w:val="it-IT"/>
        </w:rPr>
      </w:pPr>
      <w:r w:rsidRPr="00A2012C">
        <w:rPr>
          <w:noProof/>
          <w:lang w:val="it-IT"/>
        </w:rPr>
        <w:br w:type="page"/>
      </w:r>
      <w:r w:rsidR="008D0961" w:rsidRPr="00A2012C">
        <w:rPr>
          <w:noProof/>
          <w:lang w:val="it-IT"/>
        </w:rPr>
        <w:lastRenderedPageBreak/>
        <w:t>(7)</w:t>
      </w:r>
      <w:r w:rsidR="008D0961" w:rsidRPr="00A2012C">
        <w:rPr>
          <w:noProof/>
          <w:lang w:val="it-IT"/>
        </w:rPr>
        <w:tab/>
      </w:r>
      <w:r w:rsidR="00850491" w:rsidRPr="00A2012C">
        <w:rPr>
          <w:noProof/>
        </w:rPr>
        <w:t>L-UE beħsiebha tipprovdi appoġġ baġitarju settorjali lir-Repubblika Kirgiża fil-kuntest tal-istrument ta’ finanzjament tal-kooperazzjoni għall-iżvilupp li jammonta għal għadd totali ta’ EUR 33 miljun matul il-perjodu mill-2011 sal-2013, sabiex jiġu appoġġati r-riformi fil-ħarsien soċjali, fl-edukazzjoni u fil-ġestjoni tal-finanzi pubbliċi.</w:t>
      </w:r>
    </w:p>
    <w:p w:rsidR="00850491" w:rsidRPr="00A2012C" w:rsidRDefault="008D0961" w:rsidP="00091A60">
      <w:pPr>
        <w:pStyle w:val="Considrant"/>
        <w:numPr>
          <w:ilvl w:val="0"/>
          <w:numId w:val="0"/>
        </w:numPr>
        <w:spacing w:line="360" w:lineRule="auto"/>
        <w:ind w:left="567" w:hanging="567"/>
        <w:rPr>
          <w:noProof/>
          <w:lang w:val="it-IT"/>
        </w:rPr>
      </w:pPr>
      <w:r w:rsidRPr="00A2012C">
        <w:rPr>
          <w:noProof/>
          <w:lang w:val="it-IT"/>
        </w:rPr>
        <w:t>(8)</w:t>
      </w:r>
      <w:r w:rsidRPr="00A2012C">
        <w:rPr>
          <w:noProof/>
          <w:lang w:val="it-IT"/>
        </w:rPr>
        <w:tab/>
      </w:r>
      <w:r w:rsidR="00850491" w:rsidRPr="00A2012C">
        <w:rPr>
          <w:noProof/>
        </w:rPr>
        <w:t>Fl-2010, ir-Repubblika Kirgiża talbet lill-UE għall-għajnuna makrofinanzjarja minħabba l-qagħda ekonomika u l-prospetti ekonomiċi li kienu dejjem sejrin għall-agħar.</w:t>
      </w:r>
      <w:r w:rsidR="00850491" w:rsidRPr="00A2012C">
        <w:rPr>
          <w:noProof/>
          <w:lang w:val="it-IT"/>
        </w:rPr>
        <w:t xml:space="preserve"> </w:t>
      </w:r>
    </w:p>
    <w:p w:rsidR="00091A60" w:rsidRPr="00A2012C" w:rsidRDefault="008D0961" w:rsidP="00091A60">
      <w:pPr>
        <w:pStyle w:val="Considrant"/>
        <w:numPr>
          <w:ilvl w:val="0"/>
          <w:numId w:val="0"/>
        </w:numPr>
        <w:spacing w:line="360" w:lineRule="auto"/>
        <w:ind w:left="567" w:hanging="567"/>
        <w:rPr>
          <w:noProof/>
        </w:rPr>
      </w:pPr>
      <w:r w:rsidRPr="00A2012C">
        <w:rPr>
          <w:noProof/>
          <w:lang w:val="it-IT"/>
        </w:rPr>
        <w:t>(9)</w:t>
      </w:r>
      <w:r w:rsidRPr="00A2012C">
        <w:rPr>
          <w:noProof/>
          <w:lang w:val="it-IT"/>
        </w:rPr>
        <w:tab/>
      </w:r>
      <w:r w:rsidR="00850491" w:rsidRPr="00A2012C">
        <w:rPr>
          <w:noProof/>
        </w:rPr>
        <w:t>Minħabba li, wara li jitqies l-appoġġ makroekonomiku mogħti mill-FMI u mill-Bank Dinji, għad hemm nuqqas ta’ finanzjament fil-bilanċ tal-pagamenti, u minħabba l-vulnerabbiltà tal-pożizzjoni esterna għax-xokkijiet esoġeni li teħtieġ li jinżamm livell xieraq ta’ riservi tal-kambju barrani, l-għajnuna makrofinanzjarja qed titqies bħala tweġiba xierqa għat-talba tar-Repubblika Kirgiża fiċ-ċirkustanzi eċċezzjonali attwali.</w:t>
      </w:r>
      <w:r w:rsidR="00850491" w:rsidRPr="00A2012C">
        <w:rPr>
          <w:noProof/>
          <w:lang w:val="it-IT"/>
        </w:rPr>
        <w:t xml:space="preserve"> </w:t>
      </w:r>
      <w:r w:rsidR="00850491" w:rsidRPr="00A2012C">
        <w:rPr>
          <w:noProof/>
        </w:rPr>
        <w:t>Il-programm tal-għajnuna makrofinanzjarja tal-UE għar-Repubblika Kirgiża (minn hawn ’il quddiem imsejjaħ “l-għajnuna makrofinanzjarja tal-Unjoni”) se jappoġġa l-istabbilizzazzjoni ekonomika tal-pajjiż u l-aġenda tar-riforma strutturali, billi jissupplimenta r-riżorsi li tqiegħdu għad-dispożizzjoni mill-FMI skont l-arranġament finanzjarju tiegħu.</w:t>
      </w:r>
    </w:p>
    <w:p w:rsidR="00850491" w:rsidRPr="00A2012C" w:rsidRDefault="00091A60" w:rsidP="00091A60">
      <w:pPr>
        <w:pStyle w:val="Considrant"/>
        <w:numPr>
          <w:ilvl w:val="0"/>
          <w:numId w:val="0"/>
        </w:numPr>
        <w:spacing w:line="360" w:lineRule="auto"/>
        <w:ind w:left="567" w:hanging="567"/>
        <w:rPr>
          <w:noProof/>
        </w:rPr>
      </w:pPr>
      <w:r w:rsidRPr="00A2012C">
        <w:rPr>
          <w:noProof/>
        </w:rPr>
        <w:br w:type="page"/>
      </w:r>
      <w:r w:rsidR="008D0961" w:rsidRPr="00A2012C">
        <w:rPr>
          <w:noProof/>
        </w:rPr>
        <w:lastRenderedPageBreak/>
        <w:t>(10)</w:t>
      </w:r>
      <w:r w:rsidR="008D0961" w:rsidRPr="00A2012C">
        <w:rPr>
          <w:noProof/>
        </w:rPr>
        <w:tab/>
      </w:r>
      <w:r w:rsidR="00850491" w:rsidRPr="00A2012C">
        <w:rPr>
          <w:noProof/>
        </w:rPr>
        <w:t>L-għajnuna makrofinanzjarja tal-Unjoni m’għandhiex tissupplimenta biss il-programmi u r-riżorsi mogħtija mill-FMI u mill-Bank Dinji, iżda għandha tiżgura wkoll il-valur miżjud tal-involviment tal-Unjoni.</w:t>
      </w:r>
    </w:p>
    <w:p w:rsidR="00850491" w:rsidRPr="00A2012C" w:rsidRDefault="008D0961" w:rsidP="00091A60">
      <w:pPr>
        <w:pStyle w:val="Considrant"/>
        <w:numPr>
          <w:ilvl w:val="0"/>
          <w:numId w:val="0"/>
        </w:numPr>
        <w:spacing w:line="360" w:lineRule="auto"/>
        <w:ind w:left="567" w:hanging="567"/>
        <w:rPr>
          <w:noProof/>
          <w:lang w:val="it-IT"/>
        </w:rPr>
      </w:pPr>
      <w:r w:rsidRPr="00A2012C">
        <w:rPr>
          <w:noProof/>
          <w:lang w:val="it-IT"/>
        </w:rPr>
        <w:t>(11)</w:t>
      </w:r>
      <w:r w:rsidRPr="00A2012C">
        <w:rPr>
          <w:noProof/>
          <w:lang w:val="it-IT"/>
        </w:rPr>
        <w:tab/>
      </w:r>
      <w:r w:rsidR="00850491" w:rsidRPr="00A2012C">
        <w:rPr>
          <w:noProof/>
        </w:rPr>
        <w:t>Il-Kummissjoni għandha tiżgura li l-għajnuna makrofinanzjarja tal-Unjoni tkun legalment u sostanzjalment konformi mal-miżuri meħudin fl-oqsma differenti tal-azzjoni esterna u mal-politiki rilevanti l-oħra tal-Unjoni.</w:t>
      </w:r>
    </w:p>
    <w:p w:rsidR="00850491" w:rsidRPr="00A2012C" w:rsidRDefault="008D0961" w:rsidP="00091A60">
      <w:pPr>
        <w:pStyle w:val="Considrant"/>
        <w:numPr>
          <w:ilvl w:val="0"/>
          <w:numId w:val="0"/>
        </w:numPr>
        <w:spacing w:line="360" w:lineRule="auto"/>
        <w:ind w:left="567" w:hanging="567"/>
        <w:rPr>
          <w:noProof/>
        </w:rPr>
      </w:pPr>
      <w:r w:rsidRPr="00A2012C">
        <w:rPr>
          <w:noProof/>
        </w:rPr>
        <w:t>(12)</w:t>
      </w:r>
      <w:r w:rsidRPr="00A2012C">
        <w:rPr>
          <w:noProof/>
        </w:rPr>
        <w:tab/>
      </w:r>
      <w:r w:rsidR="00850491" w:rsidRPr="00A2012C">
        <w:rPr>
          <w:noProof/>
        </w:rPr>
        <w:t>L-għanijiet speċifiċi tal-għajnuna makrofinanzjarja tal-Unjoni għandhom isaħħu l-effiċjenza, it-trasparenza u r-responsabbiltà tal-ġestjoni tal-finanzi pubbliċi fir-Repubblika Kirgiża.</w:t>
      </w:r>
      <w:r w:rsidR="00850491" w:rsidRPr="00A2012C">
        <w:rPr>
          <w:noProof/>
          <w:color w:val="000000"/>
          <w:lang w:val="it-IT"/>
        </w:rPr>
        <w:t xml:space="preserve"> </w:t>
      </w:r>
      <w:r w:rsidR="00850491" w:rsidRPr="00A2012C">
        <w:rPr>
          <w:noProof/>
        </w:rPr>
        <w:t>Il-Kummissjoni għandha timmonitorja regolarment dawn l-għanijiet.</w:t>
      </w:r>
    </w:p>
    <w:p w:rsidR="00850491" w:rsidRPr="00A2012C" w:rsidRDefault="008D0961" w:rsidP="00091A60">
      <w:pPr>
        <w:pStyle w:val="Considrant"/>
        <w:numPr>
          <w:ilvl w:val="0"/>
          <w:numId w:val="0"/>
        </w:numPr>
        <w:spacing w:line="360" w:lineRule="auto"/>
        <w:ind w:left="567" w:hanging="567"/>
        <w:rPr>
          <w:noProof/>
        </w:rPr>
      </w:pPr>
      <w:r w:rsidRPr="00A2012C">
        <w:rPr>
          <w:noProof/>
        </w:rPr>
        <w:t>(13)</w:t>
      </w:r>
      <w:r w:rsidRPr="00A2012C">
        <w:rPr>
          <w:noProof/>
        </w:rPr>
        <w:tab/>
      </w:r>
      <w:r w:rsidR="00850491" w:rsidRPr="00A2012C">
        <w:rPr>
          <w:noProof/>
        </w:rPr>
        <w:t>Il-kundizzjonijiet li fuqhom jiġi bbażat il-forniment tal-għajnuna makrofinanzjarja tal-Unjoni għandhom jirriflettu l-prinċipji u l-għanijiet ewlenin tal-politika tal-Unjoni għar-Repubblika Kirgiża.</w:t>
      </w:r>
    </w:p>
    <w:p w:rsidR="00850491" w:rsidRPr="00A2012C" w:rsidRDefault="00091A60" w:rsidP="00091A60">
      <w:pPr>
        <w:pStyle w:val="Considrant"/>
        <w:numPr>
          <w:ilvl w:val="0"/>
          <w:numId w:val="0"/>
        </w:numPr>
        <w:spacing w:line="360" w:lineRule="auto"/>
        <w:ind w:left="567" w:hanging="567"/>
        <w:rPr>
          <w:noProof/>
        </w:rPr>
      </w:pPr>
      <w:r w:rsidRPr="00A2012C">
        <w:rPr>
          <w:noProof/>
        </w:rPr>
        <w:br w:type="page"/>
      </w:r>
      <w:r w:rsidR="008D0961" w:rsidRPr="00A2012C">
        <w:rPr>
          <w:noProof/>
        </w:rPr>
        <w:lastRenderedPageBreak/>
        <w:t>(14)</w:t>
      </w:r>
      <w:r w:rsidR="008D0961" w:rsidRPr="00A2012C">
        <w:rPr>
          <w:noProof/>
        </w:rPr>
        <w:tab/>
      </w:r>
      <w:r w:rsidR="00850491" w:rsidRPr="00A2012C">
        <w:rPr>
          <w:noProof/>
        </w:rPr>
        <w:t>Sabiex ikun żgurat il-ħarsien effiċjenti tal-interessi finanzjarji tal-UE marbuta ma’ din l-għajnuna makrofinanzjarja, jeħtieġ li r-Repubblika Kirgiża tadotta miżuri xierqa marbutin mal-prevenzjoni tal-frodi, il-korruzzjoni u kwalunkwe irregolarità oħra marbuta ma’ din l-għajnuna u miżuri xierqa marbutin mal-ġlieda kontrihom.</w:t>
      </w:r>
      <w:r w:rsidR="00850491" w:rsidRPr="00A2012C">
        <w:rPr>
          <w:noProof/>
          <w:color w:val="000000"/>
        </w:rPr>
        <w:t xml:space="preserve"> </w:t>
      </w:r>
      <w:r w:rsidR="00850491" w:rsidRPr="00A2012C">
        <w:rPr>
          <w:noProof/>
        </w:rPr>
        <w:t>Jeħtieġ ukoll li l-Kummissjoni tipprovdi għall-kontrolli x-xierqa u li l-Qorti tal-Awdituri tipprovdi għall-verifiki x-xierqa.</w:t>
      </w:r>
    </w:p>
    <w:p w:rsidR="00850491" w:rsidRPr="00A2012C" w:rsidRDefault="008D0961" w:rsidP="00091A60">
      <w:pPr>
        <w:pStyle w:val="Considrant"/>
        <w:numPr>
          <w:ilvl w:val="0"/>
          <w:numId w:val="0"/>
        </w:numPr>
        <w:spacing w:line="360" w:lineRule="auto"/>
        <w:ind w:left="567" w:hanging="567"/>
        <w:rPr>
          <w:noProof/>
        </w:rPr>
      </w:pPr>
      <w:r w:rsidRPr="00A2012C">
        <w:rPr>
          <w:noProof/>
        </w:rPr>
        <w:t>(15)</w:t>
      </w:r>
      <w:r w:rsidRPr="00A2012C">
        <w:rPr>
          <w:noProof/>
        </w:rPr>
        <w:tab/>
      </w:r>
      <w:r w:rsidR="00850491" w:rsidRPr="00A2012C">
        <w:rPr>
          <w:noProof/>
        </w:rPr>
        <w:t>Ir-rilaxx tal-għajnuna finanzjarja tal-UE huwa mingħajr preġudizzju għas-setgħat tal-awtorità baġitarja.</w:t>
      </w:r>
    </w:p>
    <w:p w:rsidR="00091A60" w:rsidRPr="00A2012C" w:rsidRDefault="008D0961" w:rsidP="00091A60">
      <w:pPr>
        <w:pStyle w:val="Considrant"/>
        <w:numPr>
          <w:ilvl w:val="0"/>
          <w:numId w:val="0"/>
        </w:numPr>
        <w:spacing w:line="360" w:lineRule="auto"/>
        <w:ind w:left="567" w:hanging="567"/>
        <w:rPr>
          <w:noProof/>
        </w:rPr>
      </w:pPr>
      <w:r w:rsidRPr="00A2012C">
        <w:rPr>
          <w:noProof/>
          <w:color w:val="000000"/>
        </w:rPr>
        <w:t>(16)</w:t>
      </w:r>
      <w:r w:rsidRPr="00A2012C">
        <w:rPr>
          <w:noProof/>
          <w:color w:val="000000"/>
        </w:rPr>
        <w:tab/>
      </w:r>
      <w:r w:rsidR="00850491" w:rsidRPr="00A2012C">
        <w:rPr>
          <w:noProof/>
        </w:rPr>
        <w:t>Il-ġestjoni tal-għajnuna għandha tkun f’idejn il-Kummissjoni. Sabiex ikun żgurat li l-Parlament Ewropew u l-Kumitat Ekonomiku u Finanzjarju jkunu jistgħu jsegwu l-implimentazzjoni ta’ din id-Deċiżjoni, il-Kummissjoni għandha tinfurmahom regolarment bl-iżviluppi marbutin mal-għajnuna u tipprovdilhom id-dokumenti rilevanti.</w:t>
      </w:r>
    </w:p>
    <w:p w:rsidR="00850491" w:rsidRPr="00A2012C" w:rsidRDefault="00091A60" w:rsidP="00091A60">
      <w:pPr>
        <w:pStyle w:val="Considrant"/>
        <w:numPr>
          <w:ilvl w:val="0"/>
          <w:numId w:val="0"/>
        </w:numPr>
        <w:spacing w:line="360" w:lineRule="auto"/>
        <w:ind w:left="567" w:hanging="567"/>
        <w:rPr>
          <w:noProof/>
        </w:rPr>
      </w:pPr>
      <w:r w:rsidRPr="00A2012C">
        <w:rPr>
          <w:noProof/>
        </w:rPr>
        <w:br w:type="page"/>
      </w:r>
      <w:r w:rsidR="008D0961" w:rsidRPr="00A2012C">
        <w:rPr>
          <w:noProof/>
        </w:rPr>
        <w:lastRenderedPageBreak/>
        <w:t>(17)</w:t>
      </w:r>
      <w:r w:rsidR="008D0961" w:rsidRPr="00A2012C">
        <w:rPr>
          <w:noProof/>
        </w:rPr>
        <w:tab/>
      </w:r>
      <w:r w:rsidR="00850491" w:rsidRPr="00A2012C">
        <w:rPr>
          <w:noProof/>
        </w:rPr>
        <w:t>Sabiex jiġu żgurati kundizzjonijiet uniformi għall-implimentazzjoni ta’ din id-Deċiżjoni, il-Kummissjoni għandha tingħata setgħat ta’ implimentazzjoni. Dawk is-setgħat għandhom jiġu eżerċitati skont ir-Regolament (UE) Nru 182/2011 tal-Parlament Ewropew u tal-Kunsill tas-16 ta’ Frar 2011 li jistabbilixxi r-regoli u l-prinċipji ġenerali dwar il-modalitajiet ta’ kontroll mill-Istati Membri tal-eżerċizzju mill-Kummissjoni tas-setgħat ta’ implimentazzjoni</w:t>
      </w:r>
      <w:r w:rsidR="00850491" w:rsidRPr="00A2012C">
        <w:rPr>
          <w:rStyle w:val="FootnoteReference"/>
          <w:noProof/>
        </w:rPr>
        <w:footnoteReference w:id="2"/>
      </w:r>
      <w:r w:rsidR="00850491" w:rsidRPr="00A2012C">
        <w:rPr>
          <w:noProof/>
        </w:rPr>
        <w:t xml:space="preserve">. </w:t>
      </w:r>
    </w:p>
    <w:p w:rsidR="00091A60" w:rsidRPr="00A2012C" w:rsidRDefault="008D0961" w:rsidP="00091A60">
      <w:pPr>
        <w:pStyle w:val="Considrant"/>
        <w:numPr>
          <w:ilvl w:val="0"/>
          <w:numId w:val="0"/>
        </w:numPr>
        <w:spacing w:line="360" w:lineRule="auto"/>
        <w:ind w:left="567" w:hanging="567"/>
        <w:rPr>
          <w:b/>
          <w:noProof/>
        </w:rPr>
      </w:pPr>
      <w:r w:rsidRPr="00A2012C">
        <w:rPr>
          <w:noProof/>
        </w:rPr>
        <w:t>(18)</w:t>
      </w:r>
      <w:r w:rsidRPr="00A2012C">
        <w:rPr>
          <w:noProof/>
        </w:rPr>
        <w:tab/>
      </w:r>
      <w:r w:rsidR="00850491" w:rsidRPr="00A2012C">
        <w:rPr>
          <w:noProof/>
        </w:rPr>
        <w:t xml:space="preserve">L-għajnuna makrofinanzjarja tal-Unjoni se tkun marbuta ma’ kundizzjonijiet tal-politika ekonomika li għandhom jiġu stabbiliti f’Memorandum ta’ Ftehim. Sabiex jiġu żgurati kundizzjonijiet uniformi għall-implimentazzjoni u għal raġunijiet ta’ effiċjenza, il-Kummissjoni għandha tingħata s-setgħa li tinnegozja dawn il-kundizzjonijiet mal-awtoritajiet Kirgiżi taħt is-superviżjoni tal-Kumitat tal-Istati Membri previst mir-Regolament (UE) Nru 182/2011. </w:t>
      </w:r>
      <w:r w:rsidR="00850491" w:rsidRPr="00A2012C">
        <w:rPr>
          <w:strike/>
          <w:noProof/>
        </w:rPr>
        <w:t>Il-fatt li l-għajnuna hija ta’ ammont massimu limitat jipprovdi għall-ġustifikazzjoni x-xierqa meħtieġa mit-tieni sentenza tal-Artikolu 2(3) tar-Regolament (UE) Nru 182/2011 sabiex l-adozzjoni tal-Memorandum ta’ Ftehim issir permezz tal-proċedura konsultattiva</w:t>
      </w:r>
      <w:r w:rsidR="00850491" w:rsidRPr="00A2012C">
        <w:rPr>
          <w:noProof/>
        </w:rPr>
        <w:t>.</w:t>
      </w:r>
      <w:r w:rsidR="001262A4" w:rsidRPr="00A2012C">
        <w:rPr>
          <w:b/>
          <w:noProof/>
        </w:rPr>
        <w:t>[Em. 1]</w:t>
      </w:r>
    </w:p>
    <w:p w:rsidR="00850491" w:rsidRPr="00A2012C" w:rsidRDefault="00091A60" w:rsidP="00091A60">
      <w:pPr>
        <w:pStyle w:val="Considrant"/>
        <w:numPr>
          <w:ilvl w:val="0"/>
          <w:numId w:val="0"/>
        </w:numPr>
        <w:spacing w:line="360" w:lineRule="auto"/>
        <w:ind w:left="567" w:hanging="567"/>
        <w:rPr>
          <w:noProof/>
        </w:rPr>
      </w:pPr>
      <w:r w:rsidRPr="00A2012C">
        <w:rPr>
          <w:b/>
          <w:noProof/>
        </w:rPr>
        <w:br w:type="page"/>
      </w:r>
      <w:r w:rsidR="008D0961" w:rsidRPr="00A2012C">
        <w:rPr>
          <w:noProof/>
        </w:rPr>
        <w:lastRenderedPageBreak/>
        <w:t>(19)</w:t>
      </w:r>
      <w:r w:rsidR="008D0961" w:rsidRPr="00A2012C">
        <w:rPr>
          <w:noProof/>
        </w:rPr>
        <w:tab/>
      </w:r>
      <w:r w:rsidR="00850491" w:rsidRPr="00A2012C">
        <w:rPr>
          <w:noProof/>
        </w:rPr>
        <w:t>Skont il-Fond Monetarju Internazzjonali, ir-Repubblika Kirgiża taqa’ taħt il-kategorija tal-“ekonomiji emerġenti u li qegħdin jiżviluppaw”; skont il-Bank Dinji, ir-Repubblika Kirgiża hija parti mill-grupp ta’ “ekonomiji bi dħul baxx” u tal-“pajjiżi tal-IDA”; skont il-UN-OHRLLS</w:t>
      </w:r>
      <w:r w:rsidR="00850491" w:rsidRPr="00A2012C">
        <w:rPr>
          <w:rStyle w:val="FootnoteReference"/>
          <w:noProof/>
        </w:rPr>
        <w:footnoteReference w:id="3"/>
      </w:r>
      <w:r w:rsidR="00850491" w:rsidRPr="00A2012C">
        <w:rPr>
          <w:noProof/>
        </w:rPr>
        <w:t>, ir-Repubblika Kirgiża taqa’ taħt il-kategorija tal-“pajjiżi maqtugħin mill-baħar li qegħdin jiżviluppaw"; skont il-Kumitat ta’ Għajnuna għall-Iżvilupp tal-OECD, ir-Repubblika Kirgiża hija fil-lista tal-“pajjiżi l-oħra bi dħul baxx”. Għalhekk, ir-Repubblika Kirgiża għandha titqies bħala pajjiż li qiegħed jiżviluppa fis-sens tal-Artikolu 208 tat-TFUE, li jiġġustifika l-għażla tal-Artikolu 209 tat-TFUE bħala l-bażi legali għal din id-Deċiżjoni,</w:t>
      </w:r>
    </w:p>
    <w:p w:rsidR="00850491" w:rsidRPr="00A2012C" w:rsidRDefault="00850491" w:rsidP="00850491">
      <w:pPr>
        <w:pStyle w:val="Formuledadoption"/>
        <w:tabs>
          <w:tab w:val="left" w:pos="4000"/>
        </w:tabs>
        <w:outlineLvl w:val="0"/>
        <w:rPr>
          <w:noProof/>
        </w:rPr>
      </w:pPr>
      <w:r w:rsidRPr="00A2012C">
        <w:rPr>
          <w:noProof/>
        </w:rPr>
        <w:t>ADOTTAW DIN ID-DEĊIŻJONI:</w:t>
      </w:r>
    </w:p>
    <w:p w:rsidR="00850491" w:rsidRPr="00A2012C" w:rsidRDefault="00091A60" w:rsidP="00850491">
      <w:pPr>
        <w:pStyle w:val="Titrearticle"/>
        <w:outlineLvl w:val="0"/>
        <w:rPr>
          <w:i w:val="0"/>
          <w:noProof/>
        </w:rPr>
      </w:pPr>
      <w:r w:rsidRPr="00A2012C">
        <w:rPr>
          <w:noProof/>
        </w:rPr>
        <w:br w:type="page"/>
      </w:r>
      <w:r w:rsidR="00850491" w:rsidRPr="00A2012C">
        <w:rPr>
          <w:i w:val="0"/>
          <w:noProof/>
        </w:rPr>
        <w:lastRenderedPageBreak/>
        <w:t>Artikolu 1</w:t>
      </w:r>
    </w:p>
    <w:p w:rsidR="00850491" w:rsidRPr="00A2012C" w:rsidRDefault="008D0961" w:rsidP="00091A60">
      <w:pPr>
        <w:pStyle w:val="NumPar1"/>
        <w:numPr>
          <w:ilvl w:val="0"/>
          <w:numId w:val="0"/>
        </w:numPr>
        <w:tabs>
          <w:tab w:val="left" w:pos="850"/>
        </w:tabs>
        <w:spacing w:line="360" w:lineRule="auto"/>
        <w:ind w:left="567" w:hanging="567"/>
        <w:rPr>
          <w:noProof/>
        </w:rPr>
      </w:pPr>
      <w:r w:rsidRPr="00A2012C">
        <w:rPr>
          <w:noProof/>
        </w:rPr>
        <w:t>1.</w:t>
      </w:r>
      <w:r w:rsidRPr="00A2012C">
        <w:rPr>
          <w:noProof/>
        </w:rPr>
        <w:tab/>
      </w:r>
      <w:r w:rsidR="00850491" w:rsidRPr="00A2012C">
        <w:rPr>
          <w:noProof/>
        </w:rPr>
        <w:t>L-Unjoni Ewropea għandha tqiegħed għajnuna makrofinanzjarja għad-dispożizzjoni tar-Repubblika Kirgiża li tammonta għal ammont massimu ta’ EUR 30 miljun, bil-għan li tappoġġa l-istabbilizzazzjoni ekonomika tal-pajjiż u tkopri l-ħtiġijiet tiegħu marbuta mal-bilanċ tal-pagamenti kif identifikati fil-programm attwali tal-FMI. Minn dan l-ammont, sa EUR 15-il miljun għandhom jingħataw bħala self u sa EUR 15-il miljun għandhom jingħataw bħala għotjiet. Ir-rilaxx tal-għajnuna makrofinanzjarja jiddependi fuq l-approvazzjoni tal-Baġit għall-</w:t>
      </w:r>
      <w:r w:rsidR="00C854AB" w:rsidRPr="00A2012C">
        <w:rPr>
          <w:noProof/>
        </w:rPr>
        <w:t xml:space="preserve">2013 </w:t>
      </w:r>
      <w:r w:rsidR="00850491" w:rsidRPr="00A2012C">
        <w:rPr>
          <w:noProof/>
        </w:rPr>
        <w:t>mill-awtorità baġitarja. Il-Kummissjoni għandha s-setgħa li tissellef ir-riżorsi meħtieġa f’isem l-Unjoni Ewropea sabiex tiffinanzja l-komponent tas-self tal-għajnuna makrofinanzjarja tal-Unjoni. Is-self għandu jkollu maturità massima ta’ 15-il sena.</w:t>
      </w:r>
    </w:p>
    <w:p w:rsidR="00850491" w:rsidRPr="00A2012C" w:rsidRDefault="00091A60" w:rsidP="00091A60">
      <w:pPr>
        <w:pStyle w:val="NumPar1"/>
        <w:numPr>
          <w:ilvl w:val="0"/>
          <w:numId w:val="0"/>
        </w:numPr>
        <w:tabs>
          <w:tab w:val="left" w:pos="850"/>
        </w:tabs>
        <w:spacing w:line="360" w:lineRule="auto"/>
        <w:ind w:left="567" w:hanging="567"/>
        <w:rPr>
          <w:noProof/>
        </w:rPr>
      </w:pPr>
      <w:r w:rsidRPr="00A2012C">
        <w:rPr>
          <w:noProof/>
        </w:rPr>
        <w:br w:type="page"/>
      </w:r>
      <w:r w:rsidR="008D0961" w:rsidRPr="00A2012C">
        <w:rPr>
          <w:noProof/>
        </w:rPr>
        <w:lastRenderedPageBreak/>
        <w:t>2.</w:t>
      </w:r>
      <w:r w:rsidR="008D0961" w:rsidRPr="00A2012C">
        <w:rPr>
          <w:noProof/>
        </w:rPr>
        <w:tab/>
      </w:r>
      <w:r w:rsidR="00850491" w:rsidRPr="00A2012C">
        <w:rPr>
          <w:noProof/>
        </w:rPr>
        <w:t>Ir-rilaxx tal-għajnuna finanzjarja tal-Unjoni għandu jkun amministrat mill-Kummissjoni b’mod konsistenti mal-ftehimiet jew l-arranġamenti milħuqa bejn il-FMI u r-Repubblika Kirgiża u mal-prinċipji u l-għanijiet ewlenin tar-riformi ekonomiċi stabbiliti fil-Ftehim ta’ Sħubija u Kooperazzjoni bejn l-UE u r-Repubblika Kirgiża u fl-Istrateġija għall-Asja Ċentrali għall-perjodu mill-2007 sal-2013.</w:t>
      </w:r>
      <w:r w:rsidR="00850491" w:rsidRPr="00A2012C">
        <w:rPr>
          <w:noProof/>
          <w:color w:val="000000"/>
        </w:rPr>
        <w:t xml:space="preserve"> </w:t>
      </w:r>
      <w:r w:rsidR="00850491" w:rsidRPr="00A2012C">
        <w:rPr>
          <w:noProof/>
        </w:rPr>
        <w:t>Il-Kummissjoni għandha tinforma regolarment lill-Parlament Ewropew u lill-Kumitat Ekonomiku u Finanzjarju bl-iżviluppi fil-ġestjoni tal-għajnuna u tipprovdilhom id-dokumenti rilevanti.</w:t>
      </w:r>
    </w:p>
    <w:p w:rsidR="00850491" w:rsidRPr="00A2012C" w:rsidRDefault="008D0961" w:rsidP="00091A60">
      <w:pPr>
        <w:pStyle w:val="NumPar1"/>
        <w:numPr>
          <w:ilvl w:val="0"/>
          <w:numId w:val="0"/>
        </w:numPr>
        <w:tabs>
          <w:tab w:val="left" w:pos="850"/>
        </w:tabs>
        <w:spacing w:line="360" w:lineRule="auto"/>
        <w:ind w:left="567" w:hanging="567"/>
        <w:rPr>
          <w:noProof/>
        </w:rPr>
      </w:pPr>
      <w:r w:rsidRPr="00A2012C">
        <w:rPr>
          <w:noProof/>
        </w:rPr>
        <w:t>3.</w:t>
      </w:r>
      <w:r w:rsidRPr="00A2012C">
        <w:rPr>
          <w:noProof/>
        </w:rPr>
        <w:tab/>
      </w:r>
      <w:r w:rsidR="00850491" w:rsidRPr="00A2012C">
        <w:rPr>
          <w:noProof/>
        </w:rPr>
        <w:t>L-għajnuna finanzjarja tal-Unjoni Ewropea għandha titqiegħed għad-dispożizzjoni għal sentejn li jibdew mill-ewwel jum wara d-dħul fis-seħħ tal-Memorandum ta’ Ftehim imsemmi fl-Artikolu 2(1).</w:t>
      </w:r>
    </w:p>
    <w:p w:rsidR="00850491" w:rsidRPr="00A2012C" w:rsidRDefault="00091A60" w:rsidP="00850491">
      <w:pPr>
        <w:pStyle w:val="Titrearticle"/>
        <w:outlineLvl w:val="0"/>
        <w:rPr>
          <w:i w:val="0"/>
          <w:noProof/>
        </w:rPr>
      </w:pPr>
      <w:r w:rsidRPr="00A2012C">
        <w:rPr>
          <w:i w:val="0"/>
          <w:noProof/>
        </w:rPr>
        <w:br w:type="page"/>
      </w:r>
      <w:r w:rsidR="00850491" w:rsidRPr="00A2012C">
        <w:rPr>
          <w:i w:val="0"/>
          <w:noProof/>
        </w:rPr>
        <w:lastRenderedPageBreak/>
        <w:t>Artikolu 2</w:t>
      </w:r>
    </w:p>
    <w:p w:rsidR="00850491" w:rsidRPr="00A2012C" w:rsidRDefault="00850491" w:rsidP="00091A60">
      <w:pPr>
        <w:pStyle w:val="ManualNumPar1"/>
        <w:spacing w:line="360" w:lineRule="auto"/>
        <w:ind w:left="567" w:hanging="567"/>
        <w:rPr>
          <w:noProof/>
        </w:rPr>
      </w:pPr>
      <w:r w:rsidRPr="00A2012C">
        <w:rPr>
          <w:noProof/>
        </w:rPr>
        <w:t>1.</w:t>
      </w:r>
      <w:r w:rsidRPr="00A2012C">
        <w:rPr>
          <w:noProof/>
        </w:rPr>
        <w:tab/>
        <w:t>Il-Kummissjoni, filwaqt li taġixxi skont il-proċedura konsultattiva msemmija fl-Artikolu 6(2), għandha tingħata s-setgħa tilħaq ftehim mal-awtoritajiet tar-Repubblika Kirgiża dwar il-politika ekonomika u l-kundizzjonijiet finanzjarji marbutin mal-għajnuna makrofinanzjarja tal-Unjoni Ewropea, li għandhom jitniżżlu f’Memorandum ta’ Ftehim li għandu jinkludi perjodu taż-żmien għat-twettiq tagħhom (minn hawn ’il quddiem imsejjaħ “il-Memorandum ta’ Ftehim”). Il-politika ekonomika u l-kundizzjonijiet finanzjarji stabbiliti fil-Memorandum ta’ Ftehim għandhom ikunu konsistenti mal-ftehimiet jew l-arran</w:t>
      </w:r>
      <w:r w:rsidR="00661E8B" w:rsidRPr="00A2012C">
        <w:rPr>
          <w:noProof/>
        </w:rPr>
        <w:t>ġamenti msemmija fl-Artikolu 1(2</w:t>
      </w:r>
      <w:r w:rsidRPr="00A2012C">
        <w:rPr>
          <w:noProof/>
        </w:rPr>
        <w:t>). Dawn il-kundizzjonijiet se jimmiraw, b’mod partikulari, li jsaħħu l-effiċjenza, it-trasparenza u r-responsabbiltà tal-għajnuna, inklużi tas-sistemi tal-ġestjoni tal-finanzi pubbliċi fir-Repubblika Kirgiża.</w:t>
      </w:r>
      <w:r w:rsidRPr="00A2012C">
        <w:rPr>
          <w:noProof/>
          <w:color w:val="000000"/>
        </w:rPr>
        <w:t xml:space="preserve"> </w:t>
      </w:r>
      <w:r w:rsidRPr="00A2012C">
        <w:rPr>
          <w:noProof/>
        </w:rPr>
        <w:t>Il-Kummissjoni għandha timmonitorja regolarment il-progress li jkun qed isir biex jintlaħqu dawn l-għanijiet.</w:t>
      </w:r>
      <w:r w:rsidRPr="00A2012C">
        <w:rPr>
          <w:noProof/>
          <w:color w:val="000000"/>
        </w:rPr>
        <w:t xml:space="preserve"> </w:t>
      </w:r>
      <w:r w:rsidRPr="00A2012C">
        <w:rPr>
          <w:noProof/>
        </w:rPr>
        <w:t xml:space="preserve">It-termini finanzjarji ddettaljati tal-għajnuna għandhom jiġu stabbiliti fil-Ftehim tal-Għotja u fil-Ftehim tas-Self li għandhom jiġu miftehma bejn il-Kummissjoni u l-awtoritajiet tar-Repubblika Kirgiża. </w:t>
      </w:r>
    </w:p>
    <w:p w:rsidR="00850491" w:rsidRPr="00A2012C" w:rsidRDefault="00091A60" w:rsidP="00091A60">
      <w:pPr>
        <w:pStyle w:val="ManualNumPar1"/>
        <w:spacing w:line="360" w:lineRule="auto"/>
        <w:ind w:left="567" w:hanging="567"/>
        <w:rPr>
          <w:noProof/>
        </w:rPr>
      </w:pPr>
      <w:r w:rsidRPr="00A2012C">
        <w:rPr>
          <w:noProof/>
        </w:rPr>
        <w:br w:type="page"/>
      </w:r>
      <w:r w:rsidR="00850491" w:rsidRPr="00A2012C">
        <w:rPr>
          <w:noProof/>
        </w:rPr>
        <w:lastRenderedPageBreak/>
        <w:t>2.</w:t>
      </w:r>
      <w:r w:rsidR="00850491" w:rsidRPr="00A2012C">
        <w:rPr>
          <w:noProof/>
        </w:rPr>
        <w:tab/>
        <w:t>Matul l-implimentazzjoni tal-għajnuna finanzjarja tal-Unjoni Ewropea, il-Kummissjoni għandha timmonitorja l-validità tal-arranġamenti finanzjarji tar-Repubblika Kirgiża, il-proċeduri amministrattivi u l-mekkaniżmi ta’ kontroll intern u estern li huma rilevanti għal din l-għajnuna u ż-żamma tal-perjodu taż-żmien miftiehem.</w:t>
      </w:r>
    </w:p>
    <w:p w:rsidR="00850491" w:rsidRPr="00A2012C" w:rsidRDefault="00850491" w:rsidP="00091A60">
      <w:pPr>
        <w:pStyle w:val="ManualNumPar1"/>
        <w:spacing w:line="360" w:lineRule="auto"/>
        <w:ind w:left="567" w:hanging="567"/>
        <w:rPr>
          <w:i/>
          <w:noProof/>
        </w:rPr>
      </w:pPr>
      <w:r w:rsidRPr="00A2012C">
        <w:rPr>
          <w:noProof/>
        </w:rPr>
        <w:t>3.</w:t>
      </w:r>
      <w:r w:rsidRPr="00A2012C">
        <w:rPr>
          <w:noProof/>
        </w:rPr>
        <w:tab/>
        <w:t xml:space="preserve">Il-Kummissjoni għandha tivverifika, f’intervalli regolari, li l-politiki ekonomiċi tar-Repubblika Kirgiża jkunu skont l-għanijiet tal-għajnuna makrofinanzjarja tal-Unjoni u li l-kundizzjonijiet miftehma tal-politika ekonomika jkunu qegħdin jiġu ssodisfati b’mod sodisfaċenti. Hija u tagħmel dan, il-Kummissjoni għandha tikkoordina mill-qrib mal-FMI u mal-Bank Dinji u, fejn ikun meħtieġ, mal-Kumitat Ekonomiku u Finanzjarju. </w:t>
      </w:r>
    </w:p>
    <w:p w:rsidR="00850491" w:rsidRPr="00A2012C" w:rsidRDefault="00091A60" w:rsidP="00850491">
      <w:pPr>
        <w:pStyle w:val="Titrearticle"/>
        <w:outlineLvl w:val="0"/>
        <w:rPr>
          <w:i w:val="0"/>
          <w:noProof/>
        </w:rPr>
      </w:pPr>
      <w:r w:rsidRPr="00A2012C">
        <w:rPr>
          <w:i w:val="0"/>
          <w:noProof/>
        </w:rPr>
        <w:br w:type="page"/>
      </w:r>
      <w:r w:rsidR="00850491" w:rsidRPr="00A2012C">
        <w:rPr>
          <w:i w:val="0"/>
          <w:noProof/>
        </w:rPr>
        <w:lastRenderedPageBreak/>
        <w:t>Artikolu 3</w:t>
      </w:r>
    </w:p>
    <w:p w:rsidR="00850491" w:rsidRPr="00A2012C" w:rsidRDefault="00850491" w:rsidP="00091A60">
      <w:pPr>
        <w:pStyle w:val="ManualNumPar1"/>
        <w:spacing w:line="360" w:lineRule="auto"/>
        <w:ind w:left="567" w:hanging="567"/>
        <w:rPr>
          <w:noProof/>
        </w:rPr>
      </w:pPr>
      <w:r w:rsidRPr="00A2012C">
        <w:rPr>
          <w:noProof/>
        </w:rPr>
        <w:t>1.</w:t>
      </w:r>
      <w:r w:rsidRPr="00A2012C">
        <w:rPr>
          <w:noProof/>
        </w:rPr>
        <w:tab/>
        <w:t>Suġġetta għall-kundizzjonijiet tal-paragrafu 2, il-Kummissjoni għandha tqiegħed għad-dispożizzjoni tar-Repubblika Kirgiża l-għajnuna finanzjarja tal-Unjoni Ewropea f’żewġ pagamenti parzjali, li kull wieħed minnhom ikun jikkonsisti f’element ta’ għotja u element ta’ self.</w:t>
      </w:r>
      <w:r w:rsidRPr="00A2012C">
        <w:rPr>
          <w:noProof/>
          <w:color w:val="000000"/>
        </w:rPr>
        <w:t xml:space="preserve"> </w:t>
      </w:r>
      <w:r w:rsidRPr="00A2012C">
        <w:rPr>
          <w:noProof/>
        </w:rPr>
        <w:t>Id-daqs ta’ kull pagament parzjali għandu jiġi stabbilit fil-Memorandum ta’ Ftehim.</w:t>
      </w:r>
      <w:r w:rsidRPr="00A2012C">
        <w:rPr>
          <w:noProof/>
          <w:color w:val="000000"/>
        </w:rPr>
        <w:t xml:space="preserve"> </w:t>
      </w:r>
    </w:p>
    <w:p w:rsidR="00850491" w:rsidRPr="00A2012C" w:rsidRDefault="00850491" w:rsidP="00091A60">
      <w:pPr>
        <w:pStyle w:val="ManualNumPar1"/>
        <w:spacing w:line="360" w:lineRule="auto"/>
        <w:ind w:left="567" w:hanging="567"/>
        <w:rPr>
          <w:noProof/>
        </w:rPr>
      </w:pPr>
      <w:r w:rsidRPr="00A2012C">
        <w:rPr>
          <w:noProof/>
        </w:rPr>
        <w:t>2.</w:t>
      </w:r>
      <w:r w:rsidRPr="00A2012C">
        <w:rPr>
          <w:noProof/>
        </w:rPr>
        <w:tab/>
        <w:t>Il-Kummissjoni għandha tiddeċiedi dwar ir-rilaxx tal-pagamenti parzjali, suġġett għall-implimentazzjoni sodisfaċenti tal-kundizzjonijiet tal-politika ekonomika miftehma fil-Memorandum ta’ Ftehim. Il-ħlas tat-tieni pagament parzjali għandu jseħħ mill-inqas tliet xhur wara li jsir l-ewwel pagament parzjali.</w:t>
      </w:r>
    </w:p>
    <w:p w:rsidR="00091A60" w:rsidRPr="00A2012C" w:rsidRDefault="00850491" w:rsidP="00091A60">
      <w:pPr>
        <w:pStyle w:val="ManualNumPar1"/>
        <w:spacing w:line="360" w:lineRule="auto"/>
        <w:ind w:left="567" w:hanging="567"/>
        <w:rPr>
          <w:noProof/>
        </w:rPr>
      </w:pPr>
      <w:r w:rsidRPr="00A2012C">
        <w:rPr>
          <w:noProof/>
        </w:rPr>
        <w:t>3.</w:t>
      </w:r>
      <w:r w:rsidRPr="00A2012C">
        <w:rPr>
          <w:noProof/>
        </w:rPr>
        <w:tab/>
        <w:t>Il-fondi tal-Unjoni Ewropea għandhom jitħallsu lill-Bank Nazzjonali tar-Repubblika Kirgiża. Suġġett għad-dispożizzjonijiet li għandhom jiġu miftehma fil-Memorandum ta’ Ftehim, inkluża konferma tal-ħtiġijiet finanzjarji baġitarji li baqa’, il-fondi tal-Unjoni jistgħu jiġu ttrasferiti lit-Teżor tar-Repubblika Kirgiża bħala l-benefiċjarju finali.</w:t>
      </w:r>
    </w:p>
    <w:p w:rsidR="00850491" w:rsidRPr="00A2012C" w:rsidRDefault="00091A60" w:rsidP="00091A60">
      <w:pPr>
        <w:pStyle w:val="ManualNumPar1"/>
        <w:spacing w:line="360" w:lineRule="auto"/>
        <w:ind w:left="567" w:hanging="567"/>
        <w:jc w:val="center"/>
        <w:rPr>
          <w:noProof/>
        </w:rPr>
      </w:pPr>
      <w:r w:rsidRPr="00A2012C">
        <w:rPr>
          <w:noProof/>
        </w:rPr>
        <w:br w:type="page"/>
      </w:r>
      <w:r w:rsidR="00850491" w:rsidRPr="00A2012C">
        <w:rPr>
          <w:noProof/>
        </w:rPr>
        <w:lastRenderedPageBreak/>
        <w:t>Artikolu 4</w:t>
      </w:r>
    </w:p>
    <w:p w:rsidR="00850491" w:rsidRPr="00A2012C" w:rsidRDefault="00850491" w:rsidP="00091A60">
      <w:pPr>
        <w:pStyle w:val="ManualNumPar1"/>
        <w:spacing w:line="360" w:lineRule="auto"/>
        <w:ind w:left="567" w:hanging="567"/>
        <w:rPr>
          <w:noProof/>
        </w:rPr>
      </w:pPr>
      <w:r w:rsidRPr="00A2012C">
        <w:rPr>
          <w:noProof/>
        </w:rPr>
        <w:t>1.</w:t>
      </w:r>
      <w:r w:rsidRPr="00A2012C">
        <w:rPr>
          <w:noProof/>
        </w:rPr>
        <w:tab/>
        <w:t>L-operazzjonijiet tal-għoti jew tat-teħid ta’ self marbutin mal-komponent ta’ self tal-għajnuna tal-Unjoni Ewropea għandhom isiru fil-munita euro bl-użu tal-istess data tal-valur u m’għandhomx jinvolvu lill-Unjoni Ewropea fit-trasformazzjoni tal-maturitajiet, fi kwalunkwe riskju marbut mar-rata tal-kambju jew mar-rata tal-imgħax, jew fi kwalunkwe riskju kummerċjali ieħor.</w:t>
      </w:r>
    </w:p>
    <w:p w:rsidR="00091A60" w:rsidRPr="00A2012C" w:rsidRDefault="00850491" w:rsidP="00091A60">
      <w:pPr>
        <w:pStyle w:val="ManualNumPar1"/>
        <w:spacing w:line="360" w:lineRule="auto"/>
        <w:ind w:left="567" w:hanging="567"/>
        <w:rPr>
          <w:noProof/>
        </w:rPr>
      </w:pPr>
      <w:r w:rsidRPr="00A2012C">
        <w:rPr>
          <w:noProof/>
        </w:rPr>
        <w:t>2.</w:t>
      </w:r>
      <w:r w:rsidRPr="00A2012C">
        <w:rPr>
          <w:noProof/>
        </w:rPr>
        <w:tab/>
        <w:t xml:space="preserve">Il-Kummissjoni għandha tieħu l-passi meħtieġa, jekk ir-Repubblika Kirgiża titlob dan, biex tiżgura li tiddaħħal klawżola dwar il-ħlas lura kmieni fit-termini u l-kundizzjonijiet tas-self u li din tkun appoġġata minn klawżola korrispondenti fit-termini u l-kundizzjonijiet tal-operazzjonijiet tat-teħid ta’ self. </w:t>
      </w:r>
    </w:p>
    <w:p w:rsidR="00850491" w:rsidRPr="00A2012C" w:rsidRDefault="00091A60" w:rsidP="00091A60">
      <w:pPr>
        <w:pStyle w:val="ManualNumPar1"/>
        <w:spacing w:line="360" w:lineRule="auto"/>
        <w:ind w:left="567" w:hanging="567"/>
        <w:rPr>
          <w:noProof/>
        </w:rPr>
      </w:pPr>
      <w:r w:rsidRPr="00A2012C">
        <w:rPr>
          <w:noProof/>
        </w:rPr>
        <w:br w:type="page"/>
      </w:r>
      <w:r w:rsidR="00850491" w:rsidRPr="00A2012C">
        <w:rPr>
          <w:noProof/>
        </w:rPr>
        <w:lastRenderedPageBreak/>
        <w:t>3.</w:t>
      </w:r>
      <w:r w:rsidR="00850491" w:rsidRPr="00A2012C">
        <w:rPr>
          <w:noProof/>
        </w:rPr>
        <w:tab/>
        <w:t>Fuq talba tar-Repubblika Kirgiża u meta ċ-ċirkustanzi jippermettu titjib fir-rata tal-imgħax tas-self, il-Kummissjoni tista’ tiffinanzja mill-ġdid is-self inizjali kollu jew parti minnu jew tirristruttura l-kundizzjonijiet finanzjarji korrispondenti. L-operazzjonijiet ta’ finanzjament mill-ġdid jew ta’ ristrutturar għandhom jitwettqu skont il-kundizzjonijiet stabbiliti fil-paragrafu 1 u m’għandux ikollhom l-effett li jestendu l-maturità medja tas-self ikkonċernat jew li jżidu l-ammont ta’ kapital pendenti fid-data tal-finanzjament mill-ġdid jew tar-ristrutturar.</w:t>
      </w:r>
    </w:p>
    <w:p w:rsidR="00850491" w:rsidRPr="00A2012C" w:rsidRDefault="00850491" w:rsidP="00091A60">
      <w:pPr>
        <w:pStyle w:val="ManualNumPar1"/>
        <w:spacing w:line="360" w:lineRule="auto"/>
        <w:ind w:left="567" w:hanging="567"/>
        <w:rPr>
          <w:noProof/>
        </w:rPr>
      </w:pPr>
      <w:r w:rsidRPr="00A2012C">
        <w:rPr>
          <w:noProof/>
        </w:rPr>
        <w:t>4.</w:t>
      </w:r>
      <w:r w:rsidRPr="00A2012C">
        <w:rPr>
          <w:noProof/>
        </w:rPr>
        <w:tab/>
        <w:t xml:space="preserve">L-ispejjeż kollha mġarrba mill-Unjoni Ewropea li huma marbutin mal-operazzjonijiet tal-għoti jew tat-teħid ta’ self skont din id-Deċiżjoni għandhom jitħallsu mir-Repubblika Kirgiża. </w:t>
      </w:r>
    </w:p>
    <w:p w:rsidR="00091A60" w:rsidRPr="00A2012C" w:rsidRDefault="00850491" w:rsidP="00091A60">
      <w:pPr>
        <w:pStyle w:val="ManualNumPar1"/>
        <w:spacing w:line="360" w:lineRule="auto"/>
        <w:ind w:left="567" w:hanging="567"/>
        <w:rPr>
          <w:noProof/>
        </w:rPr>
      </w:pPr>
      <w:r w:rsidRPr="00A2012C">
        <w:rPr>
          <w:noProof/>
        </w:rPr>
        <w:t>5.</w:t>
      </w:r>
      <w:r w:rsidRPr="00A2012C">
        <w:rPr>
          <w:noProof/>
        </w:rPr>
        <w:tab/>
        <w:t>Il-Parlament Ewropew u l-Kumitat Ekonomiku u Finanzjarju għandhom jinżammu infurmati dwar l-iżviluppi fl-operazzjonijiet imsemmija fil-paragrafi 2 u 3.</w:t>
      </w:r>
    </w:p>
    <w:p w:rsidR="00850491" w:rsidRPr="00A2012C" w:rsidRDefault="00091A60" w:rsidP="00091A60">
      <w:pPr>
        <w:pStyle w:val="ManualNumPar1"/>
        <w:spacing w:line="360" w:lineRule="auto"/>
        <w:ind w:left="567" w:hanging="567"/>
        <w:jc w:val="center"/>
        <w:rPr>
          <w:noProof/>
        </w:rPr>
      </w:pPr>
      <w:r w:rsidRPr="00A2012C">
        <w:rPr>
          <w:noProof/>
        </w:rPr>
        <w:br w:type="page"/>
      </w:r>
      <w:r w:rsidR="00850491" w:rsidRPr="00A2012C">
        <w:rPr>
          <w:noProof/>
        </w:rPr>
        <w:lastRenderedPageBreak/>
        <w:t>Artikolu 5</w:t>
      </w:r>
    </w:p>
    <w:p w:rsidR="00091A60" w:rsidRPr="00A2012C" w:rsidRDefault="00850491" w:rsidP="00091A60">
      <w:pPr>
        <w:spacing w:before="120" w:after="120" w:line="360" w:lineRule="auto"/>
        <w:jc w:val="both"/>
        <w:rPr>
          <w:noProof/>
          <w:lang w:val="mt-MT"/>
        </w:rPr>
      </w:pPr>
      <w:r w:rsidRPr="00A2012C">
        <w:rPr>
          <w:noProof/>
          <w:lang w:val="mt-MT"/>
        </w:rPr>
        <w:t>L-għajnuna finanzjarja tal-Unjoni Ewropea għandha tiġi implimentata skont id-dispożizzjonijiet tar-Regolament tal-Kunsill (KE, Euratom) Nru 1605/2002 tal-25 ta’ Ġunju 2002 dwar ir-Regolament Finanzjarju applikabbli għall-baġit ġenerali tal-Komunitajiet Ewropej</w:t>
      </w:r>
      <w:r w:rsidRPr="00A2012C">
        <w:rPr>
          <w:rStyle w:val="FootnoteReference"/>
          <w:noProof/>
        </w:rPr>
        <w:footnoteReference w:id="4"/>
      </w:r>
      <w:r w:rsidRPr="00A2012C">
        <w:rPr>
          <w:noProof/>
          <w:lang w:val="mt-MT"/>
        </w:rPr>
        <w:t xml:space="preserve"> u r-regoli ta’ implimentazzjoni tiegħu. B’mod partikulari, il-Memorandum ta’ Ftehim, il-Ftehim tas-Self u l-Ftehim tal-Għotja li għandhom jiġu miftehma mal-awtoritajiet tar-Repubblika Kirgiża għandhom jipprovdu għall-miżuri x-xierqa marbutin mal-prevenzjoni tal-frodi, il-korruzzjoni u irregolaritajiet oħrajn li jaffettwaw l-għajnuna u mal-ġlieda kontrihom. Sabiex tkun żgurata iktar trasparenza fil-ġestjoni u fil-ħlas tal-fondi, il-Memorandum ta’ Ftehim, il-Ftehim tas-Self u l-Ftehim tal-Għotja għandhom jipprovdu wkoll għal kontrolli, inklużi kontrolli u spezzjonijiet fuq il-post, li għandhom jitwettqu mill-Kummissjoni, inkluż mill-Uffiċċju Ewropew ta’ Kontra l-Frodi. Barra minn hekk, dawk id-dokumenti għandhom jipprovdu għal verifiki, inklużi, fejn ikun xieraq, verifiki fuq il-post, mill-Qorti tal-Awdituri.</w:t>
      </w:r>
    </w:p>
    <w:p w:rsidR="00850491" w:rsidRPr="00A2012C" w:rsidRDefault="00091A60" w:rsidP="00091A60">
      <w:pPr>
        <w:spacing w:before="120" w:after="120" w:line="360" w:lineRule="auto"/>
        <w:jc w:val="center"/>
        <w:rPr>
          <w:noProof/>
        </w:rPr>
      </w:pPr>
      <w:r w:rsidRPr="00A2012C">
        <w:rPr>
          <w:noProof/>
          <w:lang w:val="mt-MT"/>
        </w:rPr>
        <w:br w:type="page"/>
      </w:r>
      <w:r w:rsidR="00850491" w:rsidRPr="00A2012C">
        <w:rPr>
          <w:noProof/>
        </w:rPr>
        <w:lastRenderedPageBreak/>
        <w:t>Artikolu 6</w:t>
      </w:r>
    </w:p>
    <w:p w:rsidR="00850491" w:rsidRPr="00A2012C" w:rsidRDefault="00850491" w:rsidP="00091A60">
      <w:pPr>
        <w:pStyle w:val="ManualNumPar1"/>
        <w:spacing w:line="360" w:lineRule="auto"/>
        <w:ind w:left="567" w:hanging="567"/>
        <w:rPr>
          <w:noProof/>
        </w:rPr>
      </w:pPr>
      <w:r w:rsidRPr="00A2012C">
        <w:rPr>
          <w:noProof/>
        </w:rPr>
        <w:t>1.</w:t>
      </w:r>
      <w:r w:rsidRPr="00A2012C">
        <w:rPr>
          <w:noProof/>
        </w:rPr>
        <w:tab/>
        <w:t>Il-Kummissjoni għandha tiġi megħjuna minn kumitat. Dak il-kumitat għandu jkun kumitat skont it-tifsira tar-Regolament (UE) Nru 182/2011.</w:t>
      </w:r>
    </w:p>
    <w:p w:rsidR="00091A60" w:rsidRPr="00A2012C" w:rsidRDefault="00850491" w:rsidP="00091A60">
      <w:pPr>
        <w:pStyle w:val="ManualNumPar1"/>
        <w:spacing w:line="360" w:lineRule="auto"/>
        <w:ind w:left="567" w:hanging="567"/>
        <w:rPr>
          <w:noProof/>
        </w:rPr>
      </w:pPr>
      <w:r w:rsidRPr="00A2012C">
        <w:rPr>
          <w:noProof/>
        </w:rPr>
        <w:t>2.</w:t>
      </w:r>
      <w:r w:rsidRPr="00A2012C">
        <w:rPr>
          <w:noProof/>
        </w:rPr>
        <w:tab/>
        <w:t>Meta ssir referenza għal dan il-paragrafu, għandu japplika l-Artikolu 4 tar-Regolament (UE) Nru 182/2011.</w:t>
      </w:r>
    </w:p>
    <w:p w:rsidR="00850491" w:rsidRPr="00A2012C" w:rsidRDefault="00091A60" w:rsidP="00091A60">
      <w:pPr>
        <w:pStyle w:val="ManualNumPar1"/>
        <w:spacing w:line="360" w:lineRule="auto"/>
        <w:ind w:left="567" w:hanging="567"/>
        <w:jc w:val="center"/>
        <w:rPr>
          <w:noProof/>
        </w:rPr>
      </w:pPr>
      <w:r w:rsidRPr="00A2012C">
        <w:rPr>
          <w:noProof/>
        </w:rPr>
        <w:br w:type="page"/>
      </w:r>
      <w:r w:rsidR="00850491" w:rsidRPr="00A2012C">
        <w:rPr>
          <w:noProof/>
        </w:rPr>
        <w:lastRenderedPageBreak/>
        <w:t>Artikolu 7</w:t>
      </w:r>
    </w:p>
    <w:p w:rsidR="00850491" w:rsidRPr="00A2012C" w:rsidRDefault="00850491" w:rsidP="00091A60">
      <w:pPr>
        <w:pStyle w:val="ManualNumPar1"/>
        <w:spacing w:line="360" w:lineRule="auto"/>
        <w:ind w:left="567" w:hanging="567"/>
        <w:rPr>
          <w:noProof/>
        </w:rPr>
      </w:pPr>
      <w:r w:rsidRPr="00A2012C">
        <w:rPr>
          <w:noProof/>
        </w:rPr>
        <w:t>1.</w:t>
      </w:r>
      <w:r w:rsidRPr="00A2012C">
        <w:rPr>
          <w:noProof/>
        </w:rPr>
        <w:tab/>
        <w:t xml:space="preserve">Sat-30 ta’ Ġunju ta’ kull sena, il-Kummissjoni għandha tibgħat lill-Parlament Ewropew u lill-Kunsill rapport dwar l-implimentazzjoni ta’ din id-Deċiżjoni fis-sena ta’ qabel, inkluża evalwazzjoni ta’ din l-implimentazzjoni. Ir-rapport għandu jindika r-rabta bejn il-kundizzjonijiet ta’ politika ekonomika kif stabbiliti fil-Memorandum ta’ Ftehim, il-prestazzjoni ekonomika u fiskali li tkun għaddejja tar-Repubblika Kirgiża u d-deċiżjonijiet tal-Kummissjoni li tirrilaxxa l-pagamenti parzjali tal-għajnuna. </w:t>
      </w:r>
    </w:p>
    <w:p w:rsidR="00850491" w:rsidRPr="00A2012C" w:rsidRDefault="00850491" w:rsidP="00091A60">
      <w:pPr>
        <w:pStyle w:val="ManualNumPar1"/>
        <w:spacing w:line="360" w:lineRule="auto"/>
        <w:ind w:left="567" w:hanging="567"/>
        <w:rPr>
          <w:noProof/>
        </w:rPr>
      </w:pPr>
      <w:r w:rsidRPr="00A2012C">
        <w:rPr>
          <w:noProof/>
        </w:rPr>
        <w:t>2.</w:t>
      </w:r>
      <w:r w:rsidRPr="00A2012C">
        <w:rPr>
          <w:noProof/>
        </w:rPr>
        <w:tab/>
        <w:t>Sa mhux aktar tard minn sentejn wara li jiskadi l-perjodu ta’ disponibbiltà msemmi fl-</w:t>
      </w:r>
      <w:r w:rsidR="00661E8B" w:rsidRPr="00A2012C">
        <w:rPr>
          <w:noProof/>
        </w:rPr>
        <w:t>Artikolu 1(3</w:t>
      </w:r>
      <w:r w:rsidRPr="00A2012C">
        <w:rPr>
          <w:noProof/>
        </w:rPr>
        <w:t xml:space="preserve">), il-Kummissjoni għandha tibgħat rapport ta’ evalwazzjoni ex post lill-Parlament Ewropew u lill-Kunsill. </w:t>
      </w:r>
    </w:p>
    <w:p w:rsidR="00850491" w:rsidRPr="00A2012C" w:rsidRDefault="00850491" w:rsidP="00091A60">
      <w:pPr>
        <w:pStyle w:val="Titrearticle"/>
        <w:keepNext w:val="0"/>
        <w:spacing w:before="120" w:line="360" w:lineRule="auto"/>
        <w:ind w:left="567" w:hanging="567"/>
        <w:rPr>
          <w:i w:val="0"/>
          <w:noProof/>
        </w:rPr>
      </w:pPr>
      <w:r w:rsidRPr="00A2012C">
        <w:rPr>
          <w:i w:val="0"/>
          <w:noProof/>
        </w:rPr>
        <w:t>Artikolu 8</w:t>
      </w:r>
    </w:p>
    <w:p w:rsidR="00850491" w:rsidRPr="00A2012C" w:rsidRDefault="00850491" w:rsidP="00661E8B">
      <w:pPr>
        <w:spacing w:before="120" w:after="120" w:line="360" w:lineRule="auto"/>
        <w:jc w:val="both"/>
        <w:rPr>
          <w:noProof/>
          <w:lang w:val="mt-MT"/>
        </w:rPr>
      </w:pPr>
      <w:r w:rsidRPr="00A2012C">
        <w:rPr>
          <w:noProof/>
          <w:lang w:val="mt-MT"/>
        </w:rPr>
        <w:t>Din id-Deċiżjoni għandha tidħol fis-seħħ dakinhar tal-pubblikazzjoni tagħha f’</w:t>
      </w:r>
      <w:r w:rsidRPr="00A2012C">
        <w:rPr>
          <w:i/>
          <w:noProof/>
          <w:lang w:val="mt-MT"/>
        </w:rPr>
        <w:t>Il-Ġurnal Uffiċjali tal-Unjoni Ewropea</w:t>
      </w:r>
      <w:r w:rsidRPr="00A2012C">
        <w:rPr>
          <w:noProof/>
          <w:lang w:val="mt-MT"/>
        </w:rPr>
        <w:t>.</w:t>
      </w:r>
    </w:p>
    <w:p w:rsidR="00850491" w:rsidRPr="00A2012C" w:rsidRDefault="00850491" w:rsidP="00091A60">
      <w:pPr>
        <w:pStyle w:val="Fait"/>
        <w:keepNext w:val="0"/>
        <w:spacing w:after="120" w:line="360" w:lineRule="auto"/>
        <w:ind w:left="567" w:hanging="567"/>
        <w:rPr>
          <w:noProof/>
        </w:rPr>
      </w:pPr>
      <w:r w:rsidRPr="00A2012C">
        <w:rPr>
          <w:noProof/>
        </w:rPr>
        <w:t xml:space="preserve">Magħmul fi </w:t>
      </w:r>
    </w:p>
    <w:p w:rsidR="00C854AB" w:rsidRPr="00A2012C" w:rsidRDefault="00C854AB" w:rsidP="00C854AB">
      <w:pPr>
        <w:pStyle w:val="Institutionquisigne"/>
      </w:pPr>
    </w:p>
    <w:p w:rsidR="00C854AB" w:rsidRPr="00A2012C" w:rsidRDefault="00C854AB" w:rsidP="00C854AB">
      <w:pPr>
        <w:pStyle w:val="Personnequisigne"/>
      </w:pPr>
    </w:p>
    <w:p w:rsidR="00850491" w:rsidRPr="00A2012C" w:rsidRDefault="00850491" w:rsidP="00091A60">
      <w:pPr>
        <w:pStyle w:val="Institutionquisigne"/>
        <w:keepNext w:val="0"/>
        <w:spacing w:before="120" w:after="120" w:line="360" w:lineRule="auto"/>
        <w:ind w:left="567" w:hanging="567"/>
        <w:rPr>
          <w:noProof/>
        </w:rPr>
      </w:pPr>
      <w:r w:rsidRPr="00A2012C">
        <w:rPr>
          <w:noProof/>
        </w:rPr>
        <w:t>Għall-Parlament Ewropew</w:t>
      </w:r>
      <w:r w:rsidRPr="00A2012C">
        <w:rPr>
          <w:noProof/>
        </w:rPr>
        <w:tab/>
      </w:r>
      <w:r w:rsidR="00091A60" w:rsidRPr="00A2012C">
        <w:rPr>
          <w:noProof/>
        </w:rPr>
        <w:tab/>
      </w:r>
      <w:r w:rsidR="00091A60" w:rsidRPr="00A2012C">
        <w:rPr>
          <w:noProof/>
        </w:rPr>
        <w:tab/>
      </w:r>
      <w:r w:rsidRPr="00A2012C">
        <w:rPr>
          <w:noProof/>
        </w:rPr>
        <w:t>Għall-Kunsill</w:t>
      </w:r>
    </w:p>
    <w:p w:rsidR="00850491" w:rsidRPr="00EC7920" w:rsidRDefault="00850491" w:rsidP="00091A60">
      <w:pPr>
        <w:pStyle w:val="Personnequisigne"/>
        <w:spacing w:before="120" w:after="120" w:line="360" w:lineRule="auto"/>
        <w:ind w:left="567" w:hanging="567"/>
        <w:jc w:val="both"/>
        <w:rPr>
          <w:noProof/>
        </w:rPr>
      </w:pPr>
      <w:bookmarkStart w:id="10" w:name="_CopyToNewDocument_"/>
      <w:r w:rsidRPr="00A2012C">
        <w:rPr>
          <w:noProof/>
        </w:rPr>
        <w:t>Il-President</w:t>
      </w:r>
      <w:r w:rsidRPr="00A2012C">
        <w:rPr>
          <w:noProof/>
        </w:rPr>
        <w:tab/>
      </w:r>
      <w:r w:rsidR="00091A60" w:rsidRPr="00A2012C">
        <w:rPr>
          <w:noProof/>
        </w:rPr>
        <w:tab/>
      </w:r>
      <w:r w:rsidR="00091A60" w:rsidRPr="00A2012C">
        <w:rPr>
          <w:noProof/>
        </w:rPr>
        <w:tab/>
        <w:t>Il-President</w:t>
      </w:r>
      <w:r w:rsidR="00091A60">
        <w:rPr>
          <w:noProof/>
        </w:rPr>
        <w:br/>
      </w:r>
      <w:bookmarkEnd w:id="0"/>
      <w:bookmarkEnd w:id="10"/>
    </w:p>
    <w:sectPr w:rsidR="00850491" w:rsidRPr="00EC7920" w:rsidSect="005F63F4">
      <w:footerReference w:type="even" r:id="rId7"/>
      <w:footnotePr>
        <w:numRestart w:val="eachPage"/>
      </w:footnotePr>
      <w:endnotePr>
        <w:numFmt w:val="decimal"/>
      </w:endnotePr>
      <w:type w:val="continuous"/>
      <w:pgSz w:w="11905" w:h="16837" w:code="9"/>
      <w:pgMar w:top="1134" w:right="1247" w:bottom="1814" w:left="1418" w:header="72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F6" w:rsidRDefault="001000F6">
      <w:r>
        <w:separator/>
      </w:r>
    </w:p>
  </w:endnote>
  <w:endnote w:type="continuationSeparator" w:id="0">
    <w:p w:rsidR="001000F6" w:rsidRDefault="0010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A63" w:rsidRDefault="00406A6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F6" w:rsidRDefault="001000F6">
      <w:r>
        <w:separator/>
      </w:r>
    </w:p>
  </w:footnote>
  <w:footnote w:type="continuationSeparator" w:id="0">
    <w:p w:rsidR="001000F6" w:rsidRDefault="001000F6">
      <w:r>
        <w:continuationSeparator/>
      </w:r>
    </w:p>
  </w:footnote>
  <w:footnote w:id="1">
    <w:p w:rsidR="00000000" w:rsidRDefault="00406A63" w:rsidP="00850491">
      <w:pPr>
        <w:pStyle w:val="FootnoteText"/>
      </w:pPr>
      <w:r>
        <w:rPr>
          <w:rStyle w:val="FootnoteReference"/>
        </w:rPr>
        <w:footnoteRef/>
      </w:r>
      <w:r w:rsidRPr="00091A60">
        <w:rPr>
          <w:lang w:val="pl-PL"/>
        </w:rPr>
        <w:tab/>
        <w:t>Pożizzjoni tal-Parlament Ewropew ta</w:t>
      </w:r>
      <w:r>
        <w:rPr>
          <w:lang w:val="pl-PL"/>
        </w:rPr>
        <w:t>l-</w:t>
      </w:r>
      <w:r w:rsidRPr="00091A60">
        <w:rPr>
          <w:lang w:val="pl-PL"/>
        </w:rPr>
        <w:t xml:space="preserve">11 ta 'Diċembru 2012 </w:t>
      </w:r>
    </w:p>
  </w:footnote>
  <w:footnote w:id="2">
    <w:p w:rsidR="00000000" w:rsidRDefault="00406A63" w:rsidP="00850491">
      <w:pPr>
        <w:pStyle w:val="FootnoteText"/>
      </w:pPr>
      <w:r>
        <w:rPr>
          <w:rStyle w:val="FootnoteReference"/>
        </w:rPr>
        <w:footnoteRef/>
      </w:r>
      <w:r w:rsidRPr="00EC7920">
        <w:tab/>
      </w:r>
      <w:r>
        <w:t>ĠU L 55, 28.2.2011, p. 13.</w:t>
      </w:r>
    </w:p>
  </w:footnote>
  <w:footnote w:id="3">
    <w:p w:rsidR="00000000" w:rsidRDefault="00406A63" w:rsidP="00850491">
      <w:pPr>
        <w:pStyle w:val="FootnoteText"/>
      </w:pPr>
      <w:r>
        <w:rPr>
          <w:rStyle w:val="FootnoteReference"/>
        </w:rPr>
        <w:footnoteRef/>
      </w:r>
      <w:r w:rsidRPr="00EC7920">
        <w:tab/>
      </w:r>
      <w:r>
        <w:t>L-Uffiċċju tar-Rappreżentanza Għolja tan-Nazzjonijiet Uniti għall-pajjiżi l-inqas żviluppati, il-pajjiżi maqtugħin mill-baħar li qegħdin jiżviluppaw u l-istati gżejjer żgħar li qegħdin jiżviluppaw.</w:t>
      </w:r>
    </w:p>
  </w:footnote>
  <w:footnote w:id="4">
    <w:p w:rsidR="00000000" w:rsidRDefault="00406A63" w:rsidP="00850491">
      <w:pPr>
        <w:pStyle w:val="FootnoteText"/>
      </w:pPr>
      <w:r>
        <w:rPr>
          <w:rStyle w:val="FootnoteReference"/>
        </w:rPr>
        <w:footnoteRef/>
      </w:r>
      <w:r>
        <w:tab/>
        <w:t xml:space="preserve">ĠU L 248, 16.9.2002, p. 1.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9C0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680F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0A6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644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B88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722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8B2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661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8E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C0D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1">
    <w:nsid w:val="0B6B413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2">
    <w:nsid w:val="1A2118C2"/>
    <w:multiLevelType w:val="multilevel"/>
    <w:tmpl w:val="13680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3">
    <w:nsid w:val="26B2409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5">
    <w:nsid w:val="4C51729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6">
    <w:nsid w:val="69995580"/>
    <w:multiLevelType w:val="singleLevel"/>
    <w:tmpl w:val="75CC7CBA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7">
    <w:nsid w:val="711167E2"/>
    <w:multiLevelType w:val="multilevel"/>
    <w:tmpl w:val="C3843A7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71FF0C87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9">
    <w:nsid w:val="7ECB7708"/>
    <w:multiLevelType w:val="singleLevel"/>
    <w:tmpl w:val="71B46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8"/>
  </w:num>
  <w:num w:numId="6">
    <w:abstractNumId w:val="15"/>
  </w:num>
  <w:num w:numId="7">
    <w:abstractNumId w:val="14"/>
  </w:num>
  <w:num w:numId="8">
    <w:abstractNumId w:val="19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7-0000/2012"/>
    <w:docVar w:name="dvlangue" w:val="MT"/>
    <w:docVar w:name="dvnumam" w:val="1"/>
    <w:docVar w:name="dvpe" w:val="488.020"/>
    <w:docVar w:name="dvrapporteur" w:val="Rapporteur: "/>
    <w:docVar w:name="dvtitre" w:val="Ri?oluzzjoni le?i?lattiva tal-Parlament Ewropew tal-xx ta' Di?embru 2012 dwar il-proposta g?al deci?joni tal-Parlament Ewropew u tal-Kunsill dwar li tipprovdi g?ajnuna makrofinanzjarja lir-Repubblika Kirgi?a(COM(2011)0925 – C7-0521/2011 – 2011/0458(COD))"/>
  </w:docVars>
  <w:rsids>
    <w:rsidRoot w:val="00B95868"/>
    <w:rsid w:val="0004771B"/>
    <w:rsid w:val="000648D4"/>
    <w:rsid w:val="000818BC"/>
    <w:rsid w:val="00091A60"/>
    <w:rsid w:val="001000F6"/>
    <w:rsid w:val="001262A4"/>
    <w:rsid w:val="002715E3"/>
    <w:rsid w:val="002A3C79"/>
    <w:rsid w:val="002C3ECE"/>
    <w:rsid w:val="00406A63"/>
    <w:rsid w:val="0044225F"/>
    <w:rsid w:val="00565212"/>
    <w:rsid w:val="005F63F4"/>
    <w:rsid w:val="00634AFE"/>
    <w:rsid w:val="00661E8B"/>
    <w:rsid w:val="00675394"/>
    <w:rsid w:val="00850491"/>
    <w:rsid w:val="008D0961"/>
    <w:rsid w:val="008E72CA"/>
    <w:rsid w:val="00944F38"/>
    <w:rsid w:val="00995A7C"/>
    <w:rsid w:val="00A15A54"/>
    <w:rsid w:val="00A2012C"/>
    <w:rsid w:val="00A37D34"/>
    <w:rsid w:val="00B45958"/>
    <w:rsid w:val="00B46BA1"/>
    <w:rsid w:val="00B95868"/>
    <w:rsid w:val="00BB1EDB"/>
    <w:rsid w:val="00BC5A15"/>
    <w:rsid w:val="00BE1BE5"/>
    <w:rsid w:val="00C40795"/>
    <w:rsid w:val="00C854AB"/>
    <w:rsid w:val="00CE5FDE"/>
    <w:rsid w:val="00DC208D"/>
    <w:rsid w:val="00E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20"/>
      <w:ind w:left="510" w:hanging="51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4"/>
      </w:numPr>
      <w:spacing w:before="240" w:after="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4"/>
      </w:numPr>
      <w:spacing w:before="240" w:after="6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7"/>
      </w:numPr>
      <w:spacing w:before="240" w:after="60"/>
      <w:outlineLvl w:val="4"/>
    </w:pPr>
    <w:rPr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fr-FR"/>
    </w:rPr>
  </w:style>
  <w:style w:type="paragraph" w:customStyle="1" w:styleId="ATHeading1">
    <w:name w:val="AT Heading 1"/>
    <w:basedOn w:val="Normal"/>
    <w:next w:val="Normal"/>
    <w:pPr>
      <w:keepNext/>
      <w:keepLines/>
      <w:spacing w:after="120"/>
      <w:outlineLvl w:val="0"/>
    </w:pPr>
    <w:rPr>
      <w:b/>
      <w:noProof/>
      <w:sz w:val="28"/>
    </w:rPr>
  </w:style>
  <w:style w:type="paragraph" w:customStyle="1" w:styleId="ATHeading2">
    <w:name w:val="AT Heading 2"/>
    <w:basedOn w:val="Normal"/>
    <w:next w:val="Normal"/>
    <w:pPr>
      <w:spacing w:before="120" w:after="120"/>
      <w:outlineLvl w:val="1"/>
    </w:pPr>
    <w:rPr>
      <w:b/>
      <w:noProof/>
      <w:sz w:val="28"/>
    </w:rPr>
  </w:style>
  <w:style w:type="paragraph" w:customStyle="1" w:styleId="ATHeading3">
    <w:name w:val="AT Heading 3"/>
    <w:basedOn w:val="Normal"/>
    <w:next w:val="Normal"/>
    <w:pPr>
      <w:keepNext/>
      <w:keepLines/>
      <w:spacing w:before="120" w:after="120"/>
      <w:outlineLvl w:val="2"/>
    </w:pPr>
    <w:rPr>
      <w:b/>
      <w:noProof/>
    </w:rPr>
  </w:style>
  <w:style w:type="paragraph" w:customStyle="1" w:styleId="ATHeading4">
    <w:name w:val="AT Heading 4"/>
    <w:basedOn w:val="Normal"/>
    <w:next w:val="Normal"/>
    <w:pPr>
      <w:keepNext/>
      <w:keepLines/>
      <w:spacing w:before="120" w:after="120"/>
    </w:pPr>
    <w:rPr>
      <w:b/>
      <w:i/>
      <w:noProof/>
    </w:rPr>
  </w:style>
  <w:style w:type="paragraph" w:customStyle="1" w:styleId="ATHeading5">
    <w:name w:val="AT Heading 5"/>
    <w:basedOn w:val="Normal"/>
    <w:next w:val="Normal"/>
    <w:pPr>
      <w:keepNext/>
      <w:keepLines/>
      <w:spacing w:before="120" w:after="120"/>
    </w:pPr>
    <w:rPr>
      <w:i/>
      <w:noProof/>
    </w:rPr>
  </w:style>
  <w:style w:type="paragraph" w:customStyle="1" w:styleId="ATHeadingMotiv">
    <w:name w:val="AT Heading Motiv"/>
    <w:basedOn w:val="Normal"/>
    <w:next w:val="Normal"/>
    <w:pPr>
      <w:keepNext/>
      <w:spacing w:before="60" w:after="60"/>
      <w:jc w:val="center"/>
    </w:pPr>
    <w:rPr>
      <w:i/>
    </w:rPr>
  </w:style>
  <w:style w:type="paragraph" w:customStyle="1" w:styleId="ATTOCTitle">
    <w:name w:val="AT TOC Title"/>
    <w:basedOn w:val="Normal"/>
    <w:pPr>
      <w:keepNext/>
      <w:keepLines/>
      <w:spacing w:after="240"/>
      <w:jc w:val="center"/>
    </w:pPr>
    <w:rPr>
      <w:b/>
      <w:caps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9639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val="fr-FR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40795"/>
    <w:pPr>
      <w:keepLines/>
      <w:spacing w:line="260" w:lineRule="exact"/>
      <w:ind w:left="425" w:hanging="425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val="fr-FR"/>
    </w:rPr>
  </w:style>
  <w:style w:type="paragraph" w:customStyle="1" w:styleId="Numroamendement">
    <w:name w:val="Numéro amendement"/>
    <w:basedOn w:val="Normal"/>
    <w:next w:val="Normal"/>
    <w:pPr>
      <w:widowControl w:val="0"/>
      <w:jc w:val="center"/>
    </w:pPr>
    <w:rPr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pPr>
      <w:keepNext/>
      <w:keepLines/>
      <w:spacing w:before="2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semiHidden/>
    <w:pPr>
      <w:keepNext/>
      <w:keepLines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semiHidden/>
    <w:pPr>
      <w:keepLines/>
      <w:ind w:right="510"/>
    </w:pPr>
    <w:rPr>
      <w:noProof/>
    </w:rPr>
  </w:style>
  <w:style w:type="paragraph" w:customStyle="1" w:styleId="ATHeading6">
    <w:name w:val="AT Heading 6"/>
    <w:basedOn w:val="Normal"/>
    <w:next w:val="Normal"/>
    <w:pPr>
      <w:keepNext/>
      <w:keepLines/>
      <w:spacing w:before="120" w:after="120"/>
    </w:pPr>
    <w:rPr>
      <w:smallCaps/>
      <w:noProof/>
    </w:rPr>
  </w:style>
  <w:style w:type="paragraph" w:customStyle="1" w:styleId="Normal12">
    <w:name w:val="Normal12"/>
    <w:basedOn w:val="Normal"/>
    <w:rsid w:val="002C3ECE"/>
    <w:pPr>
      <w:widowControl w:val="0"/>
      <w:spacing w:after="240"/>
    </w:pPr>
    <w:rPr>
      <w:lang w:val="mt-MT"/>
    </w:rPr>
  </w:style>
  <w:style w:type="paragraph" w:customStyle="1" w:styleId="Normal6">
    <w:name w:val="Normal6"/>
    <w:basedOn w:val="Normal"/>
    <w:rsid w:val="002C3ECE"/>
    <w:pPr>
      <w:widowControl w:val="0"/>
      <w:spacing w:after="120"/>
    </w:pPr>
    <w:rPr>
      <w:lang w:val="mt-MT"/>
    </w:rPr>
  </w:style>
  <w:style w:type="paragraph" w:customStyle="1" w:styleId="NormalBold">
    <w:name w:val="NormalBold"/>
    <w:basedOn w:val="Normal"/>
    <w:rsid w:val="002C3ECE"/>
    <w:pPr>
      <w:widowControl w:val="0"/>
    </w:pPr>
    <w:rPr>
      <w:b/>
      <w:lang w:val="mt-MT"/>
    </w:rPr>
  </w:style>
  <w:style w:type="paragraph" w:customStyle="1" w:styleId="Normal12Bold">
    <w:name w:val="Normal12Bold"/>
    <w:basedOn w:val="Normal12"/>
    <w:rsid w:val="002C3ECE"/>
    <w:rPr>
      <w:b/>
    </w:rPr>
  </w:style>
  <w:style w:type="paragraph" w:customStyle="1" w:styleId="Normal12Hanging">
    <w:name w:val="Normal12Hanging"/>
    <w:basedOn w:val="Normal12"/>
    <w:rsid w:val="002C3ECE"/>
    <w:pPr>
      <w:ind w:left="357" w:hanging="357"/>
    </w:pPr>
  </w:style>
  <w:style w:type="paragraph" w:customStyle="1" w:styleId="ColumnHeading">
    <w:name w:val="ColumnHeading"/>
    <w:basedOn w:val="Normal"/>
    <w:rsid w:val="002C3ECE"/>
    <w:pPr>
      <w:widowControl w:val="0"/>
      <w:spacing w:after="240"/>
      <w:jc w:val="center"/>
    </w:pPr>
    <w:rPr>
      <w:i/>
      <w:lang w:val="mt-MT"/>
    </w:rPr>
  </w:style>
  <w:style w:type="paragraph" w:customStyle="1" w:styleId="AMNumberTabs">
    <w:name w:val="AMNumberTabs"/>
    <w:basedOn w:val="Normal"/>
    <w:rsid w:val="002C3ECE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lang w:val="mt-MT"/>
    </w:rPr>
  </w:style>
  <w:style w:type="paragraph" w:customStyle="1" w:styleId="NormalBold12b">
    <w:name w:val="NormalBold12b"/>
    <w:basedOn w:val="Normal"/>
    <w:rsid w:val="002C3ECE"/>
    <w:pPr>
      <w:widowControl w:val="0"/>
      <w:spacing w:before="240"/>
    </w:pPr>
    <w:rPr>
      <w:b/>
      <w:lang w:val="mt-MT"/>
    </w:rPr>
  </w:style>
  <w:style w:type="paragraph" w:styleId="BalloonText">
    <w:name w:val="Balloon Text"/>
    <w:basedOn w:val="Normal"/>
    <w:link w:val="BalloonTextChar"/>
    <w:uiPriority w:val="99"/>
    <w:rsid w:val="00BC5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5A15"/>
    <w:rPr>
      <w:rFonts w:ascii="Tahoma" w:hAnsi="Tahoma"/>
      <w:sz w:val="16"/>
      <w:lang w:val="fr-FR" w:eastAsia="x-none"/>
    </w:rPr>
  </w:style>
  <w:style w:type="paragraph" w:customStyle="1" w:styleId="NumPar1">
    <w:name w:val="NumPar 1"/>
    <w:basedOn w:val="Normal"/>
    <w:next w:val="Normal"/>
    <w:rsid w:val="00850491"/>
    <w:pPr>
      <w:numPr>
        <w:numId w:val="20"/>
      </w:numPr>
      <w:spacing w:before="120" w:after="120"/>
      <w:jc w:val="both"/>
    </w:pPr>
    <w:rPr>
      <w:szCs w:val="24"/>
      <w:lang w:val="mt-MT" w:eastAsia="en-US"/>
    </w:rPr>
  </w:style>
  <w:style w:type="paragraph" w:customStyle="1" w:styleId="NumPar2">
    <w:name w:val="NumPar 2"/>
    <w:basedOn w:val="Normal"/>
    <w:next w:val="Normal"/>
    <w:rsid w:val="00850491"/>
    <w:pPr>
      <w:numPr>
        <w:ilvl w:val="1"/>
        <w:numId w:val="20"/>
      </w:numPr>
      <w:spacing w:before="120" w:after="120"/>
      <w:jc w:val="both"/>
    </w:pPr>
    <w:rPr>
      <w:szCs w:val="24"/>
      <w:lang w:val="mt-MT" w:eastAsia="en-US"/>
    </w:rPr>
  </w:style>
  <w:style w:type="paragraph" w:customStyle="1" w:styleId="NumPar3">
    <w:name w:val="NumPar 3"/>
    <w:basedOn w:val="Normal"/>
    <w:next w:val="Normal"/>
    <w:rsid w:val="00850491"/>
    <w:pPr>
      <w:numPr>
        <w:ilvl w:val="2"/>
        <w:numId w:val="20"/>
      </w:numPr>
      <w:spacing w:before="120" w:after="120"/>
      <w:jc w:val="both"/>
    </w:pPr>
    <w:rPr>
      <w:szCs w:val="24"/>
      <w:lang w:val="mt-MT" w:eastAsia="en-US"/>
    </w:rPr>
  </w:style>
  <w:style w:type="paragraph" w:customStyle="1" w:styleId="NumPar4">
    <w:name w:val="NumPar 4"/>
    <w:basedOn w:val="Normal"/>
    <w:next w:val="Normal"/>
    <w:rsid w:val="00850491"/>
    <w:pPr>
      <w:numPr>
        <w:ilvl w:val="3"/>
        <w:numId w:val="20"/>
      </w:numPr>
      <w:spacing w:before="120" w:after="120"/>
      <w:jc w:val="both"/>
    </w:pPr>
    <w:rPr>
      <w:szCs w:val="24"/>
      <w:lang w:val="mt-MT" w:eastAsia="en-US"/>
    </w:rPr>
  </w:style>
  <w:style w:type="paragraph" w:customStyle="1" w:styleId="ManualNumPar1">
    <w:name w:val="Manual NumPar 1"/>
    <w:basedOn w:val="Normal"/>
    <w:next w:val="Normal"/>
    <w:rsid w:val="00850491"/>
    <w:pPr>
      <w:spacing w:before="120" w:after="120"/>
      <w:ind w:left="850" w:hanging="850"/>
      <w:jc w:val="both"/>
    </w:pPr>
    <w:rPr>
      <w:szCs w:val="24"/>
      <w:lang w:val="mt-MT" w:eastAsia="en-US"/>
    </w:rPr>
  </w:style>
  <w:style w:type="paragraph" w:customStyle="1" w:styleId="ManualHeading1">
    <w:name w:val="Manual Heading 1"/>
    <w:basedOn w:val="Normal"/>
    <w:next w:val="Normal"/>
    <w:rsid w:val="0085049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szCs w:val="24"/>
      <w:lang w:val="mt-MT" w:eastAsia="en-US"/>
    </w:rPr>
  </w:style>
  <w:style w:type="paragraph" w:customStyle="1" w:styleId="ManualHeading2">
    <w:name w:val="Manual Heading 2"/>
    <w:basedOn w:val="Normal"/>
    <w:next w:val="Normal"/>
    <w:rsid w:val="00850491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szCs w:val="24"/>
      <w:lang w:val="mt-MT" w:eastAsia="en-US"/>
    </w:rPr>
  </w:style>
  <w:style w:type="paragraph" w:customStyle="1" w:styleId="ManualHeading3">
    <w:name w:val="Manual Heading 3"/>
    <w:basedOn w:val="Normal"/>
    <w:next w:val="Normal"/>
    <w:rsid w:val="00850491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szCs w:val="24"/>
      <w:lang w:val="mt-MT" w:eastAsia="en-US"/>
    </w:rPr>
  </w:style>
  <w:style w:type="paragraph" w:customStyle="1" w:styleId="Considrant">
    <w:name w:val="Considérant"/>
    <w:basedOn w:val="Normal"/>
    <w:rsid w:val="00850491"/>
    <w:pPr>
      <w:numPr>
        <w:numId w:val="21"/>
      </w:numPr>
      <w:spacing w:before="120" w:after="120"/>
      <w:jc w:val="both"/>
    </w:pPr>
    <w:rPr>
      <w:szCs w:val="24"/>
      <w:lang w:val="mt-MT" w:eastAsia="en-US"/>
    </w:rPr>
  </w:style>
  <w:style w:type="paragraph" w:customStyle="1" w:styleId="Fait">
    <w:name w:val="Fait à"/>
    <w:basedOn w:val="Normal"/>
    <w:next w:val="Institutionquisigne"/>
    <w:rsid w:val="00850491"/>
    <w:pPr>
      <w:keepNext/>
      <w:spacing w:before="120"/>
      <w:jc w:val="both"/>
    </w:pPr>
    <w:rPr>
      <w:szCs w:val="24"/>
      <w:lang w:val="mt-MT" w:eastAsia="en-US"/>
    </w:rPr>
  </w:style>
  <w:style w:type="paragraph" w:customStyle="1" w:styleId="Formuledadoption">
    <w:name w:val="Formule d'adoption"/>
    <w:basedOn w:val="Normal"/>
    <w:next w:val="Titrearticle"/>
    <w:rsid w:val="00850491"/>
    <w:pPr>
      <w:keepNext/>
      <w:spacing w:before="120" w:after="120"/>
      <w:jc w:val="both"/>
    </w:pPr>
    <w:rPr>
      <w:szCs w:val="24"/>
      <w:lang w:val="mt-MT" w:eastAsia="en-US"/>
    </w:rPr>
  </w:style>
  <w:style w:type="paragraph" w:customStyle="1" w:styleId="Institutionquiagit">
    <w:name w:val="Institution qui agit"/>
    <w:basedOn w:val="Normal"/>
    <w:next w:val="Normal"/>
    <w:rsid w:val="00850491"/>
    <w:pPr>
      <w:keepNext/>
      <w:spacing w:before="600" w:after="120"/>
      <w:jc w:val="both"/>
    </w:pPr>
    <w:rPr>
      <w:szCs w:val="24"/>
      <w:lang w:val="mt-MT" w:eastAsia="en-US"/>
    </w:rPr>
  </w:style>
  <w:style w:type="paragraph" w:customStyle="1" w:styleId="Institutionquisigne">
    <w:name w:val="Institution qui signe"/>
    <w:basedOn w:val="Normal"/>
    <w:next w:val="Personnequisigne"/>
    <w:rsid w:val="00850491"/>
    <w:pPr>
      <w:keepNext/>
      <w:tabs>
        <w:tab w:val="left" w:pos="4252"/>
      </w:tabs>
      <w:spacing w:before="720"/>
      <w:jc w:val="both"/>
    </w:pPr>
    <w:rPr>
      <w:i/>
      <w:szCs w:val="24"/>
      <w:lang w:val="mt-MT" w:eastAsia="en-US"/>
    </w:rPr>
  </w:style>
  <w:style w:type="paragraph" w:customStyle="1" w:styleId="Personnequisigne">
    <w:name w:val="Personne qui signe"/>
    <w:basedOn w:val="Normal"/>
    <w:next w:val="Institutionquisigne"/>
    <w:rsid w:val="00850491"/>
    <w:pPr>
      <w:tabs>
        <w:tab w:val="left" w:pos="4252"/>
      </w:tabs>
    </w:pPr>
    <w:rPr>
      <w:i/>
      <w:szCs w:val="24"/>
      <w:lang w:val="mt-MT" w:eastAsia="en-US"/>
    </w:rPr>
  </w:style>
  <w:style w:type="paragraph" w:customStyle="1" w:styleId="Rfrenceinterinstitutionnelle">
    <w:name w:val="Référence interinstitutionnelle"/>
    <w:basedOn w:val="Normal"/>
    <w:next w:val="Statut"/>
    <w:rsid w:val="00850491"/>
    <w:pPr>
      <w:ind w:left="5103"/>
    </w:pPr>
    <w:rPr>
      <w:szCs w:val="24"/>
      <w:lang w:val="mt-MT" w:eastAsia="en-US"/>
    </w:rPr>
  </w:style>
  <w:style w:type="paragraph" w:customStyle="1" w:styleId="Statut">
    <w:name w:val="Statut"/>
    <w:basedOn w:val="Normal"/>
    <w:next w:val="Typedudocument"/>
    <w:rsid w:val="00850491"/>
    <w:pPr>
      <w:spacing w:before="360"/>
      <w:jc w:val="center"/>
    </w:pPr>
    <w:rPr>
      <w:szCs w:val="24"/>
      <w:lang w:val="mt-MT" w:eastAsia="en-US"/>
    </w:rPr>
  </w:style>
  <w:style w:type="paragraph" w:customStyle="1" w:styleId="Titrearticle">
    <w:name w:val="Titre article"/>
    <w:basedOn w:val="Normal"/>
    <w:next w:val="Normal"/>
    <w:rsid w:val="00850491"/>
    <w:pPr>
      <w:keepNext/>
      <w:spacing w:before="360" w:after="120"/>
      <w:jc w:val="center"/>
    </w:pPr>
    <w:rPr>
      <w:i/>
      <w:szCs w:val="24"/>
      <w:lang w:val="mt-MT" w:eastAsia="en-US"/>
    </w:rPr>
  </w:style>
  <w:style w:type="paragraph" w:customStyle="1" w:styleId="Titreobjet">
    <w:name w:val="Titre objet"/>
    <w:basedOn w:val="Normal"/>
    <w:next w:val="Normal"/>
    <w:rsid w:val="00850491"/>
    <w:pPr>
      <w:spacing w:before="360" w:after="360"/>
      <w:jc w:val="center"/>
    </w:pPr>
    <w:rPr>
      <w:b/>
      <w:szCs w:val="24"/>
      <w:lang w:val="mt-MT" w:eastAsia="en-US"/>
    </w:rPr>
  </w:style>
  <w:style w:type="paragraph" w:customStyle="1" w:styleId="Typedudocument">
    <w:name w:val="Type du document"/>
    <w:basedOn w:val="Normal"/>
    <w:next w:val="Titreobjet"/>
    <w:rsid w:val="00850491"/>
    <w:pPr>
      <w:spacing w:before="360"/>
      <w:jc w:val="center"/>
    </w:pPr>
    <w:rPr>
      <w:b/>
      <w:szCs w:val="24"/>
      <w:lang w:val="mt-MT" w:eastAsia="en-US"/>
    </w:rPr>
  </w:style>
  <w:style w:type="paragraph" w:customStyle="1" w:styleId="Fichefinanciretitre">
    <w:name w:val="Fiche financière titre"/>
    <w:basedOn w:val="Normal"/>
    <w:next w:val="Normal"/>
    <w:rsid w:val="00850491"/>
    <w:pPr>
      <w:spacing w:before="120" w:after="120"/>
      <w:jc w:val="center"/>
    </w:pPr>
    <w:rPr>
      <w:b/>
      <w:szCs w:val="24"/>
      <w:u w:val="single"/>
      <w:lang w:val="mt-MT" w:eastAsia="en-US"/>
    </w:rPr>
  </w:style>
  <w:style w:type="character" w:styleId="CommentReference">
    <w:name w:val="annotation reference"/>
    <w:basedOn w:val="DefaultParagraphFont"/>
    <w:uiPriority w:val="99"/>
    <w:semiHidden/>
    <w:rsid w:val="00C854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54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fr-FR"/>
    </w:rPr>
  </w:style>
  <w:style w:type="character" w:styleId="Hyperlink">
    <w:name w:val="Hyperlink"/>
    <w:basedOn w:val="DefaultParagraphFont"/>
    <w:uiPriority w:val="99"/>
    <w:rsid w:val="00C854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0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8530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0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ciBRUpr1\pdocep$\DocEP\DOCS\General\TA\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TA.dot</Template>
  <TotalTime>0</TotalTime>
  <Pages>19</Pages>
  <Words>1983</Words>
  <Characters>15685</Characters>
  <Application>Microsoft Office Word</Application>
  <DocSecurity>0</DocSecurity>
  <Lines>130</Lines>
  <Paragraphs>35</Paragraphs>
  <ScaleCrop>false</ScaleCrop>
  <Company>European Parliament</Company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P7_TA-PROV(2012)0000</dc:title>
  <dc:subject/>
  <dc:creator>ZAHRA Ritienne</dc:creator>
  <cp:keywords/>
  <dc:description/>
  <cp:lastModifiedBy>CHAPELANT Sabine</cp:lastModifiedBy>
  <cp:revision>2</cp:revision>
  <cp:lastPrinted>2012-12-18T07:51:00Z</cp:lastPrinted>
  <dcterms:created xsi:type="dcterms:W3CDTF">2014-05-27T08:47:00Z</dcterms:created>
  <dcterms:modified xsi:type="dcterms:W3CDTF">2014-05-27T08:47:00Z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P7_TA(2012)0466_</vt:lpwstr>
  </property>
  <property fmtid="{D5CDD505-2E9C-101B-9397-08002B2CF9AE}" pid="4" name="&lt;Type&gt;">
    <vt:lpwstr>RR</vt:lpwstr>
  </property>
</Properties>
</file>