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CE4" w:rsidRPr="007D30C6" w:rsidRDefault="00F72901" w:rsidP="00B87833">
      <w:pPr>
        <w:pStyle w:val="ATHeading1"/>
        <w:keepNext w:val="0"/>
        <w:keepLines w:val="0"/>
        <w:widowControl w:val="0"/>
        <w:suppressLineNumbers/>
        <w:suppressAutoHyphens/>
        <w:rPr>
          <w:lang w:val="pl-PL"/>
        </w:rPr>
      </w:pPr>
      <w:bookmarkStart w:id="0" w:name="TANumber"/>
      <w:bookmarkStart w:id="1" w:name="_GoBack"/>
      <w:bookmarkEnd w:id="1"/>
      <w:r>
        <w:rPr>
          <w:lang w:val="pl-PL"/>
        </w:rPr>
        <w:t>P7_TA</w:t>
      </w:r>
      <w:r w:rsidR="005E3CE4" w:rsidRPr="007D30C6">
        <w:rPr>
          <w:lang w:val="pl-PL"/>
        </w:rPr>
        <w:t>(2013)00</w:t>
      </w:r>
      <w:bookmarkEnd w:id="0"/>
      <w:r w:rsidR="00473090">
        <w:rPr>
          <w:lang w:val="pl-PL"/>
        </w:rPr>
        <w:t>66</w:t>
      </w:r>
    </w:p>
    <w:p w:rsidR="005E3CE4" w:rsidRPr="007D30C6" w:rsidRDefault="007D30C6" w:rsidP="00B87833">
      <w:pPr>
        <w:pStyle w:val="ATHeading2"/>
        <w:widowControl w:val="0"/>
        <w:suppressLineNumbers/>
        <w:suppressAutoHyphens/>
        <w:rPr>
          <w:lang w:val="pl-PL"/>
        </w:rPr>
      </w:pPr>
      <w:bookmarkStart w:id="2" w:name="Etoiles"/>
      <w:r>
        <w:rPr>
          <w:lang w:val="pl-PL"/>
        </w:rPr>
        <w:t>Alternatywne metody rozstrzygania sporów konsumenckich</w:t>
      </w:r>
      <w:r w:rsidR="005E3CE4" w:rsidRPr="007D30C6">
        <w:rPr>
          <w:lang w:val="pl-PL"/>
        </w:rPr>
        <w:t>***I</w:t>
      </w:r>
      <w:bookmarkEnd w:id="2"/>
    </w:p>
    <w:p w:rsidR="005E3CE4" w:rsidRPr="007D30C6" w:rsidRDefault="007F5E9D" w:rsidP="00B87833">
      <w:pPr>
        <w:widowControl w:val="0"/>
        <w:suppressLineNumbers/>
        <w:suppressAutoHyphens/>
        <w:rPr>
          <w:i/>
          <w:vanish/>
          <w:lang w:val="pl-PL"/>
        </w:rPr>
      </w:pPr>
      <w:r>
        <w:rPr>
          <w:i/>
          <w:lang w:val="pl-PL"/>
        </w:rPr>
        <w:fldChar w:fldCharType="begin"/>
      </w:r>
      <w:r w:rsidR="005E3CE4" w:rsidRPr="007D30C6">
        <w:rPr>
          <w:i/>
          <w:lang w:val="pl-PL"/>
        </w:rPr>
        <w:instrText>tc "(</w:instrText>
      </w:r>
      <w:bookmarkStart w:id="3" w:name="DocNumber"/>
      <w:r w:rsidR="005E3CE4" w:rsidRPr="007D30C6">
        <w:rPr>
          <w:i/>
          <w:lang w:val="pl-PL"/>
        </w:rPr>
        <w:instrText>A7-0280/2012</w:instrText>
      </w:r>
      <w:bookmarkEnd w:id="3"/>
      <w:r w:rsidR="005E3CE4" w:rsidRPr="007D30C6">
        <w:rPr>
          <w:i/>
          <w:lang w:val="pl-PL"/>
        </w:rPr>
        <w:instrText xml:space="preserve"> - Sprawozdawca: Louis Grech)" \l 3 \n&gt;MERGEFORMAT</w:instrText>
      </w:r>
      <w:r>
        <w:rPr>
          <w:i/>
          <w:lang w:val="pl-PL"/>
        </w:rPr>
        <w:fldChar w:fldCharType="end"/>
      </w:r>
    </w:p>
    <w:p w:rsidR="005E3CE4" w:rsidRPr="007D30C6" w:rsidRDefault="005E3CE4" w:rsidP="00B87833">
      <w:pPr>
        <w:widowControl w:val="0"/>
        <w:suppressLineNumbers/>
        <w:suppressAutoHyphens/>
        <w:rPr>
          <w:vanish/>
          <w:lang w:val="pl-PL"/>
        </w:rPr>
      </w:pPr>
      <w:bookmarkStart w:id="4" w:name="Commission"/>
      <w:r w:rsidRPr="007D30C6">
        <w:rPr>
          <w:vanish/>
          <w:lang w:val="pl-PL"/>
        </w:rPr>
        <w:t>Komisja Rynku Wewnętrznego i Ochrony Konsumentów</w:t>
      </w:r>
      <w:bookmarkEnd w:id="4"/>
    </w:p>
    <w:p w:rsidR="005E3CE4" w:rsidRPr="007D30C6" w:rsidRDefault="005E3CE4" w:rsidP="00B87833">
      <w:pPr>
        <w:widowControl w:val="0"/>
        <w:suppressLineNumbers/>
        <w:suppressAutoHyphens/>
        <w:rPr>
          <w:vanish/>
          <w:lang w:val="pl-PL"/>
        </w:rPr>
      </w:pPr>
      <w:bookmarkStart w:id="5" w:name="PE"/>
      <w:r w:rsidRPr="007D30C6">
        <w:rPr>
          <w:vanish/>
          <w:lang w:val="pl-PL"/>
        </w:rPr>
        <w:t>PE487.749</w:t>
      </w:r>
      <w:bookmarkEnd w:id="5"/>
    </w:p>
    <w:p w:rsidR="005E3CE4" w:rsidRPr="007D30C6" w:rsidRDefault="005E3CE4" w:rsidP="00B87833">
      <w:pPr>
        <w:pStyle w:val="ATHeading3"/>
        <w:keepNext w:val="0"/>
        <w:keepLines w:val="0"/>
        <w:widowControl w:val="0"/>
        <w:suppressLineNumbers/>
        <w:suppressAutoHyphens/>
        <w:rPr>
          <w:lang w:val="pl-PL"/>
        </w:rPr>
      </w:pPr>
      <w:bookmarkStart w:id="6" w:name="Sujet"/>
      <w:r w:rsidRPr="007D30C6">
        <w:rPr>
          <w:lang w:val="pl-PL"/>
        </w:rPr>
        <w:t xml:space="preserve">Rezolucja ustawodawcza Parlamentu Europejskiego z dnia </w:t>
      </w:r>
      <w:r w:rsidR="00477073">
        <w:rPr>
          <w:lang w:val="pl-PL"/>
        </w:rPr>
        <w:t>12</w:t>
      </w:r>
      <w:r w:rsidR="007D30C6">
        <w:rPr>
          <w:lang w:val="pl-PL"/>
        </w:rPr>
        <w:t xml:space="preserve"> marca</w:t>
      </w:r>
      <w:r w:rsidRPr="007D30C6">
        <w:rPr>
          <w:lang w:val="pl-PL"/>
        </w:rPr>
        <w:t xml:space="preserve"> 2013 r. w sprawie wniosku dotyczącego dyrektywy Parlamentu Europejskiego i Rady w sprawie alternatywnych metod rozstrzygania sporów konsumenckich oraz zmieniającej rozporządzenie (WE) nr 2006/2004 i</w:t>
      </w:r>
      <w:r w:rsidR="000B390B">
        <w:rPr>
          <w:lang w:val="pl-PL"/>
        </w:rPr>
        <w:t> dyrektywę 2009/22/WE (dyrektywy</w:t>
      </w:r>
      <w:r w:rsidRPr="007D30C6">
        <w:rPr>
          <w:lang w:val="pl-PL"/>
        </w:rPr>
        <w:t xml:space="preserve"> w sprawie ADR w sporach konsumenckich)</w:t>
      </w:r>
      <w:bookmarkEnd w:id="6"/>
      <w:r w:rsidRPr="007D30C6">
        <w:rPr>
          <w:lang w:val="pl-PL"/>
        </w:rPr>
        <w:t xml:space="preserve"> </w:t>
      </w:r>
      <w:bookmarkStart w:id="7" w:name="References"/>
      <w:r w:rsidRPr="007D30C6">
        <w:rPr>
          <w:lang w:val="pl-PL"/>
        </w:rPr>
        <w:t>(COM(2011)0793 – C7-0454/2011– 2011/0373(COD))</w:t>
      </w:r>
      <w:bookmarkEnd w:id="7"/>
    </w:p>
    <w:p w:rsidR="005E3CE4" w:rsidRPr="007D30C6" w:rsidRDefault="005E3CE4" w:rsidP="00B87833">
      <w:pPr>
        <w:widowControl w:val="0"/>
        <w:suppressLineNumbers/>
        <w:suppressAutoHyphens/>
        <w:rPr>
          <w:lang w:val="pl-PL"/>
        </w:rPr>
      </w:pPr>
    </w:p>
    <w:p w:rsidR="002A5037" w:rsidRPr="002A5037" w:rsidRDefault="002A5037" w:rsidP="00B87833">
      <w:pPr>
        <w:pStyle w:val="Normal12Bold"/>
        <w:suppressLineNumbers/>
        <w:suppressAutoHyphens/>
        <w:rPr>
          <w:szCs w:val="24"/>
        </w:rPr>
      </w:pPr>
      <w:bookmarkStart w:id="8" w:name="TextBodyBegin"/>
      <w:bookmarkEnd w:id="8"/>
      <w:r w:rsidRPr="002A5037">
        <w:rPr>
          <w:szCs w:val="24"/>
        </w:rPr>
        <w:t>(Zwykła procedura ustawodawcza: pierwsze czytanie)</w:t>
      </w:r>
    </w:p>
    <w:p w:rsidR="002A5037" w:rsidRPr="002A5037" w:rsidRDefault="002A5037" w:rsidP="00B87833">
      <w:pPr>
        <w:pStyle w:val="Normal12"/>
        <w:suppressLineNumbers/>
        <w:suppressAutoHyphens/>
        <w:rPr>
          <w:i/>
          <w:szCs w:val="24"/>
        </w:rPr>
      </w:pPr>
      <w:r w:rsidRPr="002A5037">
        <w:rPr>
          <w:i/>
          <w:szCs w:val="24"/>
        </w:rPr>
        <w:t>Parlament Europejski,</w:t>
      </w:r>
    </w:p>
    <w:p w:rsidR="002A5037" w:rsidRPr="002A5037" w:rsidRDefault="002A5037" w:rsidP="00B87833">
      <w:pPr>
        <w:pStyle w:val="Normal12Hanging"/>
        <w:suppressLineNumbers/>
        <w:suppressAutoHyphens/>
        <w:rPr>
          <w:szCs w:val="24"/>
        </w:rPr>
      </w:pPr>
      <w:r w:rsidRPr="002A5037">
        <w:rPr>
          <w:i/>
          <w:szCs w:val="24"/>
        </w:rPr>
        <w:t>–</w:t>
      </w:r>
      <w:r w:rsidRPr="002A5037">
        <w:rPr>
          <w:i/>
          <w:szCs w:val="24"/>
        </w:rPr>
        <w:tab/>
      </w:r>
      <w:r w:rsidRPr="002A5037">
        <w:rPr>
          <w:szCs w:val="24"/>
        </w:rPr>
        <w:t>uwzględniając wniosek Komisji skierowan</w:t>
      </w:r>
      <w:r w:rsidR="00F72901">
        <w:rPr>
          <w:szCs w:val="24"/>
        </w:rPr>
        <w:t>y do Parlamentu i Rady (COM(2011</w:t>
      </w:r>
      <w:r w:rsidRPr="002A5037">
        <w:rPr>
          <w:szCs w:val="24"/>
        </w:rPr>
        <w:t>)0793),</w:t>
      </w:r>
    </w:p>
    <w:p w:rsidR="002A5037" w:rsidRPr="002A5037" w:rsidRDefault="002A5037" w:rsidP="00B87833">
      <w:pPr>
        <w:pStyle w:val="Normal12Hanging"/>
        <w:suppressLineNumbers/>
        <w:suppressAutoHyphens/>
        <w:rPr>
          <w:szCs w:val="24"/>
        </w:rPr>
      </w:pPr>
      <w:r w:rsidRPr="002A5037">
        <w:rPr>
          <w:szCs w:val="24"/>
        </w:rPr>
        <w:t>–</w:t>
      </w:r>
      <w:r w:rsidRPr="002A5037">
        <w:rPr>
          <w:szCs w:val="24"/>
        </w:rPr>
        <w:tab/>
        <w:t>uwzględniając art. 294 ust. 2 oraz art. 114 Traktatu o funkcjonowaniu Unii Europejskiej, zgodnie z którymi wniosek został przedstawiony Parlamentowi przez Komisję (C7-0454/2011),</w:t>
      </w:r>
    </w:p>
    <w:p w:rsidR="002A5037" w:rsidRPr="002A5037" w:rsidRDefault="002A5037" w:rsidP="00B87833">
      <w:pPr>
        <w:pStyle w:val="Normal12Hanging"/>
        <w:suppressLineNumbers/>
        <w:suppressAutoHyphens/>
        <w:rPr>
          <w:szCs w:val="24"/>
        </w:rPr>
      </w:pPr>
      <w:r w:rsidRPr="002A5037">
        <w:rPr>
          <w:szCs w:val="24"/>
        </w:rPr>
        <w:t>–</w:t>
      </w:r>
      <w:r w:rsidRPr="002A5037">
        <w:rPr>
          <w:szCs w:val="24"/>
        </w:rPr>
        <w:tab/>
        <w:t>uwzględniając opinię Komisji Prawnej w sprawie proponowanej podstawy prawnej,</w:t>
      </w:r>
    </w:p>
    <w:p w:rsidR="002A5037" w:rsidRPr="002A5037" w:rsidRDefault="002A5037" w:rsidP="00B87833">
      <w:pPr>
        <w:pStyle w:val="Normal12Hanging"/>
        <w:suppressLineNumbers/>
        <w:suppressAutoHyphens/>
        <w:rPr>
          <w:szCs w:val="24"/>
        </w:rPr>
      </w:pPr>
      <w:r w:rsidRPr="002A5037">
        <w:rPr>
          <w:szCs w:val="24"/>
        </w:rPr>
        <w:t>–</w:t>
      </w:r>
      <w:r w:rsidRPr="002A5037">
        <w:rPr>
          <w:szCs w:val="24"/>
        </w:rPr>
        <w:tab/>
        <w:t>uwzględniając art. 294 ust. 3 Traktatu o funkcjonowaniu Unii Europejskiej,</w:t>
      </w:r>
    </w:p>
    <w:p w:rsidR="002A5037" w:rsidRPr="002A5037" w:rsidRDefault="002A5037" w:rsidP="00B87833">
      <w:pPr>
        <w:pStyle w:val="Normal12Hanging"/>
        <w:suppressLineNumbers/>
        <w:suppressAutoHyphens/>
        <w:rPr>
          <w:szCs w:val="24"/>
        </w:rPr>
      </w:pPr>
      <w:r w:rsidRPr="002A5037">
        <w:rPr>
          <w:szCs w:val="24"/>
        </w:rPr>
        <w:t>–</w:t>
      </w:r>
      <w:r w:rsidRPr="002A5037">
        <w:rPr>
          <w:szCs w:val="24"/>
        </w:rPr>
        <w:tab/>
        <w:t>uwzględniając uzasadnione opinie przedstawione – na mocy protokołu nr 2 w sprawie stosowania zasad pomocniczości i proporcjonalności – przez</w:t>
      </w:r>
      <w:r w:rsidR="00994C73">
        <w:rPr>
          <w:szCs w:val="24"/>
        </w:rPr>
        <w:t xml:space="preserve"> niderlandzki Senat</w:t>
      </w:r>
      <w:r w:rsidRPr="002A5037">
        <w:rPr>
          <w:szCs w:val="24"/>
        </w:rPr>
        <w:t xml:space="preserve"> i </w:t>
      </w:r>
      <w:r w:rsidR="00994C73">
        <w:rPr>
          <w:szCs w:val="24"/>
        </w:rPr>
        <w:t xml:space="preserve">niemiecką </w:t>
      </w:r>
      <w:r w:rsidRPr="002A5037">
        <w:rPr>
          <w:szCs w:val="24"/>
        </w:rPr>
        <w:t>Radę Federa</w:t>
      </w:r>
      <w:r w:rsidR="00994C73">
        <w:rPr>
          <w:szCs w:val="24"/>
        </w:rPr>
        <w:t>lną</w:t>
      </w:r>
      <w:r w:rsidRPr="002A5037">
        <w:rPr>
          <w:szCs w:val="24"/>
        </w:rPr>
        <w:t>, w których stwierdzono, że</w:t>
      </w:r>
      <w:r w:rsidR="008D7462">
        <w:rPr>
          <w:szCs w:val="24"/>
        </w:rPr>
        <w:t xml:space="preserve"> projekt aktu ustawodawczego</w:t>
      </w:r>
      <w:r w:rsidRPr="002A5037">
        <w:rPr>
          <w:szCs w:val="24"/>
        </w:rPr>
        <w:t xml:space="preserve"> jest</w:t>
      </w:r>
      <w:r w:rsidR="008D7462">
        <w:rPr>
          <w:szCs w:val="24"/>
        </w:rPr>
        <w:t xml:space="preserve"> niezgodny </w:t>
      </w:r>
      <w:r w:rsidRPr="002A5037">
        <w:rPr>
          <w:szCs w:val="24"/>
        </w:rPr>
        <w:t>z zasadą pomocniczości,</w:t>
      </w:r>
    </w:p>
    <w:p w:rsidR="000C1D15" w:rsidRDefault="002A5037" w:rsidP="00B87833">
      <w:pPr>
        <w:pStyle w:val="Normal12Hanging"/>
        <w:suppressLineNumbers/>
        <w:suppressAutoHyphens/>
        <w:spacing w:after="0"/>
        <w:rPr>
          <w:szCs w:val="24"/>
        </w:rPr>
      </w:pPr>
      <w:r w:rsidRPr="002A5037">
        <w:rPr>
          <w:szCs w:val="24"/>
        </w:rPr>
        <w:t>–</w:t>
      </w:r>
      <w:r w:rsidRPr="002A5037">
        <w:rPr>
          <w:szCs w:val="24"/>
        </w:rPr>
        <w:tab/>
        <w:t>uwzględniając opinię Europejskiego Komitetu Ekonomiczno-Społecznego z dnia 28 marca 2012 r.</w:t>
      </w:r>
      <w:r w:rsidRPr="002A5037">
        <w:rPr>
          <w:rStyle w:val="FootnoteReference"/>
          <w:sz w:val="18"/>
          <w:szCs w:val="24"/>
        </w:rPr>
        <w:footnoteReference w:id="1"/>
      </w:r>
      <w:r w:rsidRPr="002A5037">
        <w:rPr>
          <w:szCs w:val="24"/>
        </w:rPr>
        <w:t>,</w:t>
      </w:r>
    </w:p>
    <w:p w:rsidR="000C1D15" w:rsidRDefault="000C1D15" w:rsidP="00B87833">
      <w:pPr>
        <w:pStyle w:val="Normal12Hanging"/>
        <w:suppressLineNumbers/>
        <w:suppressAutoHyphens/>
        <w:spacing w:after="0"/>
        <w:rPr>
          <w:szCs w:val="24"/>
        </w:rPr>
      </w:pPr>
    </w:p>
    <w:p w:rsidR="000C1D15" w:rsidRDefault="000C1D15" w:rsidP="00B87833">
      <w:pPr>
        <w:pStyle w:val="Normal12Hanging"/>
        <w:suppressLineNumbers/>
        <w:suppressAutoHyphens/>
        <w:spacing w:after="0"/>
        <w:rPr>
          <w:szCs w:val="24"/>
        </w:rPr>
      </w:pPr>
      <w:r w:rsidRPr="002A5037">
        <w:rPr>
          <w:szCs w:val="24"/>
        </w:rPr>
        <w:t>–</w:t>
      </w:r>
      <w:r>
        <w:rPr>
          <w:szCs w:val="24"/>
        </w:rPr>
        <w:tab/>
        <w:t>uwzględniając zobowiązanie przedstawiciela Rady, przekazane pismem z dnia 12 grudnia 2012 r., do zatwierdzenia stanowiska Parlamentu Europejskiego, zgodnie z art. 294 ust. 4 Traktatu o funkcjonowaniu Unii Europejskiej,</w:t>
      </w:r>
    </w:p>
    <w:p w:rsidR="000C1D15" w:rsidRPr="002A5037" w:rsidRDefault="000C1D15" w:rsidP="00B87833">
      <w:pPr>
        <w:pStyle w:val="Normal12Hanging"/>
        <w:suppressLineNumbers/>
        <w:suppressAutoHyphens/>
        <w:spacing w:after="0"/>
        <w:rPr>
          <w:szCs w:val="24"/>
        </w:rPr>
      </w:pPr>
    </w:p>
    <w:p w:rsidR="002A5037" w:rsidRPr="002A5037" w:rsidRDefault="002A5037" w:rsidP="00B87833">
      <w:pPr>
        <w:pStyle w:val="Normal12Hanging"/>
        <w:suppressLineNumbers/>
        <w:suppressAutoHyphens/>
        <w:rPr>
          <w:szCs w:val="24"/>
        </w:rPr>
      </w:pPr>
      <w:r w:rsidRPr="002A5037">
        <w:rPr>
          <w:szCs w:val="24"/>
        </w:rPr>
        <w:t>–</w:t>
      </w:r>
      <w:r w:rsidRPr="002A5037">
        <w:rPr>
          <w:szCs w:val="24"/>
        </w:rPr>
        <w:tab/>
        <w:t>uwzględniając art. 55 i 37 Regulaminu,</w:t>
      </w:r>
    </w:p>
    <w:p w:rsidR="002A5037" w:rsidRPr="002A5037" w:rsidRDefault="002A5037" w:rsidP="00B87833">
      <w:pPr>
        <w:pStyle w:val="Normal12Hanging"/>
        <w:suppressLineNumbers/>
        <w:suppressAutoHyphens/>
        <w:rPr>
          <w:szCs w:val="24"/>
        </w:rPr>
      </w:pPr>
      <w:r w:rsidRPr="002A5037">
        <w:rPr>
          <w:szCs w:val="24"/>
        </w:rPr>
        <w:t>–</w:t>
      </w:r>
      <w:r w:rsidRPr="002A5037">
        <w:rPr>
          <w:szCs w:val="24"/>
        </w:rPr>
        <w:tab/>
        <w:t>uwzględniając sprawozdanie Komisji Rynku Wewnętrznego i Ochrony Konsumentów oraz opinię Komisji Prawnej (A7–0280/2012),</w:t>
      </w:r>
    </w:p>
    <w:p w:rsidR="002A5037" w:rsidRPr="002A5037" w:rsidRDefault="002A5037" w:rsidP="00B87833">
      <w:pPr>
        <w:pStyle w:val="Normal12Hanging"/>
        <w:suppressLineNumbers/>
        <w:suppressAutoHyphens/>
        <w:rPr>
          <w:szCs w:val="24"/>
        </w:rPr>
      </w:pPr>
      <w:r w:rsidRPr="002A5037">
        <w:rPr>
          <w:szCs w:val="24"/>
        </w:rPr>
        <w:t>1.</w:t>
      </w:r>
      <w:r w:rsidRPr="002A5037">
        <w:rPr>
          <w:szCs w:val="24"/>
        </w:rPr>
        <w:tab/>
        <w:t>przyjmuje w pierwszym czytaniu stanowisko określone poniżej;</w:t>
      </w:r>
    </w:p>
    <w:p w:rsidR="002A5037" w:rsidRPr="002A5037" w:rsidRDefault="002A5037" w:rsidP="00B87833">
      <w:pPr>
        <w:pStyle w:val="Normal12Hanging"/>
        <w:suppressLineNumbers/>
        <w:suppressAutoHyphens/>
        <w:rPr>
          <w:szCs w:val="24"/>
        </w:rPr>
      </w:pPr>
      <w:r w:rsidRPr="002A5037">
        <w:rPr>
          <w:szCs w:val="24"/>
        </w:rPr>
        <w:t>2.</w:t>
      </w:r>
      <w:r w:rsidRPr="002A5037">
        <w:rPr>
          <w:szCs w:val="24"/>
        </w:rPr>
        <w:tab/>
        <w:t>Zwraca się do Komisji o ponowne przedłożenie mu sprawy, jeśli uzna ona za stosowne wprowadzenie znaczących zmian do swojego projektu lub zastąpienie go innym tekstem;</w:t>
      </w:r>
    </w:p>
    <w:p w:rsidR="002A5037" w:rsidRPr="002A5037" w:rsidRDefault="002A5037" w:rsidP="00B87833">
      <w:pPr>
        <w:pStyle w:val="Normal12Hanging"/>
        <w:suppressLineNumbers/>
        <w:suppressAutoHyphens/>
        <w:rPr>
          <w:szCs w:val="24"/>
        </w:rPr>
      </w:pPr>
      <w:r w:rsidRPr="002A5037">
        <w:rPr>
          <w:szCs w:val="24"/>
        </w:rPr>
        <w:lastRenderedPageBreak/>
        <w:t>3.</w:t>
      </w:r>
      <w:r w:rsidRPr="002A5037">
        <w:rPr>
          <w:szCs w:val="24"/>
        </w:rPr>
        <w:tab/>
        <w:t>zobowiązuje swojego przewodniczącego do przekazania stanowiska Parlamentu Radzie i Komisji, a także parlamentom narodowym.</w:t>
      </w:r>
    </w:p>
    <w:p w:rsidR="00DB6B56" w:rsidRDefault="00DB6B56" w:rsidP="00B87833">
      <w:pPr>
        <w:widowControl w:val="0"/>
        <w:suppressLineNumbers/>
        <w:suppressAutoHyphens/>
        <w:rPr>
          <w:b/>
          <w:lang w:val="pl-PL"/>
        </w:rPr>
      </w:pPr>
      <w:r w:rsidRPr="00DB6B56">
        <w:rPr>
          <w:szCs w:val="24"/>
          <w:lang w:val="pl-PL"/>
        </w:rPr>
        <w:br w:type="page"/>
      </w:r>
      <w:bookmarkStart w:id="9" w:name="_DV_M1"/>
      <w:r>
        <w:rPr>
          <w:b/>
          <w:lang w:val="pl-PL"/>
        </w:rPr>
        <w:lastRenderedPageBreak/>
        <w:t>P7_TC1-COD(2011)0373</w:t>
      </w:r>
    </w:p>
    <w:p w:rsidR="00DB6B56" w:rsidRDefault="00DB6B56" w:rsidP="00B87833">
      <w:pPr>
        <w:widowControl w:val="0"/>
        <w:suppressLineNumbers/>
        <w:suppressAutoHyphens/>
        <w:rPr>
          <w:b/>
          <w:lang w:val="pl-PL"/>
        </w:rPr>
      </w:pPr>
    </w:p>
    <w:p w:rsidR="00DB6B56" w:rsidRDefault="00DB6B56" w:rsidP="00B87833">
      <w:pPr>
        <w:widowControl w:val="0"/>
        <w:suppressLineNumbers/>
        <w:suppressAutoHyphens/>
        <w:rPr>
          <w:b/>
          <w:bCs/>
          <w:lang w:val="pl-PL"/>
        </w:rPr>
      </w:pPr>
      <w:r>
        <w:rPr>
          <w:b/>
          <w:lang w:val="pl-PL"/>
        </w:rPr>
        <w:t xml:space="preserve">Stanowisko Parlamentu Europejskiego </w:t>
      </w:r>
      <w:r w:rsidRPr="00291A00">
        <w:rPr>
          <w:b/>
          <w:lang w:val="pl-PL"/>
        </w:rPr>
        <w:t xml:space="preserve">przyjęte w pierwszym czytaniu w dniu </w:t>
      </w:r>
      <w:r>
        <w:rPr>
          <w:b/>
          <w:lang w:val="pl-PL"/>
        </w:rPr>
        <w:t>12 marca 2013 r.</w:t>
      </w:r>
      <w:r w:rsidRPr="00291A00">
        <w:rPr>
          <w:b/>
          <w:lang w:val="pl-PL"/>
        </w:rPr>
        <w:t xml:space="preserve"> w celu przyjęcia dyrektywy Parl</w:t>
      </w:r>
      <w:r>
        <w:rPr>
          <w:b/>
          <w:lang w:val="pl-PL"/>
        </w:rPr>
        <w:t>amentu Europejskiego i Rady 2013</w:t>
      </w:r>
      <w:r w:rsidRPr="00291A00">
        <w:rPr>
          <w:b/>
          <w:lang w:val="pl-PL"/>
        </w:rPr>
        <w:t>/.../UE</w:t>
      </w:r>
      <w:bookmarkStart w:id="10" w:name="_DV_M2"/>
      <w:bookmarkEnd w:id="9"/>
      <w:r>
        <w:rPr>
          <w:b/>
          <w:lang w:val="pl-PL"/>
        </w:rPr>
        <w:t xml:space="preserve"> </w:t>
      </w:r>
      <w:r w:rsidRPr="00DB6B56">
        <w:rPr>
          <w:b/>
          <w:bCs/>
          <w:lang w:val="pl-PL"/>
        </w:rPr>
        <w:t>w sprawie alternatywnych metod rozstrzygania sporów konsumenckich oraz zmiany rozporządzenia (WE) nr 2006/2004 i dyrektywy 2009/22/WE (dyrektywa w sprawie ADR w sporach konsumenckich)</w:t>
      </w:r>
    </w:p>
    <w:p w:rsidR="00F72901" w:rsidRDefault="00F72901" w:rsidP="00B87833">
      <w:pPr>
        <w:widowControl w:val="0"/>
        <w:suppressLineNumbers/>
        <w:suppressAutoHyphens/>
        <w:rPr>
          <w:b/>
          <w:bCs/>
          <w:lang w:val="pl-PL"/>
        </w:rPr>
      </w:pPr>
    </w:p>
    <w:p w:rsidR="00F72901" w:rsidRDefault="00F72901" w:rsidP="00B87833">
      <w:pPr>
        <w:pStyle w:val="BlockText"/>
        <w:widowControl w:val="0"/>
        <w:suppressLineNumbers/>
        <w:tabs>
          <w:tab w:val="clear" w:pos="-1134"/>
          <w:tab w:val="clear" w:pos="-114"/>
          <w:tab w:val="clear" w:pos="739"/>
          <w:tab w:val="clear" w:pos="1021"/>
          <w:tab w:val="clear" w:pos="1099"/>
          <w:tab w:val="clear" w:pos="1418"/>
          <w:tab w:val="clear" w:pos="1700"/>
          <w:tab w:val="clear" w:pos="1786"/>
          <w:tab w:val="clear" w:pos="2266"/>
          <w:tab w:val="clear" w:pos="2381"/>
          <w:tab w:val="clear" w:pos="2833"/>
          <w:tab w:val="clear" w:pos="2948"/>
          <w:tab w:val="clear" w:pos="3399"/>
          <w:tab w:val="clear" w:pos="3572"/>
          <w:tab w:val="clear" w:pos="3966"/>
          <w:tab w:val="clear" w:pos="4139"/>
          <w:tab w:val="clear" w:pos="4532"/>
          <w:tab w:val="clear" w:pos="4763"/>
          <w:tab w:val="clear" w:pos="5098"/>
          <w:tab w:val="clear" w:pos="5387"/>
          <w:tab w:val="clear" w:pos="5665"/>
          <w:tab w:val="clear" w:pos="5954"/>
          <w:tab w:val="clear" w:pos="6231"/>
          <w:tab w:val="clear" w:pos="6577"/>
          <w:tab w:val="clear" w:pos="6798"/>
          <w:tab w:val="clear" w:pos="7144"/>
          <w:tab w:val="clear" w:pos="7364"/>
          <w:tab w:val="clear" w:pos="7930"/>
        </w:tabs>
        <w:suppressAutoHyphens/>
        <w:ind w:left="0" w:right="-7"/>
        <w:jc w:val="both"/>
        <w:rPr>
          <w:i/>
          <w:lang w:val="pl-PL"/>
        </w:rPr>
      </w:pPr>
      <w:r w:rsidRPr="0044243D">
        <w:rPr>
          <w:i/>
          <w:lang w:val="pl-PL"/>
        </w:rPr>
        <w:t>(Jako że pomiędzy Parlamentem i Radą osiągnięte zostało porozumienie, stanowisko Parlamentu odpowiada ostatecznej wersji aktu prawnego</w:t>
      </w:r>
      <w:r>
        <w:rPr>
          <w:i/>
          <w:lang w:val="pl-PL"/>
        </w:rPr>
        <w:t>, dyrektywy 2013/11/U</w:t>
      </w:r>
      <w:r w:rsidRPr="003D7927">
        <w:rPr>
          <w:i/>
          <w:lang w:val="pl-PL"/>
        </w:rPr>
        <w:t>E</w:t>
      </w:r>
      <w:r>
        <w:rPr>
          <w:i/>
          <w:lang w:val="pl-PL"/>
        </w:rPr>
        <w:t>.)</w:t>
      </w:r>
    </w:p>
    <w:bookmarkEnd w:id="10"/>
    <w:p w:rsidR="00F72901" w:rsidRPr="00DB6B56" w:rsidRDefault="00F72901" w:rsidP="00B87833">
      <w:pPr>
        <w:widowControl w:val="0"/>
        <w:suppressLineNumbers/>
        <w:suppressAutoHyphens/>
        <w:rPr>
          <w:b/>
          <w:bCs/>
          <w:lang w:val="pl-PL"/>
        </w:rPr>
      </w:pPr>
    </w:p>
    <w:sectPr w:rsidR="00F72901" w:rsidRPr="00DB6B56" w:rsidSect="00AD336B">
      <w:footerReference w:type="even" r:id="rId7"/>
      <w:footnotePr>
        <w:numRestart w:val="eachPage"/>
      </w:footnotePr>
      <w:endnotePr>
        <w:numFmt w:val="decimal"/>
      </w:endnotePr>
      <w:type w:val="continuous"/>
      <w:pgSz w:w="11905" w:h="16837" w:code="9"/>
      <w:pgMar w:top="1134" w:right="1247" w:bottom="1814" w:left="1418" w:header="720" w:footer="39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24B" w:rsidRDefault="0062224B">
      <w:r>
        <w:separator/>
      </w:r>
    </w:p>
  </w:endnote>
  <w:endnote w:type="continuationSeparator" w:id="0">
    <w:p w:rsidR="0062224B" w:rsidRDefault="0062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vice Font 10cpi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ourier New">
    <w:altName w:val="Device Font 10cpi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Device Font 10cpi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0C6" w:rsidRDefault="007D30C6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24B" w:rsidRDefault="0062224B">
      <w:r>
        <w:separator/>
      </w:r>
    </w:p>
  </w:footnote>
  <w:footnote w:type="continuationSeparator" w:id="0">
    <w:p w:rsidR="0062224B" w:rsidRDefault="0062224B">
      <w:r>
        <w:continuationSeparator/>
      </w:r>
    </w:p>
  </w:footnote>
  <w:footnote w:id="1">
    <w:p w:rsidR="00000000" w:rsidRDefault="007D30C6" w:rsidP="002A5037">
      <w:r w:rsidRPr="000C1D15">
        <w:rPr>
          <w:rStyle w:val="FootnoteReference"/>
          <w:szCs w:val="24"/>
        </w:rPr>
        <w:footnoteRef/>
      </w:r>
      <w:r w:rsidRPr="000C1D15">
        <w:rPr>
          <w:szCs w:val="24"/>
        </w:rPr>
        <w:t xml:space="preserve"> </w:t>
      </w:r>
      <w:r w:rsidR="000C1D15">
        <w:rPr>
          <w:szCs w:val="24"/>
        </w:rPr>
        <w:tab/>
        <w:t>Dz.U. C 181, 21.6.2012, s. 93</w:t>
      </w:r>
      <w:r w:rsidRPr="000C1D15">
        <w:rPr>
          <w:szCs w:val="24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9C0D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E680F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10A69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C644D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BB889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5722B7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188B20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8661F6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D18E2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7C0DB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984"/>
        </w:tabs>
        <w:ind w:left="1984" w:hanging="567"/>
      </w:pPr>
      <w:rPr>
        <w:rFonts w:ascii="Symbol" w:hAnsi="Symbol"/>
      </w:rPr>
    </w:lvl>
  </w:abstractNum>
  <w:abstractNum w:abstractNumId="1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417"/>
        </w:tabs>
        <w:ind w:left="1417" w:hanging="567"/>
      </w:pPr>
      <w:rPr>
        <w:rFonts w:ascii="Symbol" w:hAnsi="Symbol"/>
      </w:rPr>
    </w:lvl>
  </w:abstractNum>
  <w:abstractNum w:abstractNumId="13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2551"/>
        </w:tabs>
        <w:ind w:left="2551" w:hanging="567"/>
      </w:pPr>
      <w:rPr>
        <w:rFonts w:ascii="Symbol" w:hAnsi="Symbol"/>
      </w:rPr>
    </w:lvl>
  </w:abstractNum>
  <w:abstractNum w:abstractNumId="14">
    <w:nsid w:val="00000005"/>
    <w:multiLevelType w:val="singleLevel"/>
    <w:tmpl w:val="00000005"/>
    <w:name w:val="WW8Num5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</w:abstractNum>
  <w:abstractNum w:abstractNumId="15">
    <w:nsid w:val="00000006"/>
    <w:multiLevelType w:val="multilevel"/>
    <w:tmpl w:val="00000006"/>
    <w:name w:val="WW8Num6"/>
    <w:lvl w:ilvl="0">
      <w:start w:val="1"/>
      <w:numFmt w:val="decimal"/>
      <w:lvlText w:val="(%1)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lowerLetter"/>
      <w:lvlText w:val="(%2)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lvlText w:val="(%3)"/>
      <w:lvlJc w:val="left"/>
      <w:pPr>
        <w:tabs>
          <w:tab w:val="num" w:pos="1417"/>
        </w:tabs>
        <w:ind w:left="1417" w:hanging="567"/>
      </w:pPr>
      <w:rPr>
        <w:rFonts w:cs="Times New Roman"/>
      </w:rPr>
    </w:lvl>
    <w:lvl w:ilvl="3">
      <w:start w:val="1"/>
      <w:numFmt w:val="lowerLetter"/>
      <w:lvlText w:val="(%4)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4">
      <w:start w:val="1"/>
      <w:numFmt w:val="decimal"/>
      <w:lvlText w:val="(%5)"/>
      <w:lvlJc w:val="left"/>
      <w:pPr>
        <w:tabs>
          <w:tab w:val="num" w:pos="1984"/>
        </w:tabs>
        <w:ind w:left="1984" w:hanging="567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1984"/>
        </w:tabs>
        <w:ind w:left="1984" w:hanging="567"/>
      </w:pPr>
      <w:rPr>
        <w:rFonts w:cs="Times New Roman"/>
      </w:rPr>
    </w:lvl>
    <w:lvl w:ilvl="6">
      <w:start w:val="1"/>
      <w:numFmt w:val="decimal"/>
      <w:lvlText w:val="(%7)"/>
      <w:lvlJc w:val="left"/>
      <w:pPr>
        <w:tabs>
          <w:tab w:val="num" w:pos="2551"/>
        </w:tabs>
        <w:ind w:left="2551" w:hanging="567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2551"/>
        </w:tabs>
        <w:ind w:left="2551" w:hanging="567"/>
      </w:pPr>
      <w:rPr>
        <w:rFonts w:cs="Times New Roman"/>
      </w:rPr>
    </w:lvl>
    <w:lvl w:ilvl="8">
      <w:start w:val="1"/>
      <w:numFmt w:val="lowerLetter"/>
      <w:lvlText w:val="(%9)"/>
      <w:lvlJc w:val="left"/>
      <w:pPr>
        <w:tabs>
          <w:tab w:val="num" w:pos="3118"/>
        </w:tabs>
        <w:ind w:left="3118" w:hanging="567"/>
      </w:pPr>
      <w:rPr>
        <w:rFonts w:cs="Times New Roman"/>
      </w:rPr>
    </w:lvl>
  </w:abstractNum>
  <w:abstractNum w:abstractNumId="1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00000008"/>
    <w:multiLevelType w:val="multilevel"/>
    <w:tmpl w:val="00000008"/>
    <w:name w:val="WW8Num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00000009"/>
    <w:multiLevelType w:val="multilevel"/>
    <w:tmpl w:val="00000009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9">
    <w:nsid w:val="028B30B7"/>
    <w:multiLevelType w:val="hybridMultilevel"/>
    <w:tmpl w:val="48B4A28E"/>
    <w:lvl w:ilvl="0" w:tplc="1438FAA6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04240607"/>
    <w:multiLevelType w:val="hybridMultilevel"/>
    <w:tmpl w:val="CE3A3EBE"/>
    <w:lvl w:ilvl="0" w:tplc="0CAC6D3A">
      <w:start w:val="1"/>
      <w:numFmt w:val="lowerRoman"/>
      <w:lvlText w:val="(%1)"/>
      <w:lvlJc w:val="left"/>
      <w:pPr>
        <w:ind w:left="1429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1">
    <w:nsid w:val="093C6E60"/>
    <w:multiLevelType w:val="multilevel"/>
    <w:tmpl w:val="BC64E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792"/>
      </w:pPr>
      <w:rPr>
        <w:rFonts w:cs="Times New Roman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224"/>
        </w:tabs>
        <w:ind w:left="1224" w:hanging="1224"/>
      </w:pPr>
      <w:rPr>
        <w:rFonts w:cs="Times New Roman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1728"/>
        </w:tabs>
        <w:ind w:left="1728" w:hanging="172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223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27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  <w:rPr>
        <w:rFonts w:cs="Times New Roman"/>
      </w:rPr>
    </w:lvl>
  </w:abstractNum>
  <w:abstractNum w:abstractNumId="22">
    <w:nsid w:val="0B6B4133"/>
    <w:multiLevelType w:val="multilevel"/>
    <w:tmpl w:val="9B6056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22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172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223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27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  <w:rPr>
        <w:rFonts w:cs="Times New Roman"/>
      </w:rPr>
    </w:lvl>
  </w:abstractNum>
  <w:abstractNum w:abstractNumId="23">
    <w:nsid w:val="100368DE"/>
    <w:multiLevelType w:val="hybridMultilevel"/>
    <w:tmpl w:val="AE3A7EB6"/>
    <w:lvl w:ilvl="0" w:tplc="22962292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unga" w:hAnsi="Tunga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15F80D3E"/>
    <w:multiLevelType w:val="multilevel"/>
    <w:tmpl w:val="4DEA6FF2"/>
    <w:lvl w:ilvl="0">
      <w:start w:val="7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37"/>
        </w:tabs>
        <w:ind w:left="1137" w:hanging="57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25">
    <w:nsid w:val="1A2118C2"/>
    <w:multiLevelType w:val="multilevel"/>
    <w:tmpl w:val="136805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22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172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223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27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  <w:rPr>
        <w:rFonts w:cs="Times New Roman"/>
      </w:rPr>
    </w:lvl>
  </w:abstractNum>
  <w:abstractNum w:abstractNumId="26">
    <w:nsid w:val="1D5A4F3E"/>
    <w:multiLevelType w:val="hybridMultilevel"/>
    <w:tmpl w:val="96BA016A"/>
    <w:lvl w:ilvl="0" w:tplc="0CAC6D3A">
      <w:start w:val="1"/>
      <w:numFmt w:val="lowerRoman"/>
      <w:lvlText w:val="(%1)"/>
      <w:lvlJc w:val="left"/>
      <w:pPr>
        <w:ind w:left="144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26B2409D"/>
    <w:multiLevelType w:val="multilevel"/>
    <w:tmpl w:val="040C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8">
    <w:nsid w:val="39692AE2"/>
    <w:multiLevelType w:val="multilevel"/>
    <w:tmpl w:val="975EA0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22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1728"/>
      </w:pPr>
      <w:rPr>
        <w:rFonts w:cs="Times New Roman"/>
      </w:rPr>
    </w:lvl>
    <w:lvl w:ilvl="4">
      <w:start w:val="1"/>
      <w:numFmt w:val="decimal"/>
      <w:pStyle w:val="Heading5"/>
      <w:lvlText w:val="%1.%2.%3.%4.%5."/>
      <w:lvlJc w:val="left"/>
      <w:pPr>
        <w:tabs>
          <w:tab w:val="num" w:pos="2232"/>
        </w:tabs>
        <w:ind w:left="2232" w:hanging="223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27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  <w:rPr>
        <w:rFonts w:cs="Times New Roman"/>
      </w:rPr>
    </w:lvl>
  </w:abstractNum>
  <w:abstractNum w:abstractNumId="29">
    <w:nsid w:val="454C28BC"/>
    <w:multiLevelType w:val="singleLevel"/>
    <w:tmpl w:val="9DAC4D46"/>
    <w:name w:val="Considérant__1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</w:abstractNum>
  <w:abstractNum w:abstractNumId="30">
    <w:nsid w:val="49005728"/>
    <w:multiLevelType w:val="hybridMultilevel"/>
    <w:tmpl w:val="2F94A084"/>
    <w:lvl w:ilvl="0" w:tplc="FFFFFFFF">
      <w:start w:val="1"/>
      <w:numFmt w:val="lowerRoman"/>
      <w:lvlText w:val="(%1)"/>
      <w:lvlJc w:val="left"/>
      <w:pPr>
        <w:ind w:left="1440" w:hanging="360"/>
      </w:pPr>
      <w:rPr>
        <w:rFonts w:cs="Times New Roman" w:hint="default"/>
      </w:rPr>
    </w:lvl>
    <w:lvl w:ilvl="1" w:tplc="FFFFFFFF">
      <w:start w:val="1"/>
      <w:numFmt w:val="lowerRoman"/>
      <w:lvlText w:val="(%2)"/>
      <w:lvlJc w:val="left"/>
      <w:pPr>
        <w:ind w:left="14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4C517293"/>
    <w:multiLevelType w:val="multilevel"/>
    <w:tmpl w:val="9B6056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22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172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223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27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  <w:rPr>
        <w:rFonts w:cs="Times New Roman"/>
      </w:rPr>
    </w:lvl>
  </w:abstractNum>
  <w:abstractNum w:abstractNumId="32">
    <w:nsid w:val="536F0285"/>
    <w:multiLevelType w:val="hybridMultilevel"/>
    <w:tmpl w:val="9118E536"/>
    <w:lvl w:ilvl="0" w:tplc="FFFFFFFF">
      <w:start w:val="1"/>
      <w:numFmt w:val="lowerRoman"/>
      <w:lvlText w:val="(%1)"/>
      <w:lvlJc w:val="left"/>
      <w:pPr>
        <w:ind w:left="144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4561BCF"/>
    <w:multiLevelType w:val="multilevel"/>
    <w:tmpl w:val="9118E536"/>
    <w:lvl w:ilvl="0">
      <w:start w:val="1"/>
      <w:numFmt w:val="lowerRoman"/>
      <w:lvlText w:val="(%1)"/>
      <w:lvlJc w:val="left"/>
      <w:pPr>
        <w:ind w:left="144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553B0804"/>
    <w:multiLevelType w:val="hybridMultilevel"/>
    <w:tmpl w:val="100C05D2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6D20599"/>
    <w:multiLevelType w:val="hybridMultilevel"/>
    <w:tmpl w:val="FE942A9E"/>
    <w:lvl w:ilvl="0" w:tplc="FFFFFFFF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59F8466D"/>
    <w:multiLevelType w:val="hybridMultilevel"/>
    <w:tmpl w:val="E874373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A33170F"/>
    <w:multiLevelType w:val="hybridMultilevel"/>
    <w:tmpl w:val="A53694C0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5E1630A6"/>
    <w:multiLevelType w:val="hybridMultilevel"/>
    <w:tmpl w:val="0EA2D89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1FF0C87"/>
    <w:multiLevelType w:val="multilevel"/>
    <w:tmpl w:val="9B6056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22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172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223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27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  <w:rPr>
        <w:rFonts w:cs="Times New Roman"/>
      </w:rPr>
    </w:lvl>
  </w:abstractNum>
  <w:abstractNum w:abstractNumId="40">
    <w:nsid w:val="7C441774"/>
    <w:multiLevelType w:val="hybridMultilevel"/>
    <w:tmpl w:val="32AC48D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0C25A2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ECB7708"/>
    <w:multiLevelType w:val="singleLevel"/>
    <w:tmpl w:val="71B46F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27"/>
  </w:num>
  <w:num w:numId="2">
    <w:abstractNumId w:val="25"/>
  </w:num>
  <w:num w:numId="3">
    <w:abstractNumId w:val="22"/>
  </w:num>
  <w:num w:numId="4">
    <w:abstractNumId w:val="21"/>
  </w:num>
  <w:num w:numId="5">
    <w:abstractNumId w:val="39"/>
  </w:num>
  <w:num w:numId="6">
    <w:abstractNumId w:val="31"/>
  </w:num>
  <w:num w:numId="7">
    <w:abstractNumId w:val="28"/>
  </w:num>
  <w:num w:numId="8">
    <w:abstractNumId w:val="41"/>
  </w:num>
  <w:num w:numId="9">
    <w:abstractNumId w:val="41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29"/>
  </w:num>
  <w:num w:numId="21">
    <w:abstractNumId w:val="37"/>
  </w:num>
  <w:num w:numId="22">
    <w:abstractNumId w:val="23"/>
  </w:num>
  <w:num w:numId="23">
    <w:abstractNumId w:val="24"/>
  </w:num>
  <w:num w:numId="24">
    <w:abstractNumId w:val="38"/>
  </w:num>
  <w:num w:numId="25">
    <w:abstractNumId w:val="36"/>
  </w:num>
  <w:num w:numId="26">
    <w:abstractNumId w:val="34"/>
  </w:num>
  <w:num w:numId="27">
    <w:abstractNumId w:val="19"/>
  </w:num>
  <w:num w:numId="28">
    <w:abstractNumId w:val="10"/>
  </w:num>
  <w:num w:numId="29">
    <w:abstractNumId w:val="11"/>
  </w:num>
  <w:num w:numId="30">
    <w:abstractNumId w:val="12"/>
  </w:num>
  <w:num w:numId="31">
    <w:abstractNumId w:val="13"/>
  </w:num>
  <w:num w:numId="32">
    <w:abstractNumId w:val="14"/>
  </w:num>
  <w:num w:numId="33">
    <w:abstractNumId w:val="15"/>
  </w:num>
  <w:num w:numId="34">
    <w:abstractNumId w:val="16"/>
  </w:num>
  <w:num w:numId="35">
    <w:abstractNumId w:val="17"/>
  </w:num>
  <w:num w:numId="36">
    <w:abstractNumId w:val="18"/>
  </w:num>
  <w:num w:numId="37">
    <w:abstractNumId w:val="30"/>
  </w:num>
  <w:num w:numId="38">
    <w:abstractNumId w:val="32"/>
  </w:num>
  <w:num w:numId="39">
    <w:abstractNumId w:val="20"/>
  </w:num>
  <w:num w:numId="4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5"/>
  </w:num>
  <w:num w:numId="42">
    <w:abstractNumId w:val="33"/>
  </w:num>
  <w:num w:numId="43">
    <w:abstractNumId w:val="26"/>
  </w:num>
  <w:num w:numId="44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90"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dvdocse" w:val="A7-0280/2012"/>
    <w:docVar w:name="dvlangue" w:val="PL"/>
    <w:docVar w:name="dvnumam" w:val="165"/>
    <w:docVar w:name="dvpe" w:val="487.749"/>
    <w:docVar w:name="dvrapporteur" w:val="Sprawozdawca: "/>
    <w:docVar w:name="dvtitre" w:val="Rezolucja ustawodawcza Parlamentu Europejskiego z dnia  2013 r. w sprawie wniosku dotycz?cego dyrektywy Parlamentu Europejskiego i Rady w sprawie alternatywnych metod rozstrzygania sporów konsumenckich oraz zmieniaj?cej rozporz?dzenie (WE) nr 2006/2004 i dyrektyw? 2009/22/WE (dyrektywa w sprawie ADR w sporach konsumenckich)(COM(2011)0793 – C7-0454/2011– 2011/0373(COD))"/>
  </w:docVars>
  <w:rsids>
    <w:rsidRoot w:val="005E3CE4"/>
    <w:rsid w:val="000B390B"/>
    <w:rsid w:val="000C1D15"/>
    <w:rsid w:val="00291A00"/>
    <w:rsid w:val="002A5037"/>
    <w:rsid w:val="003D7927"/>
    <w:rsid w:val="0044243D"/>
    <w:rsid w:val="00473090"/>
    <w:rsid w:val="00477073"/>
    <w:rsid w:val="0054244C"/>
    <w:rsid w:val="005E3CE4"/>
    <w:rsid w:val="0062224B"/>
    <w:rsid w:val="006B1287"/>
    <w:rsid w:val="007D30C6"/>
    <w:rsid w:val="007E181B"/>
    <w:rsid w:val="007F5E9D"/>
    <w:rsid w:val="00881CDB"/>
    <w:rsid w:val="008B5A00"/>
    <w:rsid w:val="008D7462"/>
    <w:rsid w:val="00994C73"/>
    <w:rsid w:val="009D35BB"/>
    <w:rsid w:val="00AD336B"/>
    <w:rsid w:val="00B423FD"/>
    <w:rsid w:val="00B87833"/>
    <w:rsid w:val="00C02864"/>
    <w:rsid w:val="00C40795"/>
    <w:rsid w:val="00DB6B56"/>
    <w:rsid w:val="00F72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val="fr-FR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after="120"/>
      <w:ind w:left="510" w:hanging="51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numPr>
        <w:ilvl w:val="1"/>
        <w:numId w:val="4"/>
      </w:numPr>
      <w:spacing w:before="240" w:after="60"/>
      <w:outlineLvl w:val="1"/>
    </w:p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numPr>
        <w:ilvl w:val="2"/>
        <w:numId w:val="4"/>
      </w:numPr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numPr>
        <w:ilvl w:val="3"/>
        <w:numId w:val="4"/>
      </w:numPr>
      <w:spacing w:before="240" w:after="60"/>
      <w:outlineLvl w:val="3"/>
    </w:pPr>
    <w:rPr>
      <w:lang w:val="en-US"/>
    </w:rPr>
  </w:style>
  <w:style w:type="paragraph" w:styleId="Heading5">
    <w:name w:val="heading 5"/>
    <w:basedOn w:val="Normal"/>
    <w:next w:val="Normal"/>
    <w:link w:val="Heading5Char"/>
    <w:uiPriority w:val="9"/>
    <w:qFormat/>
    <w:pPr>
      <w:numPr>
        <w:ilvl w:val="4"/>
        <w:numId w:val="7"/>
      </w:numPr>
      <w:spacing w:before="240" w:after="60"/>
      <w:outlineLvl w:val="4"/>
    </w:pPr>
    <w:rPr>
      <w:lang w:val="en-U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fr-FR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fr-FR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val="fr-FR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inorHAnsi" w:eastAsiaTheme="minorEastAsia" w:hAnsiTheme="minorHAnsi" w:cstheme="minorBidi"/>
      <w:b/>
      <w:bCs/>
      <w:sz w:val="28"/>
      <w:szCs w:val="28"/>
      <w:lang w:val="fr-FR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  <w:lang w:val="fr-FR"/>
    </w:rPr>
  </w:style>
  <w:style w:type="paragraph" w:customStyle="1" w:styleId="ATHeading1">
    <w:name w:val="AT Heading 1"/>
    <w:basedOn w:val="Normal"/>
    <w:next w:val="Normal"/>
    <w:pPr>
      <w:keepNext/>
      <w:keepLines/>
      <w:spacing w:after="120"/>
      <w:outlineLvl w:val="0"/>
    </w:pPr>
    <w:rPr>
      <w:b/>
      <w:noProof/>
      <w:sz w:val="28"/>
    </w:rPr>
  </w:style>
  <w:style w:type="paragraph" w:customStyle="1" w:styleId="ATHeading2">
    <w:name w:val="AT Heading 2"/>
    <w:basedOn w:val="Normal"/>
    <w:next w:val="Normal"/>
    <w:pPr>
      <w:spacing w:before="120" w:after="120"/>
      <w:outlineLvl w:val="1"/>
    </w:pPr>
    <w:rPr>
      <w:b/>
      <w:noProof/>
      <w:sz w:val="28"/>
    </w:rPr>
  </w:style>
  <w:style w:type="paragraph" w:customStyle="1" w:styleId="ATHeading3">
    <w:name w:val="AT Heading 3"/>
    <w:basedOn w:val="Normal"/>
    <w:next w:val="Normal"/>
    <w:pPr>
      <w:keepNext/>
      <w:keepLines/>
      <w:spacing w:before="120" w:after="120"/>
      <w:outlineLvl w:val="2"/>
    </w:pPr>
    <w:rPr>
      <w:b/>
      <w:noProof/>
    </w:rPr>
  </w:style>
  <w:style w:type="paragraph" w:customStyle="1" w:styleId="ATHeading4">
    <w:name w:val="AT Heading 4"/>
    <w:basedOn w:val="Normal"/>
    <w:next w:val="Normal"/>
    <w:pPr>
      <w:keepNext/>
      <w:keepLines/>
      <w:spacing w:before="120" w:after="120"/>
    </w:pPr>
    <w:rPr>
      <w:b/>
      <w:i/>
      <w:noProof/>
    </w:rPr>
  </w:style>
  <w:style w:type="paragraph" w:customStyle="1" w:styleId="ATHeading5">
    <w:name w:val="AT Heading 5"/>
    <w:basedOn w:val="Normal"/>
    <w:next w:val="Normal"/>
    <w:pPr>
      <w:keepNext/>
      <w:keepLines/>
      <w:spacing w:before="120" w:after="120"/>
    </w:pPr>
    <w:rPr>
      <w:i/>
      <w:noProof/>
    </w:rPr>
  </w:style>
  <w:style w:type="paragraph" w:customStyle="1" w:styleId="ATHeadingMotiv">
    <w:name w:val="AT Heading Motiv"/>
    <w:basedOn w:val="Normal"/>
    <w:next w:val="Normal"/>
    <w:pPr>
      <w:keepNext/>
      <w:spacing w:before="60" w:after="60"/>
      <w:jc w:val="center"/>
    </w:pPr>
    <w:rPr>
      <w:i/>
    </w:rPr>
  </w:style>
  <w:style w:type="paragraph" w:customStyle="1" w:styleId="ATTOCTitle">
    <w:name w:val="AT TOC Title"/>
    <w:basedOn w:val="Normal"/>
    <w:pPr>
      <w:keepNext/>
      <w:keepLines/>
      <w:spacing w:after="240"/>
      <w:jc w:val="center"/>
    </w:pPr>
    <w:rPr>
      <w:b/>
      <w:caps/>
      <w:sz w:val="28"/>
    </w:rPr>
  </w:style>
  <w:style w:type="paragraph" w:styleId="Footer">
    <w:name w:val="footer"/>
    <w:aliases w:val="Footer Char1"/>
    <w:basedOn w:val="Normal"/>
    <w:link w:val="FooterChar"/>
    <w:uiPriority w:val="99"/>
    <w:pPr>
      <w:tabs>
        <w:tab w:val="right" w:pos="9639"/>
      </w:tabs>
    </w:pPr>
    <w:rPr>
      <w:sz w:val="22"/>
    </w:rPr>
  </w:style>
  <w:style w:type="character" w:customStyle="1" w:styleId="FooterChar">
    <w:name w:val="Footer Char"/>
    <w:aliases w:val="Footer Char1 Char"/>
    <w:basedOn w:val="DefaultParagraphFont"/>
    <w:link w:val="Footer"/>
    <w:uiPriority w:val="99"/>
    <w:semiHidden/>
    <w:rPr>
      <w:sz w:val="24"/>
      <w:lang w:val="fr-FR"/>
    </w:rPr>
  </w:style>
  <w:style w:type="character" w:styleId="FootnoteReference">
    <w:name w:val="footnote reference"/>
    <w:aliases w:val="Heading 9 Char1 Char Char"/>
    <w:basedOn w:val="DefaultParagraphFont"/>
    <w:uiPriority w:val="99"/>
    <w:semiHidden/>
    <w:rPr>
      <w:vertAlign w:val="superscript"/>
    </w:rPr>
  </w:style>
  <w:style w:type="paragraph" w:styleId="FootnoteText">
    <w:name w:val="footnote text"/>
    <w:aliases w:val="Znak"/>
    <w:basedOn w:val="Normal"/>
    <w:link w:val="FootnoteTextChar"/>
    <w:uiPriority w:val="99"/>
    <w:semiHidden/>
    <w:rsid w:val="00C40795"/>
    <w:pPr>
      <w:keepLines/>
      <w:spacing w:line="260" w:lineRule="exact"/>
      <w:ind w:left="425" w:hanging="425"/>
    </w:pPr>
    <w:rPr>
      <w:szCs w:val="24"/>
    </w:rPr>
  </w:style>
  <w:style w:type="character" w:customStyle="1" w:styleId="FootnoteTextChar">
    <w:name w:val="Footnote Text Char"/>
    <w:aliases w:val="Znak Char"/>
    <w:basedOn w:val="DefaultParagraphFont"/>
    <w:link w:val="FootnoteText"/>
    <w:uiPriority w:val="99"/>
    <w:semiHidden/>
    <w:rPr>
      <w:lang w:val="fr-FR"/>
    </w:rPr>
  </w:style>
  <w:style w:type="paragraph" w:styleId="Header">
    <w:name w:val="header"/>
    <w:basedOn w:val="Normal"/>
    <w:link w:val="HeaderChar"/>
    <w:uiPriority w:val="99"/>
    <w:pPr>
      <w:tabs>
        <w:tab w:val="right" w:pos="9639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A5037"/>
    <w:rPr>
      <w:rFonts w:ascii="Times New Roman" w:hAnsi="Times New Roman"/>
      <w:sz w:val="20"/>
      <w:lang w:val="pl-PL" w:eastAsia="x-none"/>
    </w:rPr>
  </w:style>
  <w:style w:type="paragraph" w:customStyle="1" w:styleId="Numroamendement">
    <w:name w:val="Numéro amendement"/>
    <w:basedOn w:val="Normal"/>
    <w:next w:val="Normal"/>
    <w:pPr>
      <w:widowControl w:val="0"/>
      <w:jc w:val="center"/>
    </w:pPr>
    <w:rPr>
      <w:lang w:eastAsia="en-US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TOC1">
    <w:name w:val="toc 1"/>
    <w:basedOn w:val="Normal"/>
    <w:next w:val="Normal"/>
    <w:autoRedefine/>
    <w:uiPriority w:val="39"/>
    <w:semiHidden/>
    <w:pPr>
      <w:keepNext/>
      <w:keepLines/>
      <w:spacing w:before="200"/>
    </w:pPr>
    <w:rPr>
      <w:b/>
      <w:noProof/>
    </w:rPr>
  </w:style>
  <w:style w:type="paragraph" w:styleId="TOC2">
    <w:name w:val="toc 2"/>
    <w:basedOn w:val="Normal"/>
    <w:next w:val="Normal"/>
    <w:autoRedefine/>
    <w:uiPriority w:val="39"/>
    <w:semiHidden/>
    <w:pPr>
      <w:keepNext/>
      <w:keepLines/>
    </w:pPr>
    <w:rPr>
      <w:b/>
      <w:noProof/>
    </w:rPr>
  </w:style>
  <w:style w:type="paragraph" w:styleId="TOC3">
    <w:name w:val="toc 3"/>
    <w:basedOn w:val="Normal"/>
    <w:next w:val="Normal"/>
    <w:autoRedefine/>
    <w:uiPriority w:val="39"/>
    <w:semiHidden/>
    <w:pPr>
      <w:keepLines/>
      <w:ind w:right="510"/>
    </w:pPr>
    <w:rPr>
      <w:noProof/>
    </w:rPr>
  </w:style>
  <w:style w:type="paragraph" w:customStyle="1" w:styleId="ATHeading6">
    <w:name w:val="AT Heading 6"/>
    <w:basedOn w:val="Normal"/>
    <w:next w:val="Normal"/>
    <w:pPr>
      <w:keepNext/>
      <w:keepLines/>
      <w:spacing w:before="120" w:after="120"/>
    </w:pPr>
    <w:rPr>
      <w:smallCaps/>
      <w:noProof/>
    </w:rPr>
  </w:style>
  <w:style w:type="character" w:customStyle="1" w:styleId="HideTWBExt">
    <w:name w:val="HideTWBExt"/>
    <w:rsid w:val="002A5037"/>
    <w:rPr>
      <w:rFonts w:ascii="Arial" w:hAnsi="Arial"/>
      <w:noProof/>
      <w:vanish/>
      <w:color w:val="000080"/>
      <w:sz w:val="20"/>
    </w:rPr>
  </w:style>
  <w:style w:type="paragraph" w:customStyle="1" w:styleId="Normal12">
    <w:name w:val="Normal12"/>
    <w:basedOn w:val="Normal"/>
    <w:rsid w:val="002A5037"/>
    <w:pPr>
      <w:widowControl w:val="0"/>
      <w:spacing w:after="240"/>
    </w:pPr>
    <w:rPr>
      <w:lang w:val="pl-PL"/>
    </w:rPr>
  </w:style>
  <w:style w:type="paragraph" w:customStyle="1" w:styleId="Normal6">
    <w:name w:val="Normal6"/>
    <w:basedOn w:val="Normal"/>
    <w:rsid w:val="002A5037"/>
    <w:pPr>
      <w:widowControl w:val="0"/>
      <w:spacing w:after="120"/>
    </w:pPr>
    <w:rPr>
      <w:lang w:val="pl-PL"/>
    </w:rPr>
  </w:style>
  <w:style w:type="paragraph" w:customStyle="1" w:styleId="NormalBold">
    <w:name w:val="NormalBold"/>
    <w:basedOn w:val="Normal"/>
    <w:rsid w:val="002A5037"/>
    <w:pPr>
      <w:widowControl w:val="0"/>
    </w:pPr>
    <w:rPr>
      <w:b/>
      <w:lang w:val="pl-PL"/>
    </w:rPr>
  </w:style>
  <w:style w:type="paragraph" w:customStyle="1" w:styleId="Normal12Bold">
    <w:name w:val="Normal12Bold"/>
    <w:basedOn w:val="Normal12"/>
    <w:link w:val="BalloonTextChar1"/>
    <w:rsid w:val="002A5037"/>
    <w:rPr>
      <w:b/>
    </w:rPr>
  </w:style>
  <w:style w:type="character" w:customStyle="1" w:styleId="BalloonTextChar1">
    <w:name w:val="Balloon Text Char1"/>
    <w:link w:val="Normal12Bold"/>
    <w:semiHidden/>
    <w:locked/>
    <w:rsid w:val="002A5037"/>
    <w:rPr>
      <w:b/>
      <w:snapToGrid w:val="0"/>
      <w:sz w:val="24"/>
      <w:lang w:val="pl-PL" w:eastAsia="en-GB"/>
    </w:rPr>
  </w:style>
  <w:style w:type="paragraph" w:customStyle="1" w:styleId="Normal12Italic">
    <w:name w:val="Normal12Italic"/>
    <w:basedOn w:val="Normal"/>
    <w:rsid w:val="002A5037"/>
    <w:pPr>
      <w:widowControl w:val="0"/>
      <w:spacing w:before="240"/>
    </w:pPr>
    <w:rPr>
      <w:i/>
      <w:lang w:val="pl-PL"/>
    </w:rPr>
  </w:style>
  <w:style w:type="paragraph" w:customStyle="1" w:styleId="Normal12Hanging">
    <w:name w:val="Normal12Hanging"/>
    <w:basedOn w:val="Normal12"/>
    <w:rsid w:val="002A5037"/>
    <w:pPr>
      <w:ind w:left="357" w:hanging="357"/>
    </w:pPr>
  </w:style>
  <w:style w:type="paragraph" w:customStyle="1" w:styleId="Normal24">
    <w:name w:val="Normal24"/>
    <w:basedOn w:val="Normal"/>
    <w:link w:val="CharChar2"/>
    <w:rsid w:val="002A5037"/>
    <w:pPr>
      <w:widowControl w:val="0"/>
      <w:spacing w:after="480"/>
    </w:pPr>
    <w:rPr>
      <w:lang w:val="pl-PL"/>
    </w:rPr>
  </w:style>
  <w:style w:type="character" w:customStyle="1" w:styleId="CharChar2">
    <w:name w:val="Char Char2"/>
    <w:link w:val="Normal24"/>
    <w:semiHidden/>
    <w:locked/>
    <w:rsid w:val="002A5037"/>
    <w:rPr>
      <w:snapToGrid w:val="0"/>
      <w:sz w:val="24"/>
      <w:lang w:val="pl-PL" w:eastAsia="en-GB"/>
    </w:rPr>
  </w:style>
  <w:style w:type="paragraph" w:customStyle="1" w:styleId="Cover24">
    <w:name w:val="Cover24"/>
    <w:basedOn w:val="Normal24"/>
    <w:link w:val="CommentSubjectChar1"/>
    <w:rsid w:val="002A5037"/>
    <w:pPr>
      <w:ind w:left="1418"/>
    </w:pPr>
  </w:style>
  <w:style w:type="character" w:customStyle="1" w:styleId="CommentSubjectChar1">
    <w:name w:val="Comment Subject Char1"/>
    <w:link w:val="Cover24"/>
    <w:semiHidden/>
    <w:locked/>
    <w:rsid w:val="002A5037"/>
    <w:rPr>
      <w:snapToGrid w:val="0"/>
      <w:sz w:val="24"/>
      <w:lang w:val="pl-PL" w:eastAsia="en-GB"/>
    </w:rPr>
  </w:style>
  <w:style w:type="paragraph" w:customStyle="1" w:styleId="JustificationTitle">
    <w:name w:val="JustificationTitle"/>
    <w:basedOn w:val="Normal"/>
    <w:next w:val="Normal12"/>
    <w:rsid w:val="002A5037"/>
    <w:pPr>
      <w:keepNext/>
      <w:widowControl w:val="0"/>
      <w:spacing w:before="240"/>
      <w:jc w:val="center"/>
    </w:pPr>
    <w:rPr>
      <w:i/>
      <w:lang w:val="pl-PL"/>
    </w:rPr>
  </w:style>
  <w:style w:type="paragraph" w:customStyle="1" w:styleId="TypeDoc">
    <w:name w:val="TypeDoc"/>
    <w:basedOn w:val="Normal24"/>
    <w:link w:val="CharChar1"/>
    <w:rsid w:val="002A5037"/>
    <w:pPr>
      <w:ind w:left="1418"/>
    </w:pPr>
    <w:rPr>
      <w:rFonts w:ascii="Arial" w:hAnsi="Arial"/>
      <w:b/>
      <w:sz w:val="48"/>
    </w:rPr>
  </w:style>
  <w:style w:type="character" w:customStyle="1" w:styleId="CharChar1">
    <w:name w:val="Char Char1"/>
    <w:link w:val="TypeDoc"/>
    <w:semiHidden/>
    <w:locked/>
    <w:rsid w:val="002A5037"/>
    <w:rPr>
      <w:rFonts w:ascii="Arial" w:hAnsi="Arial"/>
      <w:b/>
      <w:snapToGrid w:val="0"/>
      <w:sz w:val="48"/>
      <w:lang w:val="pl-PL" w:eastAsia="en-GB"/>
    </w:rPr>
  </w:style>
  <w:style w:type="paragraph" w:customStyle="1" w:styleId="ColumnHeading">
    <w:name w:val="ColumnHeading"/>
    <w:basedOn w:val="Normal"/>
    <w:rsid w:val="002A5037"/>
    <w:pPr>
      <w:widowControl w:val="0"/>
      <w:spacing w:after="240"/>
      <w:jc w:val="center"/>
    </w:pPr>
    <w:rPr>
      <w:i/>
      <w:lang w:val="pl-PL"/>
    </w:rPr>
  </w:style>
  <w:style w:type="table" w:styleId="TableGrid">
    <w:name w:val="Table Grid"/>
    <w:basedOn w:val="TableNormal"/>
    <w:uiPriority w:val="59"/>
    <w:rsid w:val="002A5037"/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MNumberTabs">
    <w:name w:val="AMNumberTabs"/>
    <w:basedOn w:val="Normal"/>
    <w:rsid w:val="002A5037"/>
    <w:pPr>
      <w:widowControl w:val="0"/>
      <w:tabs>
        <w:tab w:val="left" w:pos="879"/>
        <w:tab w:val="left" w:pos="936"/>
        <w:tab w:val="left" w:pos="1021"/>
        <w:tab w:val="left" w:pos="1077"/>
        <w:tab w:val="left" w:pos="1134"/>
        <w:tab w:val="left" w:pos="1191"/>
        <w:tab w:val="left" w:pos="1247"/>
        <w:tab w:val="left" w:pos="1304"/>
        <w:tab w:val="left" w:pos="1361"/>
        <w:tab w:val="left" w:pos="1418"/>
        <w:tab w:val="left" w:pos="1474"/>
        <w:tab w:val="left" w:pos="1531"/>
        <w:tab w:val="left" w:pos="1588"/>
        <w:tab w:val="left" w:pos="1644"/>
        <w:tab w:val="left" w:pos="1701"/>
        <w:tab w:val="left" w:pos="1758"/>
        <w:tab w:val="left" w:pos="1814"/>
        <w:tab w:val="left" w:pos="1871"/>
        <w:tab w:val="left" w:pos="2070"/>
        <w:tab w:val="left" w:pos="2126"/>
        <w:tab w:val="left" w:pos="3374"/>
        <w:tab w:val="left" w:pos="3430"/>
      </w:tabs>
      <w:spacing w:before="240"/>
    </w:pPr>
    <w:rPr>
      <w:b/>
      <w:lang w:val="pl-PL"/>
    </w:rPr>
  </w:style>
  <w:style w:type="paragraph" w:customStyle="1" w:styleId="NormalBold12b">
    <w:name w:val="NormalBold12b"/>
    <w:basedOn w:val="Normal"/>
    <w:rsid w:val="002A5037"/>
    <w:pPr>
      <w:widowControl w:val="0"/>
      <w:spacing w:before="240"/>
    </w:pPr>
    <w:rPr>
      <w:b/>
      <w:lang w:val="pl-PL"/>
    </w:rPr>
  </w:style>
  <w:style w:type="paragraph" w:customStyle="1" w:styleId="PELeft">
    <w:name w:val="PELeft"/>
    <w:basedOn w:val="Normal"/>
    <w:rsid w:val="002A5037"/>
    <w:pPr>
      <w:widowControl w:val="0"/>
      <w:spacing w:before="40" w:after="40"/>
    </w:pPr>
    <w:rPr>
      <w:rFonts w:ascii="Arial" w:hAnsi="Arial" w:cs="Arial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2A5037"/>
    <w:rPr>
      <w:i/>
    </w:rPr>
  </w:style>
  <w:style w:type="character" w:styleId="Strong">
    <w:name w:val="Strong"/>
    <w:basedOn w:val="DefaultParagraphFont"/>
    <w:uiPriority w:val="22"/>
    <w:qFormat/>
    <w:rsid w:val="002A5037"/>
    <w:rPr>
      <w:b/>
    </w:rPr>
  </w:style>
  <w:style w:type="paragraph" w:customStyle="1" w:styleId="Considrant">
    <w:name w:val="Considérant"/>
    <w:basedOn w:val="Normal"/>
    <w:rsid w:val="002A5037"/>
    <w:pPr>
      <w:numPr>
        <w:numId w:val="20"/>
      </w:numPr>
      <w:spacing w:before="120" w:after="120"/>
      <w:jc w:val="both"/>
    </w:pPr>
    <w:rPr>
      <w:szCs w:val="24"/>
      <w:lang w:val="pl-PL"/>
    </w:rPr>
  </w:style>
  <w:style w:type="paragraph" w:customStyle="1" w:styleId="Text1">
    <w:name w:val="Text 1"/>
    <w:basedOn w:val="Normal"/>
    <w:rsid w:val="00DB6B56"/>
    <w:pPr>
      <w:spacing w:before="120" w:after="120"/>
      <w:ind w:left="850"/>
      <w:jc w:val="both"/>
    </w:pPr>
    <w:rPr>
      <w:szCs w:val="24"/>
      <w:lang w:val="en-GB" w:eastAsia="en-US"/>
    </w:rPr>
  </w:style>
  <w:style w:type="paragraph" w:customStyle="1" w:styleId="Point0letter">
    <w:name w:val="Point 0 (letter)"/>
    <w:basedOn w:val="Normal"/>
    <w:rsid w:val="00DB6B56"/>
    <w:pPr>
      <w:tabs>
        <w:tab w:val="num" w:pos="850"/>
      </w:tabs>
      <w:spacing w:before="120" w:after="120"/>
      <w:ind w:left="850" w:hanging="850"/>
      <w:jc w:val="both"/>
    </w:pPr>
    <w:rPr>
      <w:szCs w:val="24"/>
      <w:lang w:val="en-GB" w:eastAsia="en-US"/>
    </w:rPr>
  </w:style>
  <w:style w:type="paragraph" w:customStyle="1" w:styleId="Point1letter">
    <w:name w:val="Point 1 (letter)"/>
    <w:basedOn w:val="Normal"/>
    <w:rsid w:val="00DB6B56"/>
    <w:pPr>
      <w:tabs>
        <w:tab w:val="num" w:pos="1417"/>
      </w:tabs>
      <w:spacing w:before="120" w:after="120"/>
      <w:ind w:left="1417" w:hanging="567"/>
      <w:jc w:val="both"/>
    </w:pPr>
    <w:rPr>
      <w:szCs w:val="24"/>
      <w:lang w:val="en-GB" w:eastAsia="en-US"/>
    </w:rPr>
  </w:style>
  <w:style w:type="paragraph" w:customStyle="1" w:styleId="Institutionquisigne">
    <w:name w:val="Institution qui signe"/>
    <w:basedOn w:val="Normal"/>
    <w:next w:val="Personnequisigne"/>
    <w:rsid w:val="00DB6B56"/>
    <w:pPr>
      <w:keepNext/>
      <w:tabs>
        <w:tab w:val="left" w:pos="4252"/>
      </w:tabs>
      <w:spacing w:before="720"/>
      <w:jc w:val="both"/>
    </w:pPr>
    <w:rPr>
      <w:i/>
      <w:iCs/>
      <w:szCs w:val="24"/>
      <w:lang w:val="en-GB" w:eastAsia="en-US"/>
    </w:rPr>
  </w:style>
  <w:style w:type="paragraph" w:customStyle="1" w:styleId="Personnequisigne">
    <w:name w:val="Personne qui signe"/>
    <w:basedOn w:val="Normal"/>
    <w:next w:val="Institutionquisigne"/>
    <w:rsid w:val="00DB6B56"/>
    <w:pPr>
      <w:tabs>
        <w:tab w:val="left" w:pos="4252"/>
      </w:tabs>
    </w:pPr>
    <w:rPr>
      <w:i/>
      <w:iCs/>
      <w:szCs w:val="24"/>
      <w:lang w:val="en-GB" w:eastAsia="en-US"/>
    </w:rPr>
  </w:style>
  <w:style w:type="paragraph" w:customStyle="1" w:styleId="EntInstit">
    <w:name w:val="EntInstit"/>
    <w:basedOn w:val="Normal"/>
    <w:rsid w:val="00DB6B56"/>
    <w:pPr>
      <w:widowControl w:val="0"/>
      <w:jc w:val="right"/>
    </w:pPr>
    <w:rPr>
      <w:b/>
      <w:bCs/>
      <w:szCs w:val="24"/>
      <w:lang w:val="en-GB" w:eastAsia="en-US"/>
    </w:rPr>
  </w:style>
  <w:style w:type="paragraph" w:customStyle="1" w:styleId="EntRefer">
    <w:name w:val="EntRefer"/>
    <w:basedOn w:val="Normal"/>
    <w:rsid w:val="00DB6B56"/>
    <w:pPr>
      <w:widowControl w:val="0"/>
    </w:pPr>
    <w:rPr>
      <w:b/>
      <w:bCs/>
      <w:szCs w:val="24"/>
      <w:lang w:val="en-GB" w:eastAsia="en-US"/>
    </w:rPr>
  </w:style>
  <w:style w:type="paragraph" w:customStyle="1" w:styleId="EntEmet">
    <w:name w:val="EntEmet"/>
    <w:basedOn w:val="Normal"/>
    <w:rsid w:val="00DB6B56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</w:tabs>
      <w:spacing w:before="40"/>
    </w:pPr>
    <w:rPr>
      <w:szCs w:val="24"/>
      <w:lang w:val="en-GB" w:eastAsia="en-US"/>
    </w:rPr>
  </w:style>
  <w:style w:type="paragraph" w:customStyle="1" w:styleId="EntLogo">
    <w:name w:val="EntLogo"/>
    <w:basedOn w:val="Normal"/>
    <w:next w:val="EntInstit"/>
    <w:rsid w:val="00DB6B56"/>
    <w:pPr>
      <w:widowControl w:val="0"/>
      <w:spacing w:line="360" w:lineRule="auto"/>
    </w:pPr>
    <w:rPr>
      <w:b/>
      <w:bCs/>
      <w:szCs w:val="24"/>
      <w:lang w:val="en-GB" w:eastAsia="en-US"/>
    </w:rPr>
  </w:style>
  <w:style w:type="paragraph" w:customStyle="1" w:styleId="Point0">
    <w:name w:val="Point 0"/>
    <w:basedOn w:val="Normal"/>
    <w:rsid w:val="00DB6B56"/>
    <w:pPr>
      <w:suppressAutoHyphens/>
      <w:spacing w:before="120" w:after="120"/>
      <w:ind w:left="850" w:hanging="850"/>
      <w:jc w:val="both"/>
    </w:pPr>
    <w:rPr>
      <w:szCs w:val="24"/>
      <w:lang w:val="en-GB" w:eastAsia="en-US"/>
    </w:rPr>
  </w:style>
  <w:style w:type="paragraph" w:customStyle="1" w:styleId="NumPar1">
    <w:name w:val="NumPar 1"/>
    <w:basedOn w:val="Normal"/>
    <w:next w:val="Normal"/>
    <w:rsid w:val="00DB6B56"/>
    <w:pPr>
      <w:numPr>
        <w:numId w:val="1"/>
      </w:numPr>
      <w:suppressAutoHyphens/>
      <w:spacing w:before="120" w:after="120"/>
      <w:jc w:val="both"/>
    </w:pPr>
    <w:rPr>
      <w:szCs w:val="24"/>
      <w:lang w:val="en-GB" w:eastAsia="en-US"/>
    </w:rPr>
  </w:style>
  <w:style w:type="paragraph" w:customStyle="1" w:styleId="Tiret1">
    <w:name w:val="Tiret 1"/>
    <w:basedOn w:val="Normal"/>
    <w:rsid w:val="00DB6B56"/>
    <w:pPr>
      <w:tabs>
        <w:tab w:val="num" w:pos="850"/>
      </w:tabs>
      <w:suppressAutoHyphens/>
      <w:spacing w:before="120" w:after="120"/>
      <w:ind w:left="850" w:hanging="850"/>
      <w:jc w:val="both"/>
    </w:pPr>
    <w:rPr>
      <w:szCs w:val="24"/>
      <w:lang w:val="en-GB" w:eastAsia="en-US"/>
    </w:rPr>
  </w:style>
  <w:style w:type="paragraph" w:customStyle="1" w:styleId="FooterConseil">
    <w:name w:val="FooterConseil"/>
    <w:basedOn w:val="Normal"/>
    <w:rsid w:val="00DB6B56"/>
    <w:pPr>
      <w:tabs>
        <w:tab w:val="center" w:pos="4820"/>
        <w:tab w:val="center" w:pos="7371"/>
        <w:tab w:val="right" w:pos="9639"/>
      </w:tabs>
    </w:pPr>
    <w:rPr>
      <w:szCs w:val="24"/>
      <w:lang w:val="en-GB" w:eastAsia="en-US"/>
    </w:rPr>
  </w:style>
  <w:style w:type="character" w:customStyle="1" w:styleId="DeltaViewDeletion">
    <w:name w:val="DeltaView Deletion"/>
    <w:rsid w:val="00DB6B56"/>
    <w:rPr>
      <w:strike/>
      <w:spacing w:val="0"/>
    </w:rPr>
  </w:style>
  <w:style w:type="character" w:customStyle="1" w:styleId="DeltaViewInsertion">
    <w:name w:val="DeltaView Insertion"/>
    <w:rsid w:val="00DB6B56"/>
    <w:rPr>
      <w:b/>
      <w:i/>
      <w:spacing w:val="0"/>
    </w:rPr>
  </w:style>
  <w:style w:type="paragraph" w:customStyle="1" w:styleId="Point1number">
    <w:name w:val="Point 1 (number)"/>
    <w:basedOn w:val="Normal"/>
    <w:rsid w:val="00DB6B56"/>
    <w:pPr>
      <w:tabs>
        <w:tab w:val="num" w:pos="1417"/>
      </w:tabs>
      <w:spacing w:before="120" w:after="120"/>
      <w:ind w:left="1417" w:hanging="567"/>
      <w:jc w:val="both"/>
    </w:pPr>
    <w:rPr>
      <w:szCs w:val="24"/>
      <w:lang w:val="en-GB" w:eastAsia="en-US"/>
    </w:rPr>
  </w:style>
  <w:style w:type="paragraph" w:customStyle="1" w:styleId="Annexetitre">
    <w:name w:val="Annexe titre"/>
    <w:basedOn w:val="Normal"/>
    <w:next w:val="Normal"/>
    <w:rsid w:val="00DB6B56"/>
    <w:pPr>
      <w:spacing w:before="120" w:after="120"/>
      <w:jc w:val="center"/>
    </w:pPr>
    <w:rPr>
      <w:b/>
      <w:bCs/>
      <w:szCs w:val="24"/>
      <w:u w:val="single"/>
      <w:lang w:val="en-GB" w:eastAsia="en-US"/>
    </w:rPr>
  </w:style>
  <w:style w:type="paragraph" w:customStyle="1" w:styleId="Titrearticle">
    <w:name w:val="Titre article"/>
    <w:basedOn w:val="Normal"/>
    <w:next w:val="Normal"/>
    <w:rsid w:val="00DB6B56"/>
    <w:pPr>
      <w:keepNext/>
      <w:spacing w:before="360" w:after="120"/>
      <w:jc w:val="center"/>
    </w:pPr>
    <w:rPr>
      <w:i/>
      <w:iCs/>
      <w:szCs w:val="24"/>
      <w:lang w:val="en-GB" w:eastAsia="en-US"/>
    </w:rPr>
  </w:style>
  <w:style w:type="paragraph" w:customStyle="1" w:styleId="Point1">
    <w:name w:val="Point 1"/>
    <w:basedOn w:val="Normal"/>
    <w:rsid w:val="00DB6B56"/>
    <w:pPr>
      <w:suppressAutoHyphens/>
      <w:spacing w:before="120" w:after="120"/>
      <w:ind w:left="1417" w:hanging="567"/>
      <w:jc w:val="both"/>
    </w:pPr>
    <w:rPr>
      <w:szCs w:val="24"/>
      <w:lang w:val="en-GB" w:eastAsia="en-US"/>
    </w:rPr>
  </w:style>
  <w:style w:type="paragraph" w:customStyle="1" w:styleId="ManualHeading1">
    <w:name w:val="Manual Heading 1"/>
    <w:basedOn w:val="Normal"/>
    <w:rsid w:val="00DB6B56"/>
    <w:pPr>
      <w:keepNext/>
      <w:tabs>
        <w:tab w:val="left" w:pos="850"/>
      </w:tabs>
      <w:autoSpaceDE w:val="0"/>
      <w:autoSpaceDN w:val="0"/>
      <w:adjustRightInd w:val="0"/>
      <w:spacing w:before="360" w:after="120"/>
      <w:ind w:left="850" w:hanging="850"/>
      <w:jc w:val="both"/>
      <w:outlineLvl w:val="0"/>
    </w:pPr>
    <w:rPr>
      <w:b/>
      <w:bCs/>
      <w:smallCaps/>
      <w:szCs w:val="24"/>
      <w:lang w:val="en-GB" w:eastAsia="en-US"/>
    </w:rPr>
  </w:style>
  <w:style w:type="paragraph" w:styleId="BlockText">
    <w:name w:val="Block Text"/>
    <w:basedOn w:val="Normal"/>
    <w:uiPriority w:val="99"/>
    <w:rsid w:val="00F72901"/>
    <w:pPr>
      <w:tabs>
        <w:tab w:val="left" w:pos="-1134"/>
        <w:tab w:val="left" w:pos="-114"/>
        <w:tab w:val="left" w:pos="739"/>
        <w:tab w:val="left" w:pos="1021"/>
        <w:tab w:val="left" w:pos="1099"/>
        <w:tab w:val="left" w:pos="1418"/>
        <w:tab w:val="left" w:pos="1700"/>
        <w:tab w:val="left" w:pos="1786"/>
        <w:tab w:val="left" w:pos="2266"/>
        <w:tab w:val="left" w:pos="2381"/>
        <w:tab w:val="left" w:pos="2833"/>
        <w:tab w:val="left" w:pos="2948"/>
        <w:tab w:val="left" w:pos="3399"/>
        <w:tab w:val="left" w:pos="3572"/>
        <w:tab w:val="left" w:pos="3966"/>
        <w:tab w:val="left" w:pos="4139"/>
        <w:tab w:val="left" w:pos="4532"/>
        <w:tab w:val="left" w:pos="4763"/>
        <w:tab w:val="left" w:pos="5098"/>
        <w:tab w:val="left" w:pos="5387"/>
        <w:tab w:val="left" w:pos="5665"/>
        <w:tab w:val="left" w:pos="5954"/>
        <w:tab w:val="left" w:pos="6231"/>
        <w:tab w:val="left" w:pos="6577"/>
        <w:tab w:val="left" w:pos="6798"/>
        <w:tab w:val="left" w:pos="7144"/>
        <w:tab w:val="left" w:pos="7364"/>
        <w:tab w:val="left" w:pos="7930"/>
      </w:tabs>
      <w:ind w:left="1700" w:right="17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eiciBRUpr1\pdocep$\DocEP\DOCS\General\TA\T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TA.dot</Template>
  <TotalTime>0</TotalTime>
  <Pages>3</Pages>
  <Words>317</Words>
  <Characters>2415</Characters>
  <Application>Microsoft Office Word</Application>
  <DocSecurity>0</DocSecurity>
  <Lines>20</Lines>
  <Paragraphs>5</Paragraphs>
  <ScaleCrop>false</ScaleCrop>
  <Company>European Parliament</Company>
  <LinksUpToDate>false</LinksUpToDate>
  <CharactersWithSpaces>2727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P7_TA-PROV(2013)0000</dc:title>
  <dc:subject/>
  <dc:creator>abozyk</dc:creator>
  <cp:keywords/>
  <dc:description/>
  <cp:lastModifiedBy>CHAPELANT Sabine</cp:lastModifiedBy>
  <cp:revision>2</cp:revision>
  <cp:lastPrinted>2013-03-12T10:03:00Z</cp:lastPrinted>
  <dcterms:created xsi:type="dcterms:W3CDTF">2014-10-17T13:46:00Z</dcterms:created>
  <dcterms:modified xsi:type="dcterms:W3CDTF">2014-10-17T13:46:00Z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&lt;Extension&gt;">
    <vt:lpwstr>PL</vt:lpwstr>
  </property>
  <property fmtid="{D5CDD505-2E9C-101B-9397-08002B2CF9AE}" pid="3" name="&lt;FdR&gt;">
    <vt:lpwstr>A7-0280/2012</vt:lpwstr>
  </property>
  <property fmtid="{D5CDD505-2E9C-101B-9397-08002B2CF9AE}" pid="4" name="&lt;Type&gt;">
    <vt:lpwstr>RR</vt:lpwstr>
  </property>
</Properties>
</file>