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8E" w:rsidRPr="00FB4017" w:rsidRDefault="00957B91" w:rsidP="00F238ED">
      <w:pPr>
        <w:pStyle w:val="ATHeading1"/>
        <w:keepNext w:val="0"/>
        <w:keepLines w:val="0"/>
        <w:widowControl w:val="0"/>
        <w:suppressLineNumbers/>
        <w:suppressAutoHyphens/>
        <w:rPr>
          <w:noProof w:val="0"/>
          <w:lang w:val="et-EE"/>
        </w:rPr>
      </w:pPr>
      <w:bookmarkStart w:id="0" w:name="TANumber"/>
      <w:r w:rsidRPr="00FB4017">
        <w:rPr>
          <w:noProof w:val="0"/>
          <w:lang w:val="et-EE"/>
        </w:rPr>
        <w:t>P7_TA</w:t>
      </w:r>
      <w:r w:rsidR="0059398E" w:rsidRPr="00FB4017">
        <w:rPr>
          <w:noProof w:val="0"/>
          <w:lang w:val="et-EE"/>
        </w:rPr>
        <w:t>(2013)0</w:t>
      </w:r>
      <w:r w:rsidR="00A37846" w:rsidRPr="00FB4017">
        <w:rPr>
          <w:noProof w:val="0"/>
          <w:lang w:val="et-EE"/>
        </w:rPr>
        <w:t>299</w:t>
      </w:r>
      <w:bookmarkEnd w:id="0"/>
    </w:p>
    <w:p w:rsidR="0059398E" w:rsidRPr="00FB4017" w:rsidRDefault="0059398E" w:rsidP="00F238ED">
      <w:pPr>
        <w:pStyle w:val="ATHeading2"/>
        <w:widowControl w:val="0"/>
        <w:suppressLineNumbers/>
        <w:suppressAutoHyphens/>
        <w:rPr>
          <w:noProof w:val="0"/>
          <w:lang w:val="et-EE"/>
        </w:rPr>
      </w:pPr>
      <w:bookmarkStart w:id="1" w:name="title"/>
      <w:r w:rsidRPr="00FB4017">
        <w:rPr>
          <w:noProof w:val="0"/>
          <w:lang w:val="et-EE"/>
        </w:rPr>
        <w:t>Teatavad horisontaalsed riigiabi liigid ja avaliku reisijateveoteenuse osutamine raudteel ja maanteel</w:t>
      </w:r>
      <w:bookmarkEnd w:id="1"/>
      <w:r w:rsidRPr="00FB4017">
        <w:rPr>
          <w:noProof w:val="0"/>
          <w:lang w:val="et-EE"/>
        </w:rPr>
        <w:t xml:space="preserve"> </w:t>
      </w:r>
      <w:bookmarkStart w:id="2" w:name="Etoiles"/>
      <w:r w:rsidRPr="00FB4017">
        <w:rPr>
          <w:noProof w:val="0"/>
          <w:lang w:val="et-EE"/>
        </w:rPr>
        <w:t>*</w:t>
      </w:r>
      <w:bookmarkEnd w:id="2"/>
    </w:p>
    <w:p w:rsidR="0059398E" w:rsidRPr="00FB4017" w:rsidRDefault="001837D1" w:rsidP="00F238ED">
      <w:pPr>
        <w:widowControl w:val="0"/>
        <w:suppressLineNumbers/>
        <w:suppressAutoHyphens/>
        <w:rPr>
          <w:i/>
          <w:vanish/>
          <w:lang w:val="et-EE"/>
        </w:rPr>
      </w:pPr>
      <w:r>
        <w:rPr>
          <w:i/>
          <w:lang w:val="et-EE"/>
        </w:rPr>
        <w:fldChar w:fldCharType="begin"/>
      </w:r>
      <w:r w:rsidR="0059398E" w:rsidRPr="00FB4017">
        <w:rPr>
          <w:i/>
          <w:lang w:val="et-EE"/>
        </w:rPr>
        <w:instrText>tc "(</w:instrText>
      </w:r>
      <w:bookmarkStart w:id="3" w:name="DocNumber"/>
      <w:r w:rsidR="0059398E" w:rsidRPr="00FB4017">
        <w:rPr>
          <w:i/>
          <w:lang w:val="et-EE"/>
        </w:rPr>
        <w:instrText>A7-0179/2013</w:instrText>
      </w:r>
      <w:bookmarkEnd w:id="3"/>
      <w:r w:rsidR="0059398E" w:rsidRPr="00FB4017">
        <w:rPr>
          <w:i/>
          <w:lang w:val="et-EE"/>
        </w:rPr>
        <w:instrText xml:space="preserve"> - Raportöör: Herbert Dorfmann)" \l 3 \n&gt;MERGEFORMAT</w:instrText>
      </w:r>
      <w:r>
        <w:rPr>
          <w:i/>
          <w:lang w:val="et-EE"/>
        </w:rPr>
        <w:fldChar w:fldCharType="end"/>
      </w:r>
    </w:p>
    <w:p w:rsidR="0059398E" w:rsidRPr="00FB4017" w:rsidRDefault="0059398E" w:rsidP="00F238ED">
      <w:pPr>
        <w:widowControl w:val="0"/>
        <w:suppressLineNumbers/>
        <w:suppressAutoHyphens/>
        <w:rPr>
          <w:vanish/>
          <w:lang w:val="et-EE"/>
        </w:rPr>
      </w:pPr>
      <w:bookmarkStart w:id="4" w:name="Commission"/>
      <w:r w:rsidRPr="00FB4017">
        <w:rPr>
          <w:vanish/>
          <w:lang w:val="et-EE"/>
        </w:rPr>
        <w:t>Majandus- ja rahanduskomisjon</w:t>
      </w:r>
      <w:bookmarkEnd w:id="4"/>
    </w:p>
    <w:p w:rsidR="0059398E" w:rsidRPr="00FB4017" w:rsidRDefault="0059398E" w:rsidP="00F238ED">
      <w:pPr>
        <w:widowControl w:val="0"/>
        <w:suppressLineNumbers/>
        <w:suppressAutoHyphens/>
        <w:rPr>
          <w:vanish/>
          <w:lang w:val="et-EE"/>
        </w:rPr>
      </w:pPr>
      <w:bookmarkStart w:id="5" w:name="PE"/>
      <w:r w:rsidRPr="00FB4017">
        <w:rPr>
          <w:vanish/>
          <w:lang w:val="et-EE"/>
        </w:rPr>
        <w:t>PE506.361</w:t>
      </w:r>
      <w:bookmarkEnd w:id="5"/>
    </w:p>
    <w:p w:rsidR="0059398E" w:rsidRPr="00FB4017" w:rsidRDefault="0059398E" w:rsidP="00F238ED">
      <w:pPr>
        <w:pStyle w:val="ATHeading3"/>
        <w:keepNext w:val="0"/>
        <w:keepLines w:val="0"/>
        <w:widowControl w:val="0"/>
        <w:suppressLineNumbers/>
        <w:suppressAutoHyphens/>
        <w:rPr>
          <w:noProof w:val="0"/>
          <w:lang w:val="et-EE"/>
        </w:rPr>
      </w:pPr>
      <w:bookmarkStart w:id="6" w:name="Sujet"/>
      <w:r w:rsidRPr="00FB4017">
        <w:rPr>
          <w:noProof w:val="0"/>
          <w:lang w:val="et-EE"/>
        </w:rPr>
        <w:t>Euroopa Parlamen</w:t>
      </w:r>
      <w:r w:rsidR="00990A7D" w:rsidRPr="00FB4017">
        <w:rPr>
          <w:noProof w:val="0"/>
          <w:lang w:val="et-EE"/>
        </w:rPr>
        <w:t xml:space="preserve">di </w:t>
      </w:r>
      <w:r w:rsidR="0026112F" w:rsidRPr="00FB4017">
        <w:rPr>
          <w:noProof w:val="0"/>
          <w:lang w:val="et-EE"/>
        </w:rPr>
        <w:t>2</w:t>
      </w:r>
      <w:r w:rsidR="00990A7D" w:rsidRPr="00FB4017">
        <w:rPr>
          <w:noProof w:val="0"/>
          <w:lang w:val="et-EE"/>
        </w:rPr>
        <w:t>. juuli</w:t>
      </w:r>
      <w:r w:rsidRPr="00FB4017">
        <w:rPr>
          <w:noProof w:val="0"/>
          <w:lang w:val="et-EE"/>
        </w:rPr>
        <w:t xml:space="preserve"> 2013. aasta seadusandlik resolutsioon ettepaneku kohta võtta vastu nõukogu määrus, millega muudetakse nõukogu 7. mai 1998. aasta määrust (EÜ) nr 994/98, milles käsitletakse Euroopa Ühenduse asutamislepingu artiklite 92 ja 93 kohaldamist teatavate horisontaalse riigiabi liikide suhtes ning Euroopa Parlamendi ja nõukogu 23. oktoobri 2007. aasta määrust (EÜ) nr 1370/2007, mis käsitleb avaliku reisijateveoteenuse osutamist raudteel ja maanteel</w:t>
      </w:r>
      <w:bookmarkEnd w:id="6"/>
      <w:r w:rsidRPr="00FB4017">
        <w:rPr>
          <w:noProof w:val="0"/>
          <w:lang w:val="et-EE"/>
        </w:rPr>
        <w:t xml:space="preserve"> </w:t>
      </w:r>
      <w:bookmarkStart w:id="7" w:name="References"/>
      <w:r w:rsidRPr="00FB4017">
        <w:rPr>
          <w:noProof w:val="0"/>
          <w:lang w:val="et-EE"/>
        </w:rPr>
        <w:t>(COM(2012)0730 – C7-0005/2013 – 2012/0344(NLE))</w:t>
      </w:r>
      <w:bookmarkEnd w:id="7"/>
    </w:p>
    <w:p w:rsidR="001469DE" w:rsidRPr="00FB4017" w:rsidRDefault="001469DE" w:rsidP="00F238ED">
      <w:pPr>
        <w:pStyle w:val="Normal12Bold"/>
        <w:suppressLineNumbers/>
        <w:suppressAutoHyphens/>
        <w:rPr>
          <w:szCs w:val="24"/>
        </w:rPr>
      </w:pPr>
      <w:bookmarkStart w:id="8" w:name="TextBodyBegin"/>
      <w:bookmarkEnd w:id="8"/>
      <w:r w:rsidRPr="00FB4017">
        <w:rPr>
          <w:szCs w:val="24"/>
        </w:rPr>
        <w:t>(Konsulteerimine)</w:t>
      </w:r>
    </w:p>
    <w:p w:rsidR="001469DE" w:rsidRPr="00FB4017" w:rsidRDefault="001469DE" w:rsidP="00F238ED">
      <w:pPr>
        <w:pStyle w:val="Normal12"/>
        <w:suppressLineNumbers/>
        <w:suppressAutoHyphens/>
        <w:spacing w:before="360" w:after="120"/>
        <w:ind w:left="720" w:hanging="720"/>
        <w:rPr>
          <w:szCs w:val="24"/>
        </w:rPr>
      </w:pPr>
      <w:r w:rsidRPr="00FB4017">
        <w:rPr>
          <w:i/>
          <w:szCs w:val="24"/>
        </w:rPr>
        <w:t>Euroopa Parlament</w:t>
      </w:r>
      <w:r w:rsidRPr="00FB4017">
        <w:rPr>
          <w:szCs w:val="24"/>
        </w:rPr>
        <w:t>,</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w:t>
      </w:r>
      <w:r w:rsidRPr="00FB4017">
        <w:rPr>
          <w:szCs w:val="24"/>
        </w:rPr>
        <w:tab/>
        <w:t>võttes arvesse komisjoni ettepanekut nõukogule (COM(2012)0730),</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w:t>
      </w:r>
      <w:r w:rsidRPr="00FB4017">
        <w:rPr>
          <w:szCs w:val="24"/>
        </w:rPr>
        <w:tab/>
        <w:t>võttes arvesse Euroopa Liidu toimimise lepingu artiklit 109, mille alusel nõukogu konsulteeris Euroopa Parlamendiga (C7</w:t>
      </w:r>
      <w:r w:rsidRPr="00FB4017">
        <w:rPr>
          <w:szCs w:val="24"/>
        </w:rPr>
        <w:noBreakHyphen/>
        <w:t>0005/2013),</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w:t>
      </w:r>
      <w:r w:rsidRPr="00FB4017">
        <w:rPr>
          <w:szCs w:val="24"/>
        </w:rPr>
        <w:tab/>
        <w:t xml:space="preserve">võttes arvesse komisjoni 6. augusti 2008. aasta määrust (EÜ) nr 800/2008 EÜ asutamislepingu artiklite 87 ja 88 kohaldamise kohta, millega teatavat liiki abi tunnistatakse ühisturuga kokkusobivaks </w:t>
      </w:r>
      <w:r w:rsidR="005B399C" w:rsidRPr="00FB4017">
        <w:rPr>
          <w:szCs w:val="24"/>
        </w:rPr>
        <w:t>(</w:t>
      </w:r>
      <w:r w:rsidRPr="00FB4017">
        <w:rPr>
          <w:szCs w:val="24"/>
        </w:rPr>
        <w:t>edaspidi „üldine grupierandi määrus”</w:t>
      </w:r>
      <w:r w:rsidR="005B399C" w:rsidRPr="00FB4017">
        <w:rPr>
          <w:szCs w:val="24"/>
        </w:rPr>
        <w:t>)</w:t>
      </w:r>
      <w:r w:rsidR="00FB4017">
        <w:rPr>
          <w:rStyle w:val="FootnoteReference"/>
          <w:szCs w:val="24"/>
        </w:rPr>
        <w:footnoteReference w:id="1"/>
      </w:r>
      <w:r w:rsidRPr="00FB4017">
        <w:rPr>
          <w:szCs w:val="24"/>
        </w:rPr>
        <w:t>,</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w:t>
      </w:r>
      <w:r w:rsidRPr="00FB4017">
        <w:rPr>
          <w:szCs w:val="24"/>
        </w:rPr>
        <w:tab/>
        <w:t>võttes arvesse kodukorra artiklit 55,</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w:t>
      </w:r>
      <w:r w:rsidRPr="00FB4017">
        <w:rPr>
          <w:szCs w:val="24"/>
        </w:rPr>
        <w:tab/>
        <w:t>võttes arvesse majandus- ja rahanduskomisjoni raportit ning transpordi- ja turismikomisjoni arvamust (A7-0179/2013),</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1.</w:t>
      </w:r>
      <w:r w:rsidRPr="00FB4017">
        <w:rPr>
          <w:szCs w:val="24"/>
        </w:rPr>
        <w:tab/>
        <w:t>kiidab komisjoni ettepaneku muudetud kujul heaks;</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2.</w:t>
      </w:r>
      <w:r w:rsidRPr="00FB4017">
        <w:rPr>
          <w:szCs w:val="24"/>
        </w:rPr>
        <w:tab/>
        <w:t>palub komisjonil ettepanekut vastavalt muuta, järgides Euroopa Liidu toimimise lepingu artikli 293 lõiget 2;</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3.</w:t>
      </w:r>
      <w:r w:rsidRPr="00FB4017">
        <w:rPr>
          <w:szCs w:val="24"/>
        </w:rPr>
        <w:tab/>
        <w:t>palub nõukogul Euroopa Parlamenti teavitada, kui nõukogu kavatseb Euroopa Parlamendi poolt heaks kiidetud teksti muuta;</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4.</w:t>
      </w:r>
      <w:r w:rsidRPr="00FB4017">
        <w:rPr>
          <w:szCs w:val="24"/>
        </w:rPr>
        <w:tab/>
        <w:t>palub nõukogul Euroopa Parlamendiga uuesti konsulteerida, kui nõukogu kavatseb komisjoni ettepanekut oluliselt muuta;</w:t>
      </w:r>
    </w:p>
    <w:p w:rsidR="001469DE" w:rsidRPr="00FB4017" w:rsidRDefault="001469DE" w:rsidP="00F238ED">
      <w:pPr>
        <w:pStyle w:val="Normal12Hanging"/>
        <w:suppressLineNumbers/>
        <w:suppressAutoHyphens/>
        <w:spacing w:before="120" w:after="120"/>
        <w:ind w:left="720" w:hanging="720"/>
        <w:rPr>
          <w:szCs w:val="24"/>
        </w:rPr>
      </w:pPr>
      <w:r w:rsidRPr="00FB4017">
        <w:rPr>
          <w:szCs w:val="24"/>
        </w:rPr>
        <w:t>5.</w:t>
      </w:r>
      <w:r w:rsidRPr="00FB4017">
        <w:rPr>
          <w:szCs w:val="24"/>
        </w:rPr>
        <w:tab/>
        <w:t>teeb presidendile ülesandeks edastada Euroopa Parlamendi seisukoht nõukogule ja komisjonile.</w:t>
      </w:r>
    </w:p>
    <w:p w:rsidR="001469DE" w:rsidRPr="00FB4017" w:rsidRDefault="001469DE" w:rsidP="00F238ED">
      <w:pPr>
        <w:pStyle w:val="AMNumberTabs"/>
        <w:suppressLineNumbers/>
        <w:suppressAutoHyphens/>
        <w:spacing w:before="120" w:after="120"/>
        <w:ind w:left="720" w:hanging="720"/>
        <w:rPr>
          <w:szCs w:val="24"/>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2</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Põhjendus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(1) Nõukogu 7. mai 1998. aasta määruses (EÜ) nr 994/98, milles käsitletakse Euroopa Ühenduse asutamislepingu artiklite 92 ja 93 kohaldamist teatavate horisontaalse riigiabi liikide suhtes, antakse komisjonile õigus teatada määruste kaudu, et teatavad abi eriliigid sobivad kokku siseturuga ning nende suhtes ei kohaldata teatamiskohustust asutamislepingu artikli 108 lõike 3 tähenduses.</w:t>
            </w:r>
          </w:p>
        </w:tc>
        <w:tc>
          <w:tcPr>
            <w:tcW w:w="4876" w:type="dxa"/>
          </w:tcPr>
          <w:p w:rsidR="001469DE" w:rsidRPr="00FB4017" w:rsidRDefault="001469DE" w:rsidP="00330004">
            <w:pPr>
              <w:pStyle w:val="Normal6"/>
              <w:suppressLineNumbers/>
              <w:suppressAutoHyphens/>
              <w:rPr>
                <w:szCs w:val="24"/>
              </w:rPr>
            </w:pPr>
            <w:r w:rsidRPr="00FB4017">
              <w:rPr>
                <w:szCs w:val="24"/>
              </w:rPr>
              <w:t xml:space="preserve">(1) Nõukogu 7. mai 1998. aasta määruses (EÜ) nr 994/98, milles käsitletakse Euroopa Ühenduse asutamislepingu artiklite 92 ja 93 kohaldamist teatavate horisontaalse riigiabi liikide suhtes, antakse komisjonile õigus teatada määruste kaudu, et teatavad abi eriliigid sobivad kokku siseturuga ning nende suhtes ei kohaldata aluslepingu artikli 108 lõikes 3 sätestatud teatamiskohustust. </w:t>
            </w:r>
            <w:r w:rsidRPr="00FB4017">
              <w:rPr>
                <w:b/>
                <w:i/>
                <w:szCs w:val="24"/>
              </w:rPr>
              <w:t xml:space="preserve">Need abiliigid täpsustatakse määruses (EÜ) nr 994/98, </w:t>
            </w:r>
            <w:r w:rsidR="005B399C" w:rsidRPr="00FB4017">
              <w:rPr>
                <w:b/>
                <w:i/>
                <w:szCs w:val="24"/>
              </w:rPr>
              <w:t xml:space="preserve">samas kui </w:t>
            </w:r>
            <w:r w:rsidRPr="00FB4017">
              <w:rPr>
                <w:b/>
                <w:i/>
                <w:szCs w:val="24"/>
              </w:rPr>
              <w:t xml:space="preserve">erandite </w:t>
            </w:r>
            <w:r w:rsidR="005B399C" w:rsidRPr="00FB4017">
              <w:rPr>
                <w:b/>
                <w:i/>
                <w:szCs w:val="24"/>
              </w:rPr>
              <w:t xml:space="preserve">üksikasju </w:t>
            </w:r>
            <w:r w:rsidRPr="00FB4017">
              <w:rPr>
                <w:b/>
                <w:i/>
                <w:szCs w:val="24"/>
              </w:rPr>
              <w:t>ja eesmär</w:t>
            </w:r>
            <w:r w:rsidR="005B399C" w:rsidRPr="00FB4017">
              <w:rPr>
                <w:b/>
                <w:i/>
                <w:szCs w:val="24"/>
              </w:rPr>
              <w:t>ke</w:t>
            </w:r>
            <w:r w:rsidRPr="00FB4017">
              <w:rPr>
                <w:b/>
                <w:i/>
                <w:szCs w:val="24"/>
              </w:rPr>
              <w:t xml:space="preserve"> selgitatakse asjakohastes määrustes ja suunistes.</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3</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990A7D" w:rsidP="00F238ED">
      <w:pPr>
        <w:pStyle w:val="NormalBold"/>
        <w:suppressLineNumbers/>
        <w:suppressAutoHyphens/>
        <w:rPr>
          <w:szCs w:val="24"/>
        </w:rPr>
      </w:pPr>
      <w:r w:rsidRPr="00FB4017">
        <w:rPr>
          <w:szCs w:val="24"/>
        </w:rPr>
        <w:t>Põhjendus 1</w:t>
      </w:r>
      <w:r w:rsidR="001469DE" w:rsidRPr="00FB4017">
        <w:rPr>
          <w:szCs w:val="24"/>
        </w:rPr>
        <w:t>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990A7D" w:rsidP="00F238ED">
            <w:pPr>
              <w:pStyle w:val="Normal6"/>
              <w:suppressLineNumbers/>
              <w:suppressAutoHyphens/>
              <w:rPr>
                <w:szCs w:val="24"/>
              </w:rPr>
            </w:pPr>
            <w:r w:rsidRPr="00FB4017">
              <w:rPr>
                <w:b/>
                <w:i/>
                <w:szCs w:val="24"/>
              </w:rPr>
              <w:t>(1</w:t>
            </w:r>
            <w:r w:rsidR="001469DE" w:rsidRPr="00FB4017">
              <w:rPr>
                <w:b/>
                <w:i/>
                <w:szCs w:val="24"/>
              </w:rPr>
              <w:t xml:space="preserve">a) Komisjoni eesmärk on leida õige tasakaal selle vahel, kuidas keskenduda </w:t>
            </w:r>
            <w:r w:rsidR="005B399C" w:rsidRPr="00FB4017">
              <w:rPr>
                <w:b/>
                <w:i/>
                <w:szCs w:val="24"/>
              </w:rPr>
              <w:t>haldussunni rakendamisel</w:t>
            </w:r>
            <w:r w:rsidR="001469DE" w:rsidRPr="00FB4017">
              <w:rPr>
                <w:b/>
                <w:i/>
                <w:szCs w:val="24"/>
              </w:rPr>
              <w:t xml:space="preserve"> siseturule olulist mõju omavatele juhtumitele, vabastades teatavad abi eriliigid teatamiskohustusest, kuid vältida samal ajal seda, et liiga paljud teenused ei jääks riigiabi kontrolli alt välja. </w:t>
            </w:r>
          </w:p>
        </w:tc>
      </w:tr>
    </w:tbl>
    <w:p w:rsidR="001469DE" w:rsidRPr="00FB4017" w:rsidRDefault="001469DE" w:rsidP="00F238ED">
      <w:pPr>
        <w:widowControl w:val="0"/>
        <w:suppressLineNumbers/>
        <w:suppressAutoHyphens/>
        <w:rPr>
          <w:szCs w:val="24"/>
          <w:lang w:val="et-EE"/>
        </w:rPr>
      </w:pPr>
    </w:p>
    <w:p w:rsidR="00E47C82" w:rsidRPr="00FB4017" w:rsidRDefault="00E47C82" w:rsidP="00F238ED">
      <w:pPr>
        <w:pStyle w:val="AMNumberTabs"/>
        <w:suppressLineNumbers/>
        <w:suppressAutoHyphens/>
        <w:spacing w:before="0"/>
        <w:rPr>
          <w:szCs w:val="24"/>
        </w:rPr>
      </w:pPr>
      <w:r w:rsidRPr="00FB4017">
        <w:rPr>
          <w:szCs w:val="24"/>
        </w:rPr>
        <w:t>Muudatusettepanek</w:t>
      </w:r>
      <w:r w:rsidRPr="00FB4017">
        <w:rPr>
          <w:szCs w:val="24"/>
        </w:rPr>
        <w:tab/>
      </w:r>
      <w:r w:rsidRPr="00FB4017">
        <w:rPr>
          <w:szCs w:val="24"/>
        </w:rPr>
        <w:tab/>
      </w:r>
      <w:r w:rsidRPr="00FB4017">
        <w:rPr>
          <w:color w:val="000000"/>
          <w:szCs w:val="24"/>
        </w:rPr>
        <w:t>1</w:t>
      </w:r>
      <w:r w:rsidRPr="00FB4017">
        <w:rPr>
          <w:color w:val="000000"/>
          <w:szCs w:val="24"/>
        </w:rPr>
        <w:br/>
      </w:r>
    </w:p>
    <w:p w:rsidR="00E47C82" w:rsidRPr="00FB4017" w:rsidRDefault="00E47C82" w:rsidP="00F238ED">
      <w:pPr>
        <w:pStyle w:val="NormalBold"/>
        <w:suppressLineNumbers/>
        <w:suppressAutoHyphens/>
        <w:rPr>
          <w:szCs w:val="24"/>
        </w:rPr>
      </w:pPr>
      <w:r w:rsidRPr="00FB4017">
        <w:rPr>
          <w:szCs w:val="24"/>
        </w:rPr>
        <w:t>Ettepanek võtta vastu määrus</w:t>
      </w:r>
    </w:p>
    <w:p w:rsidR="00E47C82" w:rsidRPr="00FB4017" w:rsidRDefault="00E47C82" w:rsidP="00F238ED">
      <w:pPr>
        <w:pStyle w:val="NormalBold"/>
        <w:suppressLineNumbers/>
        <w:suppressAutoHyphens/>
        <w:rPr>
          <w:szCs w:val="24"/>
        </w:rPr>
      </w:pPr>
      <w:r w:rsidRPr="00FB4017">
        <w:rPr>
          <w:szCs w:val="24"/>
        </w:rPr>
        <w:t>Põhjendus 1b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47C82" w:rsidRPr="00394A5E" w:rsidTr="00E47C82">
        <w:trPr>
          <w:jc w:val="center"/>
        </w:trPr>
        <w:tc>
          <w:tcPr>
            <w:tcW w:w="9752" w:type="dxa"/>
            <w:gridSpan w:val="2"/>
          </w:tcPr>
          <w:p w:rsidR="00E47C82" w:rsidRPr="00FB4017" w:rsidRDefault="00E47C82" w:rsidP="00F238ED">
            <w:pPr>
              <w:widowControl w:val="0"/>
              <w:suppressLineNumbers/>
              <w:suppressAutoHyphens/>
              <w:rPr>
                <w:szCs w:val="24"/>
                <w:lang w:val="et-EE"/>
              </w:rPr>
            </w:pPr>
          </w:p>
        </w:tc>
      </w:tr>
      <w:tr w:rsidR="00E47C82" w:rsidRPr="00FB4017" w:rsidTr="00E47C82">
        <w:trPr>
          <w:jc w:val="center"/>
        </w:trPr>
        <w:tc>
          <w:tcPr>
            <w:tcW w:w="4876" w:type="dxa"/>
          </w:tcPr>
          <w:p w:rsidR="00E47C82" w:rsidRPr="00FB4017" w:rsidRDefault="00E47C82" w:rsidP="00F238ED">
            <w:pPr>
              <w:pStyle w:val="ColumnHeading"/>
              <w:suppressLineNumbers/>
              <w:suppressAutoHyphens/>
              <w:rPr>
                <w:szCs w:val="24"/>
              </w:rPr>
            </w:pPr>
            <w:r w:rsidRPr="00FB4017">
              <w:rPr>
                <w:szCs w:val="24"/>
              </w:rPr>
              <w:t>Komisjoni ettepanek</w:t>
            </w:r>
          </w:p>
        </w:tc>
        <w:tc>
          <w:tcPr>
            <w:tcW w:w="4876" w:type="dxa"/>
          </w:tcPr>
          <w:p w:rsidR="00E47C82" w:rsidRPr="00FB4017" w:rsidRDefault="00E47C82" w:rsidP="00F238ED">
            <w:pPr>
              <w:pStyle w:val="ColumnHeading"/>
              <w:suppressLineNumbers/>
              <w:suppressAutoHyphens/>
              <w:rPr>
                <w:szCs w:val="24"/>
              </w:rPr>
            </w:pPr>
            <w:r w:rsidRPr="00FB4017">
              <w:rPr>
                <w:szCs w:val="24"/>
              </w:rPr>
              <w:t>Muudatusettepanek</w:t>
            </w:r>
          </w:p>
        </w:tc>
      </w:tr>
      <w:tr w:rsidR="00E47C82" w:rsidRPr="00394A5E" w:rsidTr="00E47C82">
        <w:trPr>
          <w:jc w:val="center"/>
        </w:trPr>
        <w:tc>
          <w:tcPr>
            <w:tcW w:w="4876" w:type="dxa"/>
          </w:tcPr>
          <w:p w:rsidR="00E47C82" w:rsidRDefault="00E47C82" w:rsidP="00F238ED">
            <w:pPr>
              <w:pStyle w:val="Normal6"/>
              <w:suppressLineNumbers/>
              <w:suppressAutoHyphens/>
              <w:rPr>
                <w:szCs w:val="24"/>
              </w:rPr>
            </w:pPr>
          </w:p>
          <w:p w:rsidR="00FB3E34" w:rsidRPr="00FB4017" w:rsidRDefault="00FB3E34" w:rsidP="00F238ED">
            <w:pPr>
              <w:pStyle w:val="Normal6"/>
              <w:suppressLineNumbers/>
              <w:suppressAutoHyphens/>
              <w:rPr>
                <w:szCs w:val="24"/>
              </w:rPr>
            </w:pPr>
          </w:p>
        </w:tc>
        <w:tc>
          <w:tcPr>
            <w:tcW w:w="4876" w:type="dxa"/>
          </w:tcPr>
          <w:p w:rsidR="00E47C82" w:rsidRPr="00FB4017" w:rsidRDefault="00E47C82" w:rsidP="00F238ED">
            <w:pPr>
              <w:pStyle w:val="Normal6"/>
              <w:suppressLineNumbers/>
              <w:suppressAutoHyphens/>
              <w:rPr>
                <w:szCs w:val="24"/>
              </w:rPr>
            </w:pPr>
            <w:r w:rsidRPr="00FB4017">
              <w:rPr>
                <w:b/>
                <w:i/>
                <w:szCs w:val="24"/>
              </w:rPr>
              <w:t xml:space="preserve">(1b) Siinkohal tuleks pöörata piisavat tähelepanu Euroopa Kontrollikoja eriaruande nr 15/2011 „Kas komisjoni menetlused tagavad riigiabi kontrolli </w:t>
            </w:r>
            <w:r w:rsidRPr="00FB4017">
              <w:rPr>
                <w:b/>
                <w:i/>
                <w:szCs w:val="24"/>
              </w:rPr>
              <w:lastRenderedPageBreak/>
              <w:t>tõhusa juhtimise?”</w:t>
            </w:r>
            <w:r w:rsidR="00FB4017">
              <w:rPr>
                <w:b/>
                <w:i/>
                <w:szCs w:val="24"/>
              </w:rPr>
              <w:t xml:space="preserve"> </w:t>
            </w:r>
            <w:r w:rsidRPr="00FB4017">
              <w:rPr>
                <w:b/>
                <w:i/>
                <w:szCs w:val="24"/>
              </w:rPr>
              <w:t>järeldustele.</w:t>
            </w:r>
          </w:p>
        </w:tc>
      </w:tr>
    </w:tbl>
    <w:p w:rsidR="00E47C82" w:rsidRPr="00FB4017" w:rsidRDefault="00E47C82"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4</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Põhjendus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(3)</w:t>
            </w:r>
            <w:r w:rsidRPr="00FB4017">
              <w:rPr>
                <w:b/>
                <w:i/>
                <w:szCs w:val="24"/>
              </w:rPr>
              <w:t xml:space="preserve"> </w:t>
            </w:r>
            <w:r w:rsidRPr="00FB4017">
              <w:rPr>
                <w:szCs w:val="24"/>
              </w:rPr>
              <w:t>Määrus</w:t>
            </w:r>
            <w:r w:rsidRPr="00FB4017">
              <w:rPr>
                <w:b/>
                <w:i/>
                <w:szCs w:val="24"/>
              </w:rPr>
              <w:t xml:space="preserve"> </w:t>
            </w:r>
            <w:r w:rsidRPr="00FB4017">
              <w:rPr>
                <w:szCs w:val="24"/>
              </w:rPr>
              <w:t>(EÜ) nr 994/98 lubab komisjonil teatamiskohustusest vabastada teadus- ja arendustegevusele, kuid mitte innovatsioonile antava abi.</w:t>
            </w:r>
            <w:r w:rsidRPr="00FB4017">
              <w:rPr>
                <w:b/>
                <w:i/>
                <w:szCs w:val="24"/>
              </w:rPr>
              <w:t xml:space="preserve"> </w:t>
            </w:r>
            <w:r w:rsidRPr="00FB4017">
              <w:rPr>
                <w:szCs w:val="24"/>
              </w:rPr>
              <w:t>Innovatsioonist on vahepeal saanud ühe Euroopa 2020. aasta strateegia juhtalgatuse</w:t>
            </w:r>
            <w:r w:rsidRPr="00FB4017">
              <w:rPr>
                <w:b/>
                <w:i/>
                <w:szCs w:val="24"/>
              </w:rPr>
              <w:t xml:space="preserve"> </w:t>
            </w:r>
            <w:r w:rsidRPr="00FB4017">
              <w:rPr>
                <w:szCs w:val="24"/>
              </w:rPr>
              <w:t>„Innovaatiline liit” raames liidu poliitikaprioriteet.</w:t>
            </w:r>
            <w:r w:rsidRPr="00FB4017">
              <w:rPr>
                <w:b/>
                <w:i/>
                <w:szCs w:val="24"/>
              </w:rPr>
              <w:t xml:space="preserve"> </w:t>
            </w:r>
            <w:r w:rsidRPr="00FB4017">
              <w:rPr>
                <w:szCs w:val="24"/>
              </w:rPr>
              <w:t>Lisaks sellele on paljud innovatsioonile antavad abimeetmed suhteliselt väikese mahuga ning ei põhjusta märkimisväärset konkurentsimoonutust.</w:t>
            </w:r>
          </w:p>
        </w:tc>
        <w:tc>
          <w:tcPr>
            <w:tcW w:w="4876" w:type="dxa"/>
          </w:tcPr>
          <w:p w:rsidR="001469DE" w:rsidRPr="00FB4017" w:rsidRDefault="001469DE" w:rsidP="00F238ED">
            <w:pPr>
              <w:pStyle w:val="Normal6"/>
              <w:suppressLineNumbers/>
              <w:suppressAutoHyphens/>
              <w:rPr>
                <w:szCs w:val="24"/>
              </w:rPr>
            </w:pPr>
            <w:r w:rsidRPr="00FB4017">
              <w:rPr>
                <w:szCs w:val="24"/>
              </w:rPr>
              <w:t>(3)</w:t>
            </w:r>
            <w:r w:rsidRPr="00FB4017">
              <w:rPr>
                <w:b/>
                <w:i/>
                <w:szCs w:val="24"/>
              </w:rPr>
              <w:t xml:space="preserve"> </w:t>
            </w:r>
            <w:r w:rsidRPr="00FB4017">
              <w:rPr>
                <w:szCs w:val="24"/>
              </w:rPr>
              <w:t>Määrus</w:t>
            </w:r>
            <w:r w:rsidRPr="00FB4017">
              <w:rPr>
                <w:b/>
                <w:i/>
                <w:szCs w:val="24"/>
              </w:rPr>
              <w:t xml:space="preserve"> </w:t>
            </w:r>
            <w:r w:rsidRPr="00FB4017">
              <w:rPr>
                <w:szCs w:val="24"/>
              </w:rPr>
              <w:t>(EÜ) nr 994/98 lubab komisjonil teatamiskohustusest vabastada teadus- ja arendustegevusele, kuid mitte innovatsioonile antava abi.</w:t>
            </w:r>
            <w:r w:rsidRPr="00FB4017">
              <w:rPr>
                <w:b/>
                <w:i/>
                <w:szCs w:val="24"/>
              </w:rPr>
              <w:t xml:space="preserve"> </w:t>
            </w:r>
            <w:r w:rsidRPr="00FB4017">
              <w:rPr>
                <w:szCs w:val="24"/>
              </w:rPr>
              <w:t>Innovatsioonist</w:t>
            </w:r>
            <w:r w:rsidRPr="00FB4017">
              <w:rPr>
                <w:b/>
                <w:i/>
                <w:szCs w:val="24"/>
              </w:rPr>
              <w:t>, sealhulgas sotsiaalsest innovatsioonist,</w:t>
            </w:r>
            <w:r w:rsidRPr="00FB4017">
              <w:rPr>
                <w:szCs w:val="24"/>
              </w:rPr>
              <w:t xml:space="preserve"> on vahepeal saanud ühe Euroopa 2020. aasta strateegia juhtalgatuse</w:t>
            </w:r>
            <w:r w:rsidRPr="00FB4017">
              <w:rPr>
                <w:b/>
                <w:i/>
                <w:szCs w:val="24"/>
              </w:rPr>
              <w:t xml:space="preserve"> </w:t>
            </w:r>
            <w:r w:rsidRPr="00FB4017">
              <w:rPr>
                <w:szCs w:val="24"/>
              </w:rPr>
              <w:t>„Innovaatiline liit” raames liidu poliitikaprioriteet.</w:t>
            </w:r>
            <w:r w:rsidRPr="00FB4017">
              <w:rPr>
                <w:b/>
                <w:i/>
                <w:szCs w:val="24"/>
              </w:rPr>
              <w:t xml:space="preserve"> </w:t>
            </w:r>
            <w:r w:rsidRPr="00FB4017">
              <w:rPr>
                <w:szCs w:val="24"/>
              </w:rPr>
              <w:t>Lisaks sellele on paljud innovatsioonile antavad abimeetmed suhteliselt väikese mahuga ning ei põhjusta märkimisväärset konkurentsimoonutust</w:t>
            </w:r>
            <w:r w:rsidRPr="00FB4017">
              <w:rPr>
                <w:b/>
                <w:i/>
                <w:szCs w:val="24"/>
              </w:rPr>
              <w:t>, eriti kui need on kooskõlas strateegia „Euroopa 2020” juhtalgatustega ja</w:t>
            </w:r>
            <w:r w:rsidR="005B399C" w:rsidRPr="00FB4017">
              <w:rPr>
                <w:b/>
                <w:i/>
                <w:szCs w:val="24"/>
              </w:rPr>
              <w:t xml:space="preserve"> teaduse ja uuendustegevuse uue raamprogrammiga</w:t>
            </w:r>
            <w:r w:rsidRPr="00FB4017">
              <w:rPr>
                <w:b/>
                <w:i/>
                <w:szCs w:val="24"/>
              </w:rPr>
              <w:t xml:space="preserve"> „Horisont 2020”</w:t>
            </w:r>
            <w:r w:rsidRPr="00FB4017">
              <w:rPr>
                <w:szCs w:val="24"/>
              </w:rPr>
              <w:t>.</w:t>
            </w:r>
            <w:r w:rsidRPr="00FB4017">
              <w:rPr>
                <w:b/>
                <w:i/>
                <w:szCs w:val="24"/>
              </w:rPr>
              <w:t xml:space="preserve"> </w:t>
            </w:r>
            <w:r w:rsidR="005B399C" w:rsidRPr="00FB4017">
              <w:rPr>
                <w:b/>
                <w:i/>
                <w:szCs w:val="24"/>
              </w:rPr>
              <w:t>Uus ü</w:t>
            </w:r>
            <w:r w:rsidRPr="00FB4017">
              <w:rPr>
                <w:b/>
                <w:i/>
                <w:szCs w:val="24"/>
              </w:rPr>
              <w:t>ldise grupierandi määrus täpsusta</w:t>
            </w:r>
            <w:r w:rsidR="005B399C" w:rsidRPr="00FB4017">
              <w:rPr>
                <w:b/>
                <w:i/>
                <w:szCs w:val="24"/>
              </w:rPr>
              <w:t>b</w:t>
            </w:r>
            <w:r w:rsidRPr="00FB4017">
              <w:rPr>
                <w:b/>
                <w:i/>
                <w:szCs w:val="24"/>
              </w:rPr>
              <w:t xml:space="preserve"> sellise abi tingimused ja liigid, mille suhtes võidakse teha erand.</w:t>
            </w:r>
          </w:p>
        </w:tc>
      </w:tr>
    </w:tbl>
    <w:p w:rsidR="001469DE" w:rsidRPr="00FB4017" w:rsidRDefault="001469DE" w:rsidP="00F238ED">
      <w:pPr>
        <w:widowControl w:val="0"/>
        <w:suppressLineNumbers/>
        <w:suppressAutoHyphens/>
        <w:rPr>
          <w:szCs w:val="24"/>
          <w:lang w:val="et-EE"/>
        </w:rPr>
      </w:pPr>
    </w:p>
    <w:p w:rsidR="00C120F6" w:rsidRPr="00FB4017" w:rsidRDefault="00C120F6" w:rsidP="00F238ED">
      <w:pPr>
        <w:pStyle w:val="AMNumberTabs"/>
        <w:suppressLineNumbers/>
        <w:suppressAutoHyphens/>
      </w:pPr>
      <w:r w:rsidRPr="00FB4017">
        <w:t>Muudatusettepanek</w:t>
      </w:r>
      <w:r w:rsidRPr="00FB4017">
        <w:tab/>
      </w:r>
      <w:r w:rsidRPr="00FB4017">
        <w:tab/>
      </w:r>
      <w:r w:rsidRPr="00FB4017">
        <w:rPr>
          <w:color w:val="000000"/>
        </w:rPr>
        <w:t>23</w:t>
      </w:r>
      <w:r w:rsidR="00BE028C" w:rsidRPr="00FB4017">
        <w:rPr>
          <w:szCs w:val="24"/>
        </w:rPr>
        <w:br/>
      </w:r>
    </w:p>
    <w:p w:rsidR="00C120F6" w:rsidRPr="00FB4017" w:rsidRDefault="00C120F6" w:rsidP="00F238ED">
      <w:pPr>
        <w:pStyle w:val="NormalBold"/>
        <w:suppressLineNumbers/>
        <w:suppressAutoHyphens/>
        <w:rPr>
          <w:szCs w:val="24"/>
        </w:rPr>
      </w:pPr>
      <w:r w:rsidRPr="00FB4017">
        <w:rPr>
          <w:szCs w:val="24"/>
        </w:rPr>
        <w:t>Ettepanek võtta vastu määrus</w:t>
      </w:r>
    </w:p>
    <w:p w:rsidR="00C120F6" w:rsidRPr="00FB4017" w:rsidRDefault="00C120F6" w:rsidP="00F238ED">
      <w:pPr>
        <w:pStyle w:val="NormalBold"/>
        <w:suppressLineNumbers/>
        <w:suppressAutoHyphens/>
        <w:rPr>
          <w:szCs w:val="24"/>
        </w:rPr>
      </w:pPr>
      <w:r w:rsidRPr="00FB4017">
        <w:rPr>
          <w:szCs w:val="24"/>
        </w:rPr>
        <w:t>Põhjendus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20F6" w:rsidRPr="00394A5E" w:rsidTr="00C120F6">
        <w:trPr>
          <w:jc w:val="center"/>
        </w:trPr>
        <w:tc>
          <w:tcPr>
            <w:tcW w:w="9752" w:type="dxa"/>
            <w:gridSpan w:val="2"/>
          </w:tcPr>
          <w:p w:rsidR="00C120F6" w:rsidRPr="00FB4017" w:rsidRDefault="00C120F6" w:rsidP="00F238ED">
            <w:pPr>
              <w:widowControl w:val="0"/>
              <w:suppressLineNumbers/>
              <w:suppressAutoHyphens/>
              <w:rPr>
                <w:szCs w:val="24"/>
                <w:lang w:val="et-EE"/>
              </w:rPr>
            </w:pPr>
          </w:p>
        </w:tc>
      </w:tr>
      <w:tr w:rsidR="00C120F6" w:rsidRPr="00FB4017" w:rsidTr="00C120F6">
        <w:trPr>
          <w:jc w:val="center"/>
        </w:trPr>
        <w:tc>
          <w:tcPr>
            <w:tcW w:w="4876" w:type="dxa"/>
          </w:tcPr>
          <w:p w:rsidR="00C120F6" w:rsidRPr="00FB4017" w:rsidRDefault="00C120F6" w:rsidP="00F238ED">
            <w:pPr>
              <w:pStyle w:val="ColumnHeading"/>
              <w:suppressLineNumbers/>
              <w:suppressAutoHyphens/>
              <w:rPr>
                <w:szCs w:val="24"/>
              </w:rPr>
            </w:pPr>
            <w:r w:rsidRPr="00FB4017">
              <w:rPr>
                <w:szCs w:val="24"/>
              </w:rPr>
              <w:t>Komisjoni ettepanek</w:t>
            </w:r>
          </w:p>
        </w:tc>
        <w:tc>
          <w:tcPr>
            <w:tcW w:w="4876" w:type="dxa"/>
          </w:tcPr>
          <w:p w:rsidR="00C120F6" w:rsidRPr="00FB4017" w:rsidRDefault="00C120F6" w:rsidP="00F238ED">
            <w:pPr>
              <w:pStyle w:val="ColumnHeading"/>
              <w:suppressLineNumbers/>
              <w:suppressAutoHyphens/>
              <w:rPr>
                <w:szCs w:val="24"/>
              </w:rPr>
            </w:pPr>
            <w:r w:rsidRPr="00FB4017">
              <w:rPr>
                <w:szCs w:val="24"/>
              </w:rPr>
              <w:t>Muudatusettepanek</w:t>
            </w:r>
          </w:p>
        </w:tc>
      </w:tr>
      <w:tr w:rsidR="00C120F6" w:rsidRPr="00394A5E" w:rsidTr="00C120F6">
        <w:trPr>
          <w:jc w:val="center"/>
        </w:trPr>
        <w:tc>
          <w:tcPr>
            <w:tcW w:w="4876" w:type="dxa"/>
          </w:tcPr>
          <w:p w:rsidR="00C120F6" w:rsidRPr="00FB4017" w:rsidRDefault="00C120F6" w:rsidP="00F238ED">
            <w:pPr>
              <w:pStyle w:val="Normal6"/>
              <w:suppressLineNumbers/>
              <w:suppressAutoHyphens/>
              <w:rPr>
                <w:szCs w:val="24"/>
              </w:rPr>
            </w:pPr>
            <w:r w:rsidRPr="00FB4017">
              <w:rPr>
                <w:szCs w:val="24"/>
              </w:rPr>
              <w:t>(9)</w:t>
            </w:r>
            <w:r w:rsidRPr="00FB4017">
              <w:rPr>
                <w:b/>
                <w:i/>
                <w:szCs w:val="24"/>
              </w:rPr>
              <w:t xml:space="preserve"> Harrastusspordi sektoris on riiklikel toetusmeetmetel juhul, k</w:t>
            </w:r>
            <w:bookmarkStart w:id="9" w:name="DocEPLastPosition"/>
            <w:bookmarkEnd w:id="9"/>
            <w:r w:rsidRPr="00FB4017">
              <w:rPr>
                <w:b/>
                <w:i/>
                <w:szCs w:val="24"/>
              </w:rPr>
              <w:t>ui need</w:t>
            </w:r>
            <w:r w:rsidRPr="00FB4017">
              <w:rPr>
                <w:szCs w:val="24"/>
              </w:rPr>
              <w:t xml:space="preserve"> kujutavad endast abi,</w:t>
            </w:r>
            <w:r w:rsidRPr="00FB4017">
              <w:rPr>
                <w:b/>
                <w:i/>
                <w:szCs w:val="24"/>
              </w:rPr>
              <w:t xml:space="preserve"> tavaliselt</w:t>
            </w:r>
            <w:r w:rsidRPr="00FB4017">
              <w:rPr>
                <w:szCs w:val="24"/>
              </w:rPr>
              <w:t xml:space="preserve"> piiratud mõju liidusisesele kaubandusele ning need ei põhjusta</w:t>
            </w:r>
            <w:r w:rsidRPr="00FB4017">
              <w:rPr>
                <w:b/>
                <w:i/>
                <w:szCs w:val="24"/>
              </w:rPr>
              <w:t xml:space="preserve"> tõsist</w:t>
            </w:r>
            <w:r w:rsidRPr="00FB4017">
              <w:rPr>
                <w:szCs w:val="24"/>
              </w:rPr>
              <w:t xml:space="preserve"> konkurentsimoonutust.</w:t>
            </w:r>
            <w:r w:rsidRPr="00FB4017">
              <w:rPr>
                <w:b/>
                <w:i/>
                <w:szCs w:val="24"/>
              </w:rPr>
              <w:t xml:space="preserve"> </w:t>
            </w:r>
            <w:r w:rsidRPr="00FB4017">
              <w:rPr>
                <w:szCs w:val="24"/>
              </w:rPr>
              <w:t>Toetuste summad on tavaliselt samuti piiratud.</w:t>
            </w:r>
            <w:r w:rsidRPr="00FB4017">
              <w:rPr>
                <w:b/>
                <w:i/>
                <w:szCs w:val="24"/>
              </w:rPr>
              <w:t xml:space="preserve"> </w:t>
            </w:r>
            <w:r w:rsidRPr="00FB4017">
              <w:rPr>
                <w:szCs w:val="24"/>
              </w:rPr>
              <w:t>Saadud kogemustele tuginedes on võimalik määratleda selged kokkusobivustingimused, tagamaks, et harrastusspordile antud abi ei tekitaks olulisi moonutusi.</w:t>
            </w:r>
          </w:p>
        </w:tc>
        <w:tc>
          <w:tcPr>
            <w:tcW w:w="4876" w:type="dxa"/>
          </w:tcPr>
          <w:p w:rsidR="00C120F6" w:rsidRPr="00FB4017" w:rsidRDefault="00C120F6" w:rsidP="00F238ED">
            <w:pPr>
              <w:pStyle w:val="Normal6"/>
              <w:suppressLineNumbers/>
              <w:suppressAutoHyphens/>
              <w:rPr>
                <w:szCs w:val="24"/>
              </w:rPr>
            </w:pPr>
            <w:bookmarkStart w:id="10" w:name="restart"/>
            <w:r w:rsidRPr="00FB4017">
              <w:rPr>
                <w:szCs w:val="24"/>
              </w:rPr>
              <w:t>(9)</w:t>
            </w:r>
            <w:r w:rsidRPr="00FB4017">
              <w:rPr>
                <w:b/>
                <w:i/>
                <w:szCs w:val="24"/>
              </w:rPr>
              <w:t xml:space="preserve"> Harrastussporti ei saa üldjuhul pidada majandustegevuseks. Kui harrastussport hõlmab erandkorras majandustegevust ja riiklikud toetusmeetmed</w:t>
            </w:r>
            <w:r w:rsidRPr="00FB4017">
              <w:rPr>
                <w:szCs w:val="24"/>
              </w:rPr>
              <w:t xml:space="preserve"> kujutavad endast abi,</w:t>
            </w:r>
            <w:r w:rsidRPr="00FB4017">
              <w:rPr>
                <w:b/>
                <w:i/>
                <w:szCs w:val="24"/>
              </w:rPr>
              <w:t xml:space="preserve"> on neil põhimõtteliselt</w:t>
            </w:r>
            <w:r w:rsidRPr="00FB4017">
              <w:rPr>
                <w:szCs w:val="24"/>
              </w:rPr>
              <w:t xml:space="preserve"> piiratud mõju liidusisesele kaubandusele ning need ei põhjusta konkurentsimoonutust.</w:t>
            </w:r>
            <w:r w:rsidRPr="00FB4017">
              <w:rPr>
                <w:b/>
                <w:i/>
                <w:szCs w:val="24"/>
              </w:rPr>
              <w:t xml:space="preserve"> </w:t>
            </w:r>
            <w:r w:rsidRPr="00FB4017">
              <w:rPr>
                <w:szCs w:val="24"/>
              </w:rPr>
              <w:t>Toetuste summad on tavaliselt samuti piiratud.</w:t>
            </w:r>
            <w:r w:rsidRPr="00FB4017">
              <w:rPr>
                <w:b/>
                <w:i/>
                <w:szCs w:val="24"/>
              </w:rPr>
              <w:t xml:space="preserve"> </w:t>
            </w:r>
            <w:r w:rsidRPr="00FB4017">
              <w:rPr>
                <w:szCs w:val="24"/>
              </w:rPr>
              <w:t xml:space="preserve">Saadud kogemustele tuginedes on võimalik määratleda selged kokkusobivustingimused, tagamaks, et harrastusspordile antud abi ei tekitaks </w:t>
            </w:r>
            <w:r w:rsidRPr="00FB4017">
              <w:rPr>
                <w:szCs w:val="24"/>
              </w:rPr>
              <w:lastRenderedPageBreak/>
              <w:t>olulisi moonutusi</w:t>
            </w:r>
            <w:r w:rsidRPr="00FB4017">
              <w:rPr>
                <w:b/>
                <w:i/>
                <w:szCs w:val="24"/>
              </w:rPr>
              <w:t>, kui harrastussport hõlmab erandkorras majandustegevust</w:t>
            </w:r>
            <w:r w:rsidRPr="00FB4017">
              <w:rPr>
                <w:szCs w:val="24"/>
              </w:rPr>
              <w:t>.</w:t>
            </w:r>
            <w:r w:rsidRPr="00FB4017">
              <w:rPr>
                <w:b/>
                <w:i/>
                <w:szCs w:val="24"/>
              </w:rPr>
              <w:t xml:space="preserve"> Uues grupierandi määruses tuleks täpsustada ja eristada, kas spordiühingutele antavat tegevustoetust või spordi infrastruktuuri projektidele suunatud toetust käsitatakse riigiabina.</w:t>
            </w:r>
            <w:bookmarkEnd w:id="10"/>
          </w:p>
        </w:tc>
      </w:tr>
    </w:tbl>
    <w:p w:rsidR="00C120F6" w:rsidRPr="00FB4017" w:rsidRDefault="00C120F6" w:rsidP="00F238ED">
      <w:pPr>
        <w:pStyle w:val="AMNumberTabs"/>
        <w:suppressLineNumbers/>
        <w:suppressAutoHyphens/>
        <w:rPr>
          <w:szCs w:val="24"/>
        </w:rPr>
      </w:pPr>
    </w:p>
    <w:p w:rsidR="00C120F6" w:rsidRPr="00FB4017" w:rsidRDefault="00C120F6" w:rsidP="00F238ED">
      <w:pPr>
        <w:pStyle w:val="AMNumberTabs"/>
        <w:suppressLineNumbers/>
        <w:suppressAutoHyphens/>
      </w:pPr>
      <w:r w:rsidRPr="00FB4017">
        <w:t>Muudatusettepanek</w:t>
      </w:r>
      <w:r w:rsidRPr="00FB4017">
        <w:tab/>
      </w:r>
      <w:r w:rsidRPr="00FB4017">
        <w:tab/>
      </w:r>
      <w:r w:rsidRPr="00FB4017">
        <w:rPr>
          <w:color w:val="000000"/>
        </w:rPr>
        <w:t>24</w:t>
      </w:r>
      <w:r w:rsidR="00BE028C" w:rsidRPr="00FB4017">
        <w:rPr>
          <w:szCs w:val="24"/>
        </w:rPr>
        <w:br/>
      </w:r>
    </w:p>
    <w:p w:rsidR="00C120F6" w:rsidRPr="00FB4017" w:rsidRDefault="00C120F6" w:rsidP="00F238ED">
      <w:pPr>
        <w:pStyle w:val="NormalBold"/>
        <w:suppressLineNumbers/>
        <w:suppressAutoHyphens/>
        <w:rPr>
          <w:szCs w:val="24"/>
        </w:rPr>
      </w:pPr>
      <w:r w:rsidRPr="00FB4017">
        <w:rPr>
          <w:szCs w:val="24"/>
        </w:rPr>
        <w:t>Ettepanek võtta vastu määrus</w:t>
      </w:r>
    </w:p>
    <w:p w:rsidR="00C120F6" w:rsidRPr="00FB4017" w:rsidRDefault="00C120F6" w:rsidP="00F238ED">
      <w:pPr>
        <w:pStyle w:val="NormalBold"/>
        <w:suppressLineNumbers/>
        <w:suppressAutoHyphens/>
        <w:rPr>
          <w:szCs w:val="24"/>
        </w:rPr>
      </w:pPr>
      <w:r w:rsidRPr="00FB4017">
        <w:rPr>
          <w:szCs w:val="24"/>
        </w:rPr>
        <w:t>Põhjendus 9a (uus)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20F6" w:rsidRPr="00394A5E" w:rsidTr="00C120F6">
        <w:trPr>
          <w:jc w:val="center"/>
        </w:trPr>
        <w:tc>
          <w:tcPr>
            <w:tcW w:w="9752" w:type="dxa"/>
            <w:gridSpan w:val="2"/>
          </w:tcPr>
          <w:p w:rsidR="00C120F6" w:rsidRPr="00FB4017" w:rsidRDefault="00C120F6" w:rsidP="00F238ED">
            <w:pPr>
              <w:widowControl w:val="0"/>
              <w:suppressLineNumbers/>
              <w:suppressAutoHyphens/>
              <w:rPr>
                <w:szCs w:val="24"/>
                <w:lang w:val="et-EE"/>
              </w:rPr>
            </w:pPr>
          </w:p>
        </w:tc>
      </w:tr>
      <w:tr w:rsidR="00C120F6" w:rsidRPr="00FB4017" w:rsidTr="00C120F6">
        <w:trPr>
          <w:jc w:val="center"/>
        </w:trPr>
        <w:tc>
          <w:tcPr>
            <w:tcW w:w="4876" w:type="dxa"/>
          </w:tcPr>
          <w:p w:rsidR="00C120F6" w:rsidRPr="00FB4017" w:rsidRDefault="00C120F6" w:rsidP="00F238ED">
            <w:pPr>
              <w:pStyle w:val="ColumnHeading"/>
              <w:suppressLineNumbers/>
              <w:suppressAutoHyphens/>
              <w:rPr>
                <w:szCs w:val="24"/>
              </w:rPr>
            </w:pPr>
            <w:r w:rsidRPr="00FB4017">
              <w:rPr>
                <w:szCs w:val="24"/>
              </w:rPr>
              <w:t>Komisjoni ettepanek</w:t>
            </w:r>
          </w:p>
        </w:tc>
        <w:tc>
          <w:tcPr>
            <w:tcW w:w="4876" w:type="dxa"/>
          </w:tcPr>
          <w:p w:rsidR="00C120F6" w:rsidRPr="00FB4017" w:rsidRDefault="00C120F6" w:rsidP="00F238ED">
            <w:pPr>
              <w:pStyle w:val="ColumnHeading"/>
              <w:suppressLineNumbers/>
              <w:suppressAutoHyphens/>
              <w:rPr>
                <w:szCs w:val="24"/>
              </w:rPr>
            </w:pPr>
            <w:r w:rsidRPr="00FB4017">
              <w:rPr>
                <w:szCs w:val="24"/>
              </w:rPr>
              <w:t>Muudatusettepanek</w:t>
            </w:r>
          </w:p>
        </w:tc>
      </w:tr>
      <w:tr w:rsidR="00C120F6" w:rsidRPr="00394A5E" w:rsidTr="00C120F6">
        <w:trPr>
          <w:jc w:val="center"/>
        </w:trPr>
        <w:tc>
          <w:tcPr>
            <w:tcW w:w="4876" w:type="dxa"/>
          </w:tcPr>
          <w:p w:rsidR="00C120F6" w:rsidRPr="00FB4017" w:rsidRDefault="00C120F6" w:rsidP="00F238ED">
            <w:pPr>
              <w:pStyle w:val="Normal6"/>
              <w:suppressLineNumbers/>
              <w:suppressAutoHyphens/>
              <w:rPr>
                <w:szCs w:val="24"/>
              </w:rPr>
            </w:pPr>
          </w:p>
        </w:tc>
        <w:tc>
          <w:tcPr>
            <w:tcW w:w="4876" w:type="dxa"/>
          </w:tcPr>
          <w:p w:rsidR="00C120F6" w:rsidRPr="00FB4017" w:rsidRDefault="00C120F6" w:rsidP="00F238ED">
            <w:pPr>
              <w:pStyle w:val="Normal6"/>
              <w:suppressLineNumbers/>
              <w:suppressAutoHyphens/>
              <w:rPr>
                <w:szCs w:val="24"/>
              </w:rPr>
            </w:pPr>
            <w:r w:rsidRPr="00FB4017">
              <w:rPr>
                <w:b/>
                <w:i/>
                <w:szCs w:val="24"/>
              </w:rPr>
              <w:t>(9a) Kuna spordil on oluline sotsiaalne tähendus, loetakse professionaalsetes spordiklubides noorte arendamise edendamist Euroopa Liidu Kohtu kohtupraktika kohaselt seaduspäraseks eesmärgiks. Liidu riigiabipoliitikaga tuleks seetõttu luua selge raamistik, millega liikmesriigid saavad neid eesmärke edendada ja toetada sel eesmärgil spordiorganisatsioone.</w:t>
            </w:r>
          </w:p>
        </w:tc>
      </w:tr>
    </w:tbl>
    <w:p w:rsidR="00C120F6" w:rsidRPr="00FB4017" w:rsidRDefault="00C120F6" w:rsidP="00F238ED">
      <w:pPr>
        <w:pStyle w:val="AMNumberTabs"/>
        <w:suppressLineNumbers/>
        <w:suppressAutoHyphens/>
        <w:rPr>
          <w:szCs w:val="24"/>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6</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Põhjendus 10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FB4017" w:rsidTr="001469DE">
        <w:trPr>
          <w:jc w:val="center"/>
        </w:trPr>
        <w:tc>
          <w:tcPr>
            <w:tcW w:w="4876" w:type="dxa"/>
          </w:tcPr>
          <w:p w:rsidR="001469DE" w:rsidRPr="00FB4017" w:rsidRDefault="001469DE" w:rsidP="00F238ED">
            <w:pPr>
              <w:pStyle w:val="Normal6"/>
              <w:suppressLineNumbers/>
              <w:suppressAutoHyphens/>
              <w:rPr>
                <w:szCs w:val="24"/>
              </w:rPr>
            </w:pPr>
            <w:r w:rsidRPr="00FB4017">
              <w:rPr>
                <w:b/>
                <w:i/>
                <w:szCs w:val="24"/>
              </w:rPr>
              <w:t>(10) Seoses õhu- ja meretranspordile antava abiga nähtub komisjoni kogemustest, et äärealade elanikele transpordi jaoks antud sotsiaalabi, kui sellist abi antakse ilma asjaomaste transpordiettevõtjate päritolul põhineva diskrimineerimiseta, ei tekita olulisi moonutusi ning on võimalik määratleda selged kokkusobivustingimused.</w:t>
            </w:r>
          </w:p>
        </w:tc>
        <w:tc>
          <w:tcPr>
            <w:tcW w:w="4876" w:type="dxa"/>
          </w:tcPr>
          <w:p w:rsidR="001469DE" w:rsidRPr="00FB4017" w:rsidRDefault="001469DE" w:rsidP="00F238ED">
            <w:pPr>
              <w:pStyle w:val="Normal6"/>
              <w:suppressLineNumbers/>
              <w:suppressAutoHyphens/>
              <w:rPr>
                <w:szCs w:val="24"/>
              </w:rPr>
            </w:pPr>
            <w:r w:rsidRPr="00FB4017">
              <w:rPr>
                <w:b/>
                <w:i/>
                <w:szCs w:val="24"/>
              </w:rPr>
              <w:t>välja jäetud</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7</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Põhjendus 11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FB4017"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(11)</w:t>
            </w:r>
            <w:r w:rsidRPr="00FB4017">
              <w:rPr>
                <w:b/>
                <w:i/>
                <w:szCs w:val="24"/>
              </w:rPr>
              <w:t xml:space="preserve"> </w:t>
            </w:r>
            <w:r w:rsidRPr="00FB4017">
              <w:rPr>
                <w:szCs w:val="24"/>
              </w:rPr>
              <w:t>Seoses abiga maantee-, raudtee- ja siseveeteede transpordile, sätestatakse asutamislepingu artiklis</w:t>
            </w:r>
            <w:r w:rsidRPr="00FB4017">
              <w:rPr>
                <w:b/>
                <w:i/>
                <w:szCs w:val="24"/>
              </w:rPr>
              <w:t> </w:t>
            </w:r>
            <w:r w:rsidRPr="00FB4017">
              <w:rPr>
                <w:szCs w:val="24"/>
              </w:rPr>
              <w:t>93, et abi, mis vastab transpordi koordineerimise vajadusele või kujutab endast avalike teenuste hulka kuuluvate teatavate kohustuste täitmise kulude hüvitamist, tunnistatakse asutamislepinguga kokkusobivaks.</w:t>
            </w:r>
            <w:r w:rsidRPr="00FB4017">
              <w:rPr>
                <w:b/>
                <w:i/>
                <w:szCs w:val="24"/>
              </w:rPr>
              <w:t xml:space="preserve"> Euroopa Parlamendi ja nõukogu 23. oktoobri 2007. aasta määruse </w:t>
            </w:r>
            <w:r w:rsidR="00394A5E" w:rsidRPr="00FB4017">
              <w:rPr>
                <w:b/>
                <w:i/>
                <w:szCs w:val="24"/>
              </w:rPr>
              <w:t xml:space="preserve">(EÜ) </w:t>
            </w:r>
            <w:r w:rsidRPr="00FB4017">
              <w:rPr>
                <w:b/>
                <w:i/>
                <w:szCs w:val="24"/>
              </w:rPr>
              <w:t xml:space="preserve">nr 1370/2007 (mis käsitleb avaliku reisijateveoteenuse osutamist raudteel ja maanteel) artikliga 9 vabastatakse praegu asutamislepingu artikli 108 lõikega 3 sätestatud teatamiskohustusest avaliku teenindamise hüvitised avalike reisijateveoteenuste osutamiseks või määruse (EÜ) nr 1370/2007 kohaselt üldeeskirjadega kehtestatud tariifkohustuste täitmiseks. Selleks et käsitleda riigiabi valdkonnas grupierandi määrust ühtlustatud viisil ja kooskõlas asutamislepingu artikli 108 lõikega 4 ja artikliga 109 ettenähtud menetlustega, tuleks asutamislepingu artiklis 93 viidatud transpordi koordineerimiseks või avalike teenuste hulka kuuluvate teatavate kohustuste täitmise kulude hüvitamiseks antav abi lisada nõukogu määruse (EÜ) nr 994/98 reguleerimisalasse. Määruse </w:t>
            </w:r>
            <w:r w:rsidR="00394A5E" w:rsidRPr="00FB4017">
              <w:rPr>
                <w:b/>
                <w:i/>
                <w:szCs w:val="24"/>
              </w:rPr>
              <w:t xml:space="preserve">(EÜ) </w:t>
            </w:r>
            <w:bookmarkStart w:id="11" w:name="_GoBack"/>
            <w:bookmarkEnd w:id="11"/>
            <w:r w:rsidRPr="00FB4017">
              <w:rPr>
                <w:b/>
                <w:i/>
                <w:szCs w:val="24"/>
              </w:rPr>
              <w:t>nr 1370/2007 artikkel 9 tuleb seega välja jätta kuus kuud pärast seda, kui on jõustunud nimetatud riigiabi kategooriat käsitlev komisjoni poolt vastu võetud määrus.</w:t>
            </w:r>
          </w:p>
        </w:tc>
        <w:tc>
          <w:tcPr>
            <w:tcW w:w="4876" w:type="dxa"/>
          </w:tcPr>
          <w:p w:rsidR="001469DE" w:rsidRPr="00FB4017" w:rsidRDefault="001469DE" w:rsidP="00F238ED">
            <w:pPr>
              <w:pStyle w:val="Normal6"/>
              <w:suppressLineNumbers/>
              <w:suppressAutoHyphens/>
              <w:rPr>
                <w:szCs w:val="24"/>
              </w:rPr>
            </w:pPr>
            <w:r w:rsidRPr="00FB4017">
              <w:rPr>
                <w:szCs w:val="24"/>
              </w:rPr>
              <w:t>(11)</w:t>
            </w:r>
            <w:r w:rsidRPr="00FB4017">
              <w:rPr>
                <w:b/>
                <w:i/>
                <w:szCs w:val="24"/>
              </w:rPr>
              <w:t xml:space="preserve"> </w:t>
            </w:r>
            <w:r w:rsidRPr="00FB4017">
              <w:rPr>
                <w:szCs w:val="24"/>
              </w:rPr>
              <w:t>Seoses abiga maantee-, raudtee- ja siseveeteede transpordile, sätestatakse asutamislepingu artiklis</w:t>
            </w:r>
            <w:r w:rsidRPr="00FB4017">
              <w:rPr>
                <w:b/>
                <w:i/>
                <w:szCs w:val="24"/>
              </w:rPr>
              <w:t> </w:t>
            </w:r>
            <w:r w:rsidRPr="00FB4017">
              <w:rPr>
                <w:szCs w:val="24"/>
              </w:rPr>
              <w:t>93, et abi, mis vastab transpordi koordineerimise vajadusele või kujutab endast avalike teenuste hulka kuuluvate teatavate kohustuste täitmise kulude hüvitamist, tunnistatakse asutamislepinguga kokkusobivaks.</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8</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Põhjendus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lastRenderedPageBreak/>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(12)</w:t>
            </w:r>
            <w:r w:rsidRPr="00FB4017">
              <w:rPr>
                <w:b/>
                <w:i/>
                <w:szCs w:val="24"/>
              </w:rPr>
              <w:t xml:space="preserve"> </w:t>
            </w:r>
            <w:r w:rsidRPr="00FB4017">
              <w:rPr>
                <w:szCs w:val="24"/>
              </w:rPr>
              <w:t xml:space="preserve">Lairibaühendusele antava abi valdkonnas on komisjon viimastel aastatel saanud palju kogemusi ning on koostanud suunised. Komisjoni kogemusest nähtub, et abi teatavat liiki </w:t>
            </w:r>
            <w:proofErr w:type="spellStart"/>
            <w:r w:rsidRPr="00FB4017">
              <w:rPr>
                <w:szCs w:val="24"/>
              </w:rPr>
              <w:t>lairibataristutele</w:t>
            </w:r>
            <w:proofErr w:type="spellEnd"/>
            <w:r w:rsidRPr="00FB4017">
              <w:rPr>
                <w:szCs w:val="24"/>
              </w:rPr>
              <w:t xml:space="preserve"> ei moonuta konkurentsi märkimisväärselt ning grupierandi kohaldamine võib kasulikuks osutuda, juhul kui on täidetud teatavad kokkusobivuse tingimused.</w:t>
            </w:r>
            <w:r w:rsidRPr="00FB4017">
              <w:rPr>
                <w:b/>
                <w:i/>
                <w:szCs w:val="24"/>
              </w:rPr>
              <w:t xml:space="preserve"> </w:t>
            </w:r>
            <w:r w:rsidRPr="00FB4017">
              <w:rPr>
                <w:szCs w:val="24"/>
              </w:rPr>
              <w:t xml:space="preserve">See kehtib abi suhtes, mis hõlmab lairibaühenduse põhivõrke piirkondades, kus puudub </w:t>
            </w:r>
            <w:proofErr w:type="spellStart"/>
            <w:r w:rsidRPr="00FB4017">
              <w:rPr>
                <w:szCs w:val="24"/>
              </w:rPr>
              <w:t>lairibataristu</w:t>
            </w:r>
            <w:proofErr w:type="spellEnd"/>
            <w:r w:rsidRPr="00FB4017">
              <w:rPr>
                <w:szCs w:val="24"/>
              </w:rPr>
              <w:t xml:space="preserve"> ning kus sellise </w:t>
            </w:r>
            <w:proofErr w:type="spellStart"/>
            <w:r w:rsidRPr="00FB4017">
              <w:rPr>
                <w:szCs w:val="24"/>
              </w:rPr>
              <w:t>taristu</w:t>
            </w:r>
            <w:proofErr w:type="spellEnd"/>
            <w:r w:rsidRPr="00FB4017">
              <w:rPr>
                <w:szCs w:val="24"/>
              </w:rPr>
              <w:t xml:space="preserve"> väljaarendamine lähitulevikus on ebatõenäoline</w:t>
            </w:r>
            <w:r w:rsidRPr="00FB4017">
              <w:rPr>
                <w:b/>
                <w:i/>
                <w:szCs w:val="24"/>
              </w:rPr>
              <w:t xml:space="preserve"> </w:t>
            </w:r>
            <w:r w:rsidRPr="00FB4017">
              <w:rPr>
                <w:szCs w:val="24"/>
              </w:rPr>
              <w:t xml:space="preserve">(nn valged piirkonnad) ning väikeste üksikabimeetmete suhtes, mis hõlmavad väga kiireid järgmise põlvkonna juurdepääsuvõrke piirkondades, kus puudub järgmise põlvkonna juurdepääsuvõrgu </w:t>
            </w:r>
            <w:proofErr w:type="spellStart"/>
            <w:r w:rsidRPr="00FB4017">
              <w:rPr>
                <w:szCs w:val="24"/>
              </w:rPr>
              <w:t>taristu</w:t>
            </w:r>
            <w:proofErr w:type="spellEnd"/>
            <w:r w:rsidRPr="00FB4017">
              <w:rPr>
                <w:szCs w:val="24"/>
              </w:rPr>
              <w:t xml:space="preserve"> ja kus sellise </w:t>
            </w:r>
            <w:proofErr w:type="spellStart"/>
            <w:r w:rsidRPr="00FB4017">
              <w:rPr>
                <w:szCs w:val="24"/>
              </w:rPr>
              <w:t>taristu</w:t>
            </w:r>
            <w:proofErr w:type="spellEnd"/>
            <w:r w:rsidRPr="00FB4017">
              <w:rPr>
                <w:szCs w:val="24"/>
              </w:rPr>
              <w:t xml:space="preserve"> väljaarendamine lähitulevikus on ebatõenäoline.</w:t>
            </w:r>
            <w:r w:rsidRPr="00FB4017">
              <w:rPr>
                <w:b/>
                <w:i/>
                <w:szCs w:val="24"/>
              </w:rPr>
              <w:t xml:space="preserve"> </w:t>
            </w:r>
            <w:r w:rsidRPr="00FB4017">
              <w:rPr>
                <w:szCs w:val="24"/>
              </w:rPr>
              <w:t xml:space="preserve">Sama kehtib ka lairibaühenduse rajatistele ning passiivsele lairiba </w:t>
            </w:r>
            <w:proofErr w:type="spellStart"/>
            <w:r w:rsidRPr="00FB4017">
              <w:rPr>
                <w:szCs w:val="24"/>
              </w:rPr>
              <w:t>taristule</w:t>
            </w:r>
            <w:proofErr w:type="spellEnd"/>
            <w:r w:rsidRPr="00FB4017">
              <w:rPr>
                <w:szCs w:val="24"/>
              </w:rPr>
              <w:t xml:space="preserve"> antud abi suhtes, millega seoses komisjon on juhtumite põhjal saanud palju kogemusi ja mille puhul on võimalik määratleda selged kokkusobivuse tingimused.</w:t>
            </w:r>
          </w:p>
        </w:tc>
        <w:tc>
          <w:tcPr>
            <w:tcW w:w="4876" w:type="dxa"/>
          </w:tcPr>
          <w:p w:rsidR="001469DE" w:rsidRPr="00FB4017" w:rsidRDefault="001469DE" w:rsidP="00F238ED">
            <w:pPr>
              <w:pStyle w:val="Normal6"/>
              <w:suppressLineNumbers/>
              <w:suppressAutoHyphens/>
              <w:rPr>
                <w:szCs w:val="24"/>
              </w:rPr>
            </w:pPr>
            <w:r w:rsidRPr="00FB4017">
              <w:rPr>
                <w:szCs w:val="24"/>
              </w:rPr>
              <w:t>(12)</w:t>
            </w:r>
            <w:r w:rsidRPr="00FB4017">
              <w:rPr>
                <w:b/>
                <w:i/>
                <w:szCs w:val="24"/>
              </w:rPr>
              <w:t xml:space="preserve"> </w:t>
            </w:r>
            <w:r w:rsidRPr="00FB4017">
              <w:rPr>
                <w:szCs w:val="24"/>
              </w:rPr>
              <w:t xml:space="preserve">Lairibaühendusele antava abi valdkonnas on komisjon viimastel aastatel saanud palju kogemusi ning on koostanud suunised. Komisjoni kogemusest nähtub, et abi teatavat liiki </w:t>
            </w:r>
            <w:proofErr w:type="spellStart"/>
            <w:r w:rsidRPr="00FB4017">
              <w:rPr>
                <w:szCs w:val="24"/>
              </w:rPr>
              <w:t>lairibataristutele</w:t>
            </w:r>
            <w:proofErr w:type="spellEnd"/>
            <w:r w:rsidRPr="00FB4017">
              <w:rPr>
                <w:szCs w:val="24"/>
              </w:rPr>
              <w:t xml:space="preserve"> ei moonuta konkurentsi märkimisväärselt ning grupierandi kohaldamine võib kasulikuks osutuda, juhul kui on täidetud teatavad kokkusobivuse tingimused.</w:t>
            </w:r>
            <w:r w:rsidRPr="00FB4017">
              <w:rPr>
                <w:b/>
                <w:i/>
                <w:szCs w:val="24"/>
              </w:rPr>
              <w:t xml:space="preserve"> </w:t>
            </w:r>
            <w:r w:rsidRPr="00FB4017">
              <w:rPr>
                <w:szCs w:val="24"/>
              </w:rPr>
              <w:t xml:space="preserve">See kehtib abi suhtes, mis hõlmab lairibaühenduse põhivõrke piirkondades, kus puudub </w:t>
            </w:r>
            <w:proofErr w:type="spellStart"/>
            <w:r w:rsidRPr="00FB4017">
              <w:rPr>
                <w:szCs w:val="24"/>
              </w:rPr>
              <w:t>lairibataristu</w:t>
            </w:r>
            <w:proofErr w:type="spellEnd"/>
            <w:r w:rsidRPr="00FB4017">
              <w:rPr>
                <w:szCs w:val="24"/>
              </w:rPr>
              <w:t xml:space="preserve"> ning kus sellise </w:t>
            </w:r>
            <w:proofErr w:type="spellStart"/>
            <w:r w:rsidRPr="00FB4017">
              <w:rPr>
                <w:szCs w:val="24"/>
              </w:rPr>
              <w:t>taristu</w:t>
            </w:r>
            <w:proofErr w:type="spellEnd"/>
            <w:r w:rsidRPr="00FB4017">
              <w:rPr>
                <w:szCs w:val="24"/>
              </w:rPr>
              <w:t xml:space="preserve"> väljaarendamine lähitulevikus on ebatõenäoline</w:t>
            </w:r>
            <w:r w:rsidRPr="00FB4017">
              <w:rPr>
                <w:b/>
                <w:i/>
                <w:szCs w:val="24"/>
              </w:rPr>
              <w:t xml:space="preserve"> </w:t>
            </w:r>
            <w:r w:rsidRPr="00FB4017">
              <w:rPr>
                <w:szCs w:val="24"/>
              </w:rPr>
              <w:t xml:space="preserve">(nn valged piirkonnad) ning väikeste üksikabimeetmete suhtes, mis hõlmavad väga kiireid järgmise põlvkonna juurdepääsuvõrke piirkondades, kus puudub järgmise põlvkonna juurdepääsuvõrgu </w:t>
            </w:r>
            <w:proofErr w:type="spellStart"/>
            <w:r w:rsidRPr="00FB4017">
              <w:rPr>
                <w:szCs w:val="24"/>
              </w:rPr>
              <w:t>taristu</w:t>
            </w:r>
            <w:proofErr w:type="spellEnd"/>
            <w:r w:rsidRPr="00FB4017">
              <w:rPr>
                <w:szCs w:val="24"/>
              </w:rPr>
              <w:t xml:space="preserve"> ja kus sellise </w:t>
            </w:r>
            <w:proofErr w:type="spellStart"/>
            <w:r w:rsidRPr="00FB4017">
              <w:rPr>
                <w:szCs w:val="24"/>
              </w:rPr>
              <w:t>taristu</w:t>
            </w:r>
            <w:proofErr w:type="spellEnd"/>
            <w:r w:rsidRPr="00FB4017">
              <w:rPr>
                <w:szCs w:val="24"/>
              </w:rPr>
              <w:t xml:space="preserve"> väljaarendamine lähitulevikus on ebatõenäoline.</w:t>
            </w:r>
            <w:r w:rsidRPr="00FB4017">
              <w:rPr>
                <w:b/>
                <w:i/>
                <w:szCs w:val="24"/>
              </w:rPr>
              <w:t xml:space="preserve"> </w:t>
            </w:r>
            <w:r w:rsidRPr="00FB4017">
              <w:rPr>
                <w:szCs w:val="24"/>
              </w:rPr>
              <w:t xml:space="preserve">Sama kehtib ka lairibaühenduse rajatistele ning passiivsele lairiba </w:t>
            </w:r>
            <w:proofErr w:type="spellStart"/>
            <w:r w:rsidRPr="00FB4017">
              <w:rPr>
                <w:szCs w:val="24"/>
              </w:rPr>
              <w:t>taristule</w:t>
            </w:r>
            <w:proofErr w:type="spellEnd"/>
            <w:r w:rsidRPr="00FB4017">
              <w:rPr>
                <w:szCs w:val="24"/>
              </w:rPr>
              <w:t xml:space="preserve"> antud abi suhtes, millega seoses komisjon on juhtumite põhjal saanud palju kogemusi ja mille puhul on võimalik määratleda selged kokkusobivuse tingimused.</w:t>
            </w:r>
            <w:r w:rsidRPr="00FB4017">
              <w:rPr>
                <w:b/>
                <w:i/>
                <w:szCs w:val="24"/>
              </w:rPr>
              <w:t xml:space="preserve"> Tsiviilehitustööde ja </w:t>
            </w:r>
            <w:proofErr w:type="spellStart"/>
            <w:r w:rsidRPr="00FB4017">
              <w:rPr>
                <w:b/>
                <w:i/>
                <w:szCs w:val="24"/>
              </w:rPr>
              <w:t>lairibataristu</w:t>
            </w:r>
            <w:proofErr w:type="spellEnd"/>
            <w:r w:rsidRPr="00FB4017">
              <w:rPr>
                <w:b/>
                <w:i/>
                <w:szCs w:val="24"/>
              </w:rPr>
              <w:t xml:space="preserve"> grupierandiga tuleks toetada investeeringuid eriti maapiirkondades ja äärepoolseimates piirkondades. Grupierandi</w:t>
            </w:r>
            <w:r w:rsidR="001C1CDB" w:rsidRPr="00FB4017">
              <w:rPr>
                <w:b/>
                <w:i/>
                <w:szCs w:val="24"/>
              </w:rPr>
              <w:t xml:space="preserve">st kasusaamise tingimusena </w:t>
            </w:r>
            <w:r w:rsidRPr="00FB4017">
              <w:rPr>
                <w:b/>
                <w:i/>
                <w:szCs w:val="24"/>
              </w:rPr>
              <w:t>pea</w:t>
            </w:r>
            <w:r w:rsidR="001C1CDB" w:rsidRPr="00FB4017">
              <w:rPr>
                <w:b/>
                <w:i/>
                <w:szCs w:val="24"/>
              </w:rPr>
              <w:t>ks olema tagatud</w:t>
            </w:r>
            <w:r w:rsidRPr="00FB4017">
              <w:rPr>
                <w:b/>
                <w:i/>
                <w:szCs w:val="24"/>
              </w:rPr>
              <w:t xml:space="preserve"> </w:t>
            </w:r>
            <w:r w:rsidR="001C1CDB" w:rsidRPr="00FB4017">
              <w:rPr>
                <w:b/>
                <w:i/>
                <w:szCs w:val="24"/>
              </w:rPr>
              <w:t xml:space="preserve">vaba turulepääs </w:t>
            </w:r>
            <w:proofErr w:type="spellStart"/>
            <w:r w:rsidRPr="00FB4017">
              <w:rPr>
                <w:b/>
                <w:i/>
                <w:szCs w:val="24"/>
              </w:rPr>
              <w:t>taristu</w:t>
            </w:r>
            <w:proofErr w:type="spellEnd"/>
            <w:r w:rsidRPr="00FB4017">
              <w:rPr>
                <w:b/>
                <w:i/>
                <w:szCs w:val="24"/>
              </w:rPr>
              <w:t xml:space="preserve"> käitamiseks.</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9</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Põhjendus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(13)</w:t>
            </w:r>
            <w:r w:rsidRPr="00FB4017">
              <w:rPr>
                <w:b/>
                <w:i/>
                <w:szCs w:val="24"/>
              </w:rPr>
              <w:t xml:space="preserve"> </w:t>
            </w:r>
            <w:r w:rsidRPr="00FB4017">
              <w:rPr>
                <w:szCs w:val="24"/>
              </w:rPr>
              <w:t>Seega tuleks määruse</w:t>
            </w:r>
            <w:r w:rsidRPr="00FB4017">
              <w:rPr>
                <w:b/>
                <w:i/>
                <w:szCs w:val="24"/>
              </w:rPr>
              <w:t xml:space="preserve"> </w:t>
            </w:r>
            <w:r w:rsidRPr="00FB4017">
              <w:rPr>
                <w:szCs w:val="24"/>
              </w:rPr>
              <w:t>(EÜ) nr</w:t>
            </w:r>
            <w:r w:rsidRPr="00FB4017">
              <w:rPr>
                <w:b/>
                <w:i/>
                <w:szCs w:val="24"/>
              </w:rPr>
              <w:t> </w:t>
            </w:r>
            <w:r w:rsidRPr="00FB4017">
              <w:rPr>
                <w:szCs w:val="24"/>
              </w:rPr>
              <w:t>994/98 reguleerimisala laiendada</w:t>
            </w:r>
            <w:r w:rsidRPr="00FB4017">
              <w:rPr>
                <w:b/>
                <w:i/>
                <w:szCs w:val="24"/>
              </w:rPr>
              <w:t xml:space="preserve"> sellistele</w:t>
            </w:r>
            <w:r w:rsidRPr="00FB4017">
              <w:rPr>
                <w:szCs w:val="24"/>
              </w:rPr>
              <w:t xml:space="preserve"> abiliikidele.</w:t>
            </w:r>
          </w:p>
        </w:tc>
        <w:tc>
          <w:tcPr>
            <w:tcW w:w="4876" w:type="dxa"/>
          </w:tcPr>
          <w:p w:rsidR="001469DE" w:rsidRPr="00FB4017" w:rsidRDefault="001469DE" w:rsidP="00F238ED">
            <w:pPr>
              <w:pStyle w:val="Normal6"/>
              <w:suppressLineNumbers/>
              <w:suppressAutoHyphens/>
              <w:rPr>
                <w:szCs w:val="24"/>
              </w:rPr>
            </w:pPr>
            <w:r w:rsidRPr="00FB4017">
              <w:rPr>
                <w:szCs w:val="24"/>
              </w:rPr>
              <w:t>(13)</w:t>
            </w:r>
            <w:r w:rsidRPr="00FB4017">
              <w:rPr>
                <w:b/>
                <w:i/>
                <w:szCs w:val="24"/>
              </w:rPr>
              <w:t xml:space="preserve"> </w:t>
            </w:r>
            <w:r w:rsidRPr="00FB4017">
              <w:rPr>
                <w:szCs w:val="24"/>
              </w:rPr>
              <w:t>Seega tuleks määruse</w:t>
            </w:r>
            <w:r w:rsidRPr="00FB4017">
              <w:rPr>
                <w:b/>
                <w:i/>
                <w:szCs w:val="24"/>
              </w:rPr>
              <w:t xml:space="preserve"> </w:t>
            </w:r>
            <w:r w:rsidRPr="00FB4017">
              <w:rPr>
                <w:szCs w:val="24"/>
              </w:rPr>
              <w:t>(EÜ) nr 994/98 reguleerimisala laiendada</w:t>
            </w:r>
            <w:r w:rsidRPr="00FB4017">
              <w:rPr>
                <w:b/>
                <w:i/>
                <w:szCs w:val="24"/>
              </w:rPr>
              <w:t xml:space="preserve"> </w:t>
            </w:r>
            <w:r w:rsidR="00860BCC" w:rsidRPr="00FB4017">
              <w:rPr>
                <w:b/>
                <w:i/>
                <w:szCs w:val="24"/>
              </w:rPr>
              <w:t xml:space="preserve">siinkohal täpsustatud </w:t>
            </w:r>
            <w:r w:rsidRPr="00FB4017">
              <w:rPr>
                <w:szCs w:val="24"/>
              </w:rPr>
              <w:t>abiliikidele.</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lastRenderedPageBreak/>
        <w:t>Muudatusettepanek</w:t>
      </w:r>
      <w:r w:rsidRPr="00FB4017">
        <w:rPr>
          <w:szCs w:val="24"/>
        </w:rPr>
        <w:tab/>
      </w:r>
      <w:r w:rsidRPr="00FB4017">
        <w:rPr>
          <w:szCs w:val="24"/>
        </w:rPr>
        <w:tab/>
      </w:r>
      <w:r w:rsidRPr="00FB4017">
        <w:rPr>
          <w:color w:val="000000"/>
          <w:szCs w:val="24"/>
        </w:rPr>
        <w:t>10</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Põhjendus 14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(14)</w:t>
            </w:r>
            <w:r w:rsidRPr="00FB4017">
              <w:rPr>
                <w:b/>
                <w:i/>
                <w:szCs w:val="24"/>
              </w:rPr>
              <w:t xml:space="preserve"> </w:t>
            </w:r>
            <w:r w:rsidRPr="00FB4017">
              <w:rPr>
                <w:szCs w:val="24"/>
              </w:rPr>
              <w:t>Määruses</w:t>
            </w:r>
            <w:r w:rsidRPr="00FB4017">
              <w:rPr>
                <w:b/>
                <w:i/>
                <w:szCs w:val="24"/>
              </w:rPr>
              <w:t xml:space="preserve"> </w:t>
            </w:r>
            <w:r w:rsidRPr="00FB4017">
              <w:rPr>
                <w:szCs w:val="24"/>
              </w:rPr>
              <w:t>(EÜ) nr</w:t>
            </w:r>
            <w:r w:rsidRPr="00FB4017">
              <w:rPr>
                <w:b/>
                <w:i/>
                <w:szCs w:val="24"/>
              </w:rPr>
              <w:t> </w:t>
            </w:r>
            <w:r w:rsidRPr="00FB4017">
              <w:rPr>
                <w:szCs w:val="24"/>
              </w:rPr>
              <w:t>994/98 sätestatu kohaselt peaksid iga abiliigi jaoks, mille suhtes komisjon võtab vastu grupierandi määruse, olema piirmäärad väljendatud kas abi osatähtsusena kõigi abikõlblike kulutuste suhtes või maksimaalse abisummana.</w:t>
            </w:r>
            <w:r w:rsidRPr="00FB4017">
              <w:rPr>
                <w:b/>
                <w:i/>
                <w:szCs w:val="24"/>
              </w:rPr>
              <w:t xml:space="preserve"> </w:t>
            </w:r>
            <w:r w:rsidRPr="00FB4017">
              <w:rPr>
                <w:szCs w:val="24"/>
              </w:rPr>
              <w:t>Nimetatud tingimus raskendab grupierandi kohaldamist teatavat liiki riigiabi meetmetele, mida nende eripära tõttu ei saa väljendada abi osatähtsusena või maksimaalse abisummana, nagu näiteks finantskorraldusvahendid või teatavad meetmete liigid riskikapitaliinvesteeringute edendamiseks.</w:t>
            </w:r>
            <w:r w:rsidRPr="00FB4017">
              <w:rPr>
                <w:b/>
                <w:i/>
                <w:szCs w:val="24"/>
              </w:rPr>
              <w:t xml:space="preserve"> </w:t>
            </w:r>
            <w:r w:rsidRPr="00FB4017">
              <w:rPr>
                <w:szCs w:val="24"/>
              </w:rPr>
              <w:t>Seda eelkõige seetõttu, et sellised keerulised meetmed võivad hõlmata erinevatel tasanditel antavat toetust</w:t>
            </w:r>
            <w:r w:rsidRPr="00FB4017">
              <w:rPr>
                <w:b/>
                <w:i/>
                <w:szCs w:val="24"/>
              </w:rPr>
              <w:t xml:space="preserve"> </w:t>
            </w:r>
            <w:r w:rsidRPr="00FB4017">
              <w:rPr>
                <w:szCs w:val="24"/>
              </w:rPr>
              <w:t>(otsesed abisaajad, vahetasandi abisaajad, kaudsed abisaajad).</w:t>
            </w:r>
            <w:r w:rsidRPr="00FB4017">
              <w:rPr>
                <w:b/>
                <w:i/>
                <w:szCs w:val="24"/>
              </w:rPr>
              <w:t xml:space="preserve"> </w:t>
            </w:r>
            <w:r w:rsidRPr="00FB4017">
              <w:rPr>
                <w:szCs w:val="24"/>
              </w:rPr>
              <w:t>Arvestades selliste meetmete kasvavat tähtsust ja panust liidu eesmärkide saavutamisse, peaks sellistele meetmetele erandi kohaldamine olema paindlikum.</w:t>
            </w:r>
            <w:r w:rsidRPr="00FB4017">
              <w:rPr>
                <w:b/>
                <w:i/>
                <w:szCs w:val="24"/>
              </w:rPr>
              <w:t xml:space="preserve"> </w:t>
            </w:r>
            <w:r w:rsidRPr="00FB4017">
              <w:rPr>
                <w:szCs w:val="24"/>
              </w:rPr>
              <w:t>Seega peaks piirmäärasid olema võimalik määratleda riigi toetuse maksimaalse abisummana</w:t>
            </w:r>
            <w:r w:rsidRPr="00FB4017">
              <w:rPr>
                <w:b/>
                <w:i/>
                <w:szCs w:val="24"/>
              </w:rPr>
              <w:t>, olenemata sellest, kas abi saab määratleda riigiabina või mitte</w:t>
            </w:r>
            <w:r w:rsidRPr="00FB4017">
              <w:rPr>
                <w:szCs w:val="24"/>
              </w:rPr>
              <w:t>.</w:t>
            </w:r>
          </w:p>
        </w:tc>
        <w:tc>
          <w:tcPr>
            <w:tcW w:w="4876" w:type="dxa"/>
          </w:tcPr>
          <w:p w:rsidR="001469DE" w:rsidRPr="00FB4017" w:rsidRDefault="001469DE" w:rsidP="00F238ED">
            <w:pPr>
              <w:pStyle w:val="Normal6"/>
              <w:suppressLineNumbers/>
              <w:suppressAutoHyphens/>
              <w:rPr>
                <w:szCs w:val="24"/>
              </w:rPr>
            </w:pPr>
            <w:r w:rsidRPr="00FB4017">
              <w:rPr>
                <w:szCs w:val="24"/>
              </w:rPr>
              <w:t>(14)</w:t>
            </w:r>
            <w:r w:rsidRPr="00FB4017">
              <w:rPr>
                <w:b/>
                <w:i/>
                <w:szCs w:val="24"/>
              </w:rPr>
              <w:t xml:space="preserve"> </w:t>
            </w:r>
            <w:r w:rsidRPr="00FB4017">
              <w:rPr>
                <w:szCs w:val="24"/>
              </w:rPr>
              <w:t>Määruses</w:t>
            </w:r>
            <w:r w:rsidRPr="00FB4017">
              <w:rPr>
                <w:b/>
                <w:i/>
                <w:szCs w:val="24"/>
              </w:rPr>
              <w:t xml:space="preserve"> </w:t>
            </w:r>
            <w:r w:rsidRPr="00FB4017">
              <w:rPr>
                <w:szCs w:val="24"/>
              </w:rPr>
              <w:t>(EÜ) nr</w:t>
            </w:r>
            <w:r w:rsidRPr="00FB4017">
              <w:rPr>
                <w:b/>
                <w:i/>
                <w:szCs w:val="24"/>
              </w:rPr>
              <w:t> </w:t>
            </w:r>
            <w:r w:rsidRPr="00FB4017">
              <w:rPr>
                <w:szCs w:val="24"/>
              </w:rPr>
              <w:t>994/98 sätestatu kohaselt peaksid iga abiliigi jaoks, mille suhtes komisjon võtab vastu grupierandi määruse, olema piirmäärad väljendatud kas abi osatähtsusena kõigi abikõlblike kulutuste suhtes või maksimaalse abisummana.</w:t>
            </w:r>
            <w:r w:rsidRPr="00FB4017">
              <w:rPr>
                <w:b/>
                <w:i/>
                <w:szCs w:val="24"/>
              </w:rPr>
              <w:t xml:space="preserve"> </w:t>
            </w:r>
            <w:r w:rsidRPr="00FB4017">
              <w:rPr>
                <w:szCs w:val="24"/>
              </w:rPr>
              <w:t>Nimetatud tingimus raskendab grupierandi kohaldamist teatavat liiki riigiabi meetmetele, mida nende eripära tõttu ei saa väljendada abi osatähtsusena või maksimaalse abisummana, nagu näiteks finantskorraldusvahendid või teatavad meetmete liigid riskikapitaliinvesteeringute edendamiseks.</w:t>
            </w:r>
            <w:r w:rsidRPr="00FB4017">
              <w:rPr>
                <w:b/>
                <w:i/>
                <w:szCs w:val="24"/>
              </w:rPr>
              <w:t xml:space="preserve"> </w:t>
            </w:r>
            <w:r w:rsidRPr="00FB4017">
              <w:rPr>
                <w:szCs w:val="24"/>
              </w:rPr>
              <w:t>Seda eelkõige seetõttu, et sellised keerulised meetmed võivad hõlmata erinevatel tasanditel antavat toetust</w:t>
            </w:r>
            <w:r w:rsidRPr="00FB4017">
              <w:rPr>
                <w:b/>
                <w:i/>
                <w:szCs w:val="24"/>
              </w:rPr>
              <w:t xml:space="preserve"> </w:t>
            </w:r>
            <w:r w:rsidRPr="00FB4017">
              <w:rPr>
                <w:szCs w:val="24"/>
              </w:rPr>
              <w:t>(otsesed abisaajad, vahetasandi abisaajad, kaudsed abisaajad).</w:t>
            </w:r>
            <w:r w:rsidRPr="00FB4017">
              <w:rPr>
                <w:b/>
                <w:i/>
                <w:szCs w:val="24"/>
              </w:rPr>
              <w:t xml:space="preserve"> </w:t>
            </w:r>
            <w:r w:rsidRPr="00FB4017">
              <w:rPr>
                <w:szCs w:val="24"/>
              </w:rPr>
              <w:t>Arvestades selliste meetmete kasvavat tähtsust ja panust liidu eesmärkide saavutamisse, peaks sellistele meetmetele erandi kohaldamine olema paindlikum.</w:t>
            </w:r>
            <w:r w:rsidRPr="00FB4017">
              <w:rPr>
                <w:b/>
                <w:i/>
                <w:szCs w:val="24"/>
              </w:rPr>
              <w:t xml:space="preserve"> </w:t>
            </w:r>
            <w:r w:rsidRPr="00FB4017">
              <w:rPr>
                <w:szCs w:val="24"/>
              </w:rPr>
              <w:t>Seega peaks piirmäärasid olema võimalik määratleda riigi toetuse maksimaalse abisummana.</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11</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990A7D" w:rsidP="00F238ED">
      <w:pPr>
        <w:pStyle w:val="NormalBold"/>
        <w:suppressLineNumbers/>
        <w:suppressAutoHyphens/>
        <w:rPr>
          <w:szCs w:val="24"/>
        </w:rPr>
      </w:pPr>
      <w:r w:rsidRPr="00FB4017">
        <w:rPr>
          <w:szCs w:val="24"/>
        </w:rPr>
        <w:t>Põhjendus 15</w:t>
      </w:r>
      <w:r w:rsidR="001469DE" w:rsidRPr="00FB4017">
        <w:rPr>
          <w:szCs w:val="24"/>
        </w:rPr>
        <w:t>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990A7D" w:rsidP="00F238ED">
            <w:pPr>
              <w:pStyle w:val="Normal6"/>
              <w:suppressLineNumbers/>
              <w:suppressAutoHyphens/>
              <w:rPr>
                <w:szCs w:val="24"/>
              </w:rPr>
            </w:pPr>
            <w:r w:rsidRPr="00FB4017">
              <w:rPr>
                <w:b/>
                <w:i/>
                <w:szCs w:val="24"/>
              </w:rPr>
              <w:t>(15</w:t>
            </w:r>
            <w:r w:rsidR="001469DE" w:rsidRPr="00FB4017">
              <w:rPr>
                <w:b/>
                <w:i/>
                <w:szCs w:val="24"/>
              </w:rPr>
              <w:t xml:space="preserve">a) Selleks et tagada võrdsed tingimused kooskõlas siseturu põhimõtetega, tuleks riikide abikavades kõikidele asjaomastele turuosalistele tagada vaba ja võrdne juurdepääs riigiabile, kasutades eelkõige abikavasid </w:t>
            </w:r>
            <w:r w:rsidR="001469DE" w:rsidRPr="00FB4017">
              <w:rPr>
                <w:b/>
                <w:i/>
                <w:szCs w:val="24"/>
              </w:rPr>
              <w:lastRenderedPageBreak/>
              <w:t>või -süsteeme ja mitte niivõrd üksikabi.</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12</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990A7D" w:rsidP="00F238ED">
      <w:pPr>
        <w:pStyle w:val="NormalBold"/>
        <w:suppressLineNumbers/>
        <w:suppressAutoHyphens/>
        <w:rPr>
          <w:szCs w:val="24"/>
        </w:rPr>
      </w:pPr>
      <w:r w:rsidRPr="00FB4017">
        <w:rPr>
          <w:szCs w:val="24"/>
        </w:rPr>
        <w:t>Põhjendus 15</w:t>
      </w:r>
      <w:r w:rsidR="001469DE" w:rsidRPr="00FB4017">
        <w:rPr>
          <w:szCs w:val="24"/>
        </w:rPr>
        <w:t>b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990A7D" w:rsidP="00F238ED">
            <w:pPr>
              <w:pStyle w:val="Normal6"/>
              <w:suppressLineNumbers/>
              <w:suppressAutoHyphens/>
              <w:rPr>
                <w:szCs w:val="24"/>
              </w:rPr>
            </w:pPr>
            <w:r w:rsidRPr="00FB4017">
              <w:rPr>
                <w:b/>
                <w:i/>
                <w:szCs w:val="24"/>
              </w:rPr>
              <w:t>(15</w:t>
            </w:r>
            <w:r w:rsidR="001469DE" w:rsidRPr="00FB4017">
              <w:rPr>
                <w:b/>
                <w:i/>
                <w:szCs w:val="24"/>
              </w:rPr>
              <w:t xml:space="preserve">b) Hästi toimivad võrdsed tingimused eeldavad ka liikmesriikide ja liidu riigihankeid käsitlevate õigusaktide täielikku ja läbipaistvat rakendamist. Seetõttu peaksid liikmesriikide ametiasutused riigiabi kavasid ette valmistades või käesoleva määruse alusel erandina vabastamisele kuuluvat riigiabi andes </w:t>
            </w:r>
            <w:r w:rsidR="00860BCC" w:rsidRPr="00FB4017">
              <w:rPr>
                <w:b/>
                <w:i/>
                <w:szCs w:val="24"/>
              </w:rPr>
              <w:t>täit</w:t>
            </w:r>
            <w:r w:rsidR="001469DE" w:rsidRPr="00FB4017">
              <w:rPr>
                <w:b/>
                <w:i/>
                <w:szCs w:val="24"/>
              </w:rPr>
              <w:t xml:space="preserve">ma kehtivaid </w:t>
            </w:r>
            <w:r w:rsidR="00860BCC" w:rsidRPr="00FB4017">
              <w:rPr>
                <w:b/>
                <w:i/>
                <w:szCs w:val="24"/>
              </w:rPr>
              <w:t xml:space="preserve">avaliku </w:t>
            </w:r>
            <w:r w:rsidR="001469DE" w:rsidRPr="00FB4017">
              <w:rPr>
                <w:b/>
                <w:i/>
                <w:szCs w:val="24"/>
              </w:rPr>
              <w:t>hanke</w:t>
            </w:r>
            <w:r w:rsidR="00860BCC" w:rsidRPr="00FB4017">
              <w:rPr>
                <w:b/>
                <w:i/>
                <w:szCs w:val="24"/>
              </w:rPr>
              <w:t xml:space="preserve"> </w:t>
            </w:r>
            <w:r w:rsidR="001469DE" w:rsidRPr="00FB4017">
              <w:rPr>
                <w:b/>
                <w:i/>
                <w:szCs w:val="24"/>
              </w:rPr>
              <w:t>eeskirju.</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13</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990A7D" w:rsidP="00F238ED">
      <w:pPr>
        <w:pStyle w:val="NormalBold"/>
        <w:suppressLineNumbers/>
        <w:suppressAutoHyphens/>
        <w:rPr>
          <w:szCs w:val="24"/>
        </w:rPr>
      </w:pPr>
      <w:r w:rsidRPr="00FB4017">
        <w:rPr>
          <w:szCs w:val="24"/>
        </w:rPr>
        <w:t>Põhjendus 15</w:t>
      </w:r>
      <w:r w:rsidR="001469DE" w:rsidRPr="00FB4017">
        <w:rPr>
          <w:szCs w:val="24"/>
        </w:rPr>
        <w:t>c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990A7D" w:rsidP="00F238ED">
            <w:pPr>
              <w:pStyle w:val="Normal6"/>
              <w:suppressLineNumbers/>
              <w:suppressAutoHyphens/>
              <w:rPr>
                <w:szCs w:val="24"/>
              </w:rPr>
            </w:pPr>
            <w:r w:rsidRPr="00FB4017">
              <w:rPr>
                <w:b/>
                <w:i/>
                <w:szCs w:val="24"/>
              </w:rPr>
              <w:t>(15</w:t>
            </w:r>
            <w:r w:rsidR="001469DE" w:rsidRPr="00FB4017">
              <w:rPr>
                <w:b/>
                <w:i/>
                <w:szCs w:val="24"/>
              </w:rPr>
              <w:t>c) Käesoleva määruse õigusliku alusega</w:t>
            </w:r>
            <w:r w:rsidR="00860BCC" w:rsidRPr="00FB4017">
              <w:rPr>
                <w:b/>
                <w:i/>
                <w:szCs w:val="24"/>
              </w:rPr>
              <w:t xml:space="preserve">, milleks on </w:t>
            </w:r>
            <w:r w:rsidR="001469DE" w:rsidRPr="00FB4017">
              <w:rPr>
                <w:b/>
                <w:i/>
                <w:szCs w:val="24"/>
              </w:rPr>
              <w:t>Euroopa Liidu toimimise lepingu artikkel 109</w:t>
            </w:r>
            <w:r w:rsidR="00860BCC" w:rsidRPr="00FB4017">
              <w:rPr>
                <w:b/>
                <w:i/>
                <w:szCs w:val="24"/>
              </w:rPr>
              <w:t>,</w:t>
            </w:r>
            <w:r w:rsidR="001469DE" w:rsidRPr="00FB4017">
              <w:rPr>
                <w:b/>
                <w:i/>
                <w:szCs w:val="24"/>
              </w:rPr>
              <w:t xml:space="preserve"> on ette nähtud vaid Euroopa Parlamendiga konsulteerimine, mitte seadusandlik tavamenetlus, mida pärast Lissaboni lepingu jõustumist rakendatakse turgude integreerimise ja majanduse reguleerimise muudes valdkondades. Sellise demokraatia puudujäägiga ei saa leppida nende ettepanekute puhul, mis puudutavad komisjoni järelevalvet riigi ja kohaliku tasandi valitud asutuste otsuste ja õigusaktide üle. See puudujääk tuleks kõrvaldada, kui aluslepingut edaspidi muudetakse. Komisjoni </w:t>
            </w:r>
            <w:r w:rsidR="00860BCC" w:rsidRPr="00FB4017">
              <w:rPr>
                <w:b/>
                <w:i/>
                <w:szCs w:val="24"/>
              </w:rPr>
              <w:t>28. novembri 2012. aasta teatises „T</w:t>
            </w:r>
            <w:r w:rsidR="001469DE" w:rsidRPr="00FB4017">
              <w:rPr>
                <w:b/>
                <w:i/>
                <w:szCs w:val="24"/>
              </w:rPr>
              <w:t>iheda</w:t>
            </w:r>
            <w:r w:rsidR="00860BCC" w:rsidRPr="00FB4017">
              <w:rPr>
                <w:b/>
                <w:i/>
                <w:szCs w:val="24"/>
              </w:rPr>
              <w:t xml:space="preserve"> ja toimiva</w:t>
            </w:r>
            <w:r w:rsidR="001469DE" w:rsidRPr="00FB4017">
              <w:rPr>
                <w:b/>
                <w:i/>
                <w:szCs w:val="24"/>
              </w:rPr>
              <w:t xml:space="preserve"> majandus- ja rahaliidu </w:t>
            </w:r>
            <w:r w:rsidR="00860BCC" w:rsidRPr="00FB4017">
              <w:rPr>
                <w:b/>
                <w:i/>
                <w:szCs w:val="24"/>
              </w:rPr>
              <w:t>suunas”</w:t>
            </w:r>
            <w:r w:rsidR="001469DE" w:rsidRPr="00FB4017">
              <w:rPr>
                <w:b/>
                <w:i/>
                <w:szCs w:val="24"/>
              </w:rPr>
              <w:t xml:space="preserve"> nähakse ette ettepanekud muuta </w:t>
            </w:r>
            <w:r w:rsidR="00FD388E" w:rsidRPr="00FB4017">
              <w:rPr>
                <w:b/>
                <w:i/>
                <w:szCs w:val="24"/>
              </w:rPr>
              <w:t xml:space="preserve">ELi toimimise </w:t>
            </w:r>
            <w:r w:rsidR="001469DE" w:rsidRPr="00FB4017">
              <w:rPr>
                <w:b/>
                <w:i/>
                <w:szCs w:val="24"/>
              </w:rPr>
              <w:t xml:space="preserve">lepingut aastaks 2014. Selline ettepanek </w:t>
            </w:r>
            <w:r w:rsidR="001469DE" w:rsidRPr="00FB4017">
              <w:rPr>
                <w:b/>
                <w:i/>
                <w:szCs w:val="24"/>
              </w:rPr>
              <w:lastRenderedPageBreak/>
              <w:t xml:space="preserve">peaks sisaldama muu hulgas konkreetset ettepanekut muuta ELi toimimise lepingu artiklit 109, et võtta nimetatud artiklis osutatud </w:t>
            </w:r>
            <w:r w:rsidR="006206DC" w:rsidRPr="00FB4017">
              <w:rPr>
                <w:b/>
                <w:i/>
                <w:szCs w:val="24"/>
              </w:rPr>
              <w:t>määruse</w:t>
            </w:r>
            <w:r w:rsidR="001469DE" w:rsidRPr="00FB4017">
              <w:rPr>
                <w:b/>
                <w:i/>
                <w:szCs w:val="24"/>
              </w:rPr>
              <w:t>d vastu seadusandliku tavamenetluse kohaselt.</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14</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Artikkel 1 – punkt 1</w:t>
      </w:r>
    </w:p>
    <w:p w:rsidR="001469DE" w:rsidRPr="00FB4017" w:rsidRDefault="001469DE" w:rsidP="00F238ED">
      <w:pPr>
        <w:widowControl w:val="0"/>
        <w:suppressLineNumbers/>
        <w:suppressAutoHyphens/>
        <w:rPr>
          <w:szCs w:val="24"/>
          <w:lang w:val="et-EE"/>
        </w:rPr>
      </w:pPr>
      <w:r w:rsidRPr="00FB4017">
        <w:rPr>
          <w:szCs w:val="24"/>
          <w:lang w:val="et-EE"/>
        </w:rPr>
        <w:t>Määrus (EÜ) nr 994/98</w:t>
      </w:r>
    </w:p>
    <w:p w:rsidR="001469DE" w:rsidRPr="00FB4017" w:rsidRDefault="001469DE" w:rsidP="00F238ED">
      <w:pPr>
        <w:widowControl w:val="0"/>
        <w:suppressLineNumbers/>
        <w:suppressAutoHyphens/>
        <w:rPr>
          <w:szCs w:val="24"/>
          <w:lang w:val="et-EE"/>
        </w:rPr>
      </w:pPr>
      <w:r w:rsidRPr="00FB4017">
        <w:rPr>
          <w:szCs w:val="24"/>
          <w:lang w:val="et-EE"/>
        </w:rPr>
        <w:t xml:space="preserve">Artikkel 1 – lõige 1 – punkt a – alapunkt </w:t>
      </w:r>
      <w:proofErr w:type="spellStart"/>
      <w:r w:rsidRPr="00FB4017">
        <w:rPr>
          <w:szCs w:val="24"/>
          <w:lang w:val="et-EE"/>
        </w:rPr>
        <w:t>ii</w:t>
      </w:r>
      <w:proofErr w:type="spellEnd"/>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w:t>
            </w:r>
            <w:proofErr w:type="spellStart"/>
            <w:r w:rsidRPr="00FB4017">
              <w:rPr>
                <w:szCs w:val="24"/>
              </w:rPr>
              <w:t>ii</w:t>
            </w:r>
            <w:proofErr w:type="spellEnd"/>
            <w:r w:rsidRPr="00FB4017">
              <w:rPr>
                <w:szCs w:val="24"/>
              </w:rPr>
              <w:t>)</w:t>
            </w:r>
            <w:r w:rsidRPr="00FB4017">
              <w:rPr>
                <w:b/>
                <w:i/>
                <w:szCs w:val="24"/>
              </w:rPr>
              <w:t xml:space="preserve"> </w:t>
            </w:r>
            <w:r w:rsidRPr="00FB4017">
              <w:rPr>
                <w:szCs w:val="24"/>
              </w:rPr>
              <w:t>teadus- ja arendustegevusele ning innovatsioonile</w:t>
            </w:r>
          </w:p>
        </w:tc>
        <w:tc>
          <w:tcPr>
            <w:tcW w:w="4876" w:type="dxa"/>
          </w:tcPr>
          <w:p w:rsidR="001469DE" w:rsidRPr="00FB4017" w:rsidRDefault="001469DE" w:rsidP="00F238ED">
            <w:pPr>
              <w:pStyle w:val="Normal6"/>
              <w:suppressLineNumbers/>
              <w:suppressAutoHyphens/>
              <w:rPr>
                <w:szCs w:val="24"/>
              </w:rPr>
            </w:pPr>
            <w:r w:rsidRPr="00FB4017">
              <w:rPr>
                <w:szCs w:val="24"/>
              </w:rPr>
              <w:t>(</w:t>
            </w:r>
            <w:proofErr w:type="spellStart"/>
            <w:r w:rsidRPr="00FB4017">
              <w:rPr>
                <w:szCs w:val="24"/>
              </w:rPr>
              <w:t>ii</w:t>
            </w:r>
            <w:proofErr w:type="spellEnd"/>
            <w:r w:rsidRPr="00FB4017">
              <w:rPr>
                <w:szCs w:val="24"/>
              </w:rPr>
              <w:t>)</w:t>
            </w:r>
            <w:r w:rsidRPr="00FB4017">
              <w:rPr>
                <w:b/>
                <w:i/>
                <w:szCs w:val="24"/>
              </w:rPr>
              <w:t xml:space="preserve"> </w:t>
            </w:r>
            <w:r w:rsidRPr="00FB4017">
              <w:rPr>
                <w:szCs w:val="24"/>
              </w:rPr>
              <w:t>teadus- ja arendustegevusele ning innovatsioonile</w:t>
            </w:r>
            <w:r w:rsidRPr="00FB4017">
              <w:rPr>
                <w:b/>
                <w:i/>
                <w:szCs w:val="24"/>
              </w:rPr>
              <w:t>, eriti kui see on kooskõlas „Euroopa 2020” juhtalgatustega ja programmi „Horisont 2020” poliitiliste eesmärkidega</w:t>
            </w:r>
            <w:r w:rsidRPr="00FB4017">
              <w:rPr>
                <w:i/>
                <w:szCs w:val="24"/>
              </w:rPr>
              <w:t>;</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15</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Artikkel 1 – punkt 1</w:t>
      </w:r>
    </w:p>
    <w:p w:rsidR="001469DE" w:rsidRPr="00FB4017" w:rsidRDefault="001469DE" w:rsidP="00F238ED">
      <w:pPr>
        <w:widowControl w:val="0"/>
        <w:suppressLineNumbers/>
        <w:suppressAutoHyphens/>
        <w:rPr>
          <w:szCs w:val="24"/>
          <w:lang w:val="et-EE"/>
        </w:rPr>
      </w:pPr>
      <w:r w:rsidRPr="00FB4017">
        <w:rPr>
          <w:szCs w:val="24"/>
          <w:lang w:val="et-EE"/>
        </w:rPr>
        <w:t>Määrus (EÜ) nr 994/98</w:t>
      </w:r>
    </w:p>
    <w:p w:rsidR="001469DE" w:rsidRPr="00FB4017" w:rsidRDefault="001469DE" w:rsidP="00F238ED">
      <w:pPr>
        <w:widowControl w:val="0"/>
        <w:suppressLineNumbers/>
        <w:suppressAutoHyphens/>
        <w:rPr>
          <w:szCs w:val="24"/>
          <w:lang w:val="et-EE"/>
        </w:rPr>
      </w:pPr>
      <w:r w:rsidRPr="00FB4017">
        <w:rPr>
          <w:szCs w:val="24"/>
          <w:lang w:val="et-EE"/>
        </w:rPr>
        <w:t xml:space="preserve">Artikkel 1 – lõige 1 – punkt a – alapunkt </w:t>
      </w:r>
      <w:proofErr w:type="spellStart"/>
      <w:r w:rsidRPr="00FB4017">
        <w:rPr>
          <w:szCs w:val="24"/>
          <w:lang w:val="et-EE"/>
        </w:rPr>
        <w:t>iii</w:t>
      </w:r>
      <w:proofErr w:type="spellEnd"/>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w:t>
            </w:r>
            <w:proofErr w:type="spellStart"/>
            <w:r w:rsidRPr="00FB4017">
              <w:rPr>
                <w:szCs w:val="24"/>
              </w:rPr>
              <w:t>iii</w:t>
            </w:r>
            <w:proofErr w:type="spellEnd"/>
            <w:r w:rsidRPr="00FB4017">
              <w:rPr>
                <w:szCs w:val="24"/>
              </w:rPr>
              <w:t>)</w:t>
            </w:r>
            <w:r w:rsidRPr="00FB4017">
              <w:rPr>
                <w:b/>
                <w:i/>
                <w:szCs w:val="24"/>
              </w:rPr>
              <w:t xml:space="preserve"> </w:t>
            </w:r>
            <w:r w:rsidRPr="00FB4017">
              <w:rPr>
                <w:szCs w:val="24"/>
              </w:rPr>
              <w:t>keskkonnakaitsele;</w:t>
            </w:r>
          </w:p>
        </w:tc>
        <w:tc>
          <w:tcPr>
            <w:tcW w:w="4876" w:type="dxa"/>
          </w:tcPr>
          <w:p w:rsidR="001469DE" w:rsidRPr="00FB4017" w:rsidRDefault="001469DE" w:rsidP="00F238ED">
            <w:pPr>
              <w:pStyle w:val="Normal6"/>
              <w:suppressLineNumbers/>
              <w:suppressAutoHyphens/>
              <w:rPr>
                <w:szCs w:val="24"/>
              </w:rPr>
            </w:pPr>
            <w:r w:rsidRPr="00FB4017">
              <w:rPr>
                <w:szCs w:val="24"/>
              </w:rPr>
              <w:t>(</w:t>
            </w:r>
            <w:proofErr w:type="spellStart"/>
            <w:r w:rsidRPr="00FB4017">
              <w:rPr>
                <w:szCs w:val="24"/>
              </w:rPr>
              <w:t>iii</w:t>
            </w:r>
            <w:proofErr w:type="spellEnd"/>
            <w:r w:rsidRPr="00FB4017">
              <w:rPr>
                <w:szCs w:val="24"/>
              </w:rPr>
              <w:t>)</w:t>
            </w:r>
            <w:r w:rsidRPr="00FB4017">
              <w:rPr>
                <w:b/>
                <w:i/>
                <w:szCs w:val="24"/>
              </w:rPr>
              <w:t xml:space="preserve"> </w:t>
            </w:r>
            <w:r w:rsidRPr="00FB4017">
              <w:rPr>
                <w:szCs w:val="24"/>
              </w:rPr>
              <w:t>keskkonnakaitsele</w:t>
            </w:r>
            <w:r w:rsidRPr="00FB4017">
              <w:rPr>
                <w:b/>
                <w:i/>
                <w:szCs w:val="24"/>
              </w:rPr>
              <w:t>, eriti kui see on kooskõlas „Euroopa 2020” juhtalgatustega ja programmi „Horisont 2020” poliitiliste eesmärkidega</w:t>
            </w:r>
            <w:r w:rsidRPr="00FB4017">
              <w:rPr>
                <w:szCs w:val="24"/>
              </w:rPr>
              <w:t>;</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16</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Artikkel 1 – punkt 1</w:t>
      </w:r>
    </w:p>
    <w:p w:rsidR="001469DE" w:rsidRPr="00FB4017" w:rsidRDefault="001469DE" w:rsidP="00F238ED">
      <w:pPr>
        <w:widowControl w:val="0"/>
        <w:suppressLineNumbers/>
        <w:suppressAutoHyphens/>
        <w:rPr>
          <w:szCs w:val="24"/>
          <w:lang w:val="et-EE"/>
        </w:rPr>
      </w:pPr>
      <w:r w:rsidRPr="00FB4017">
        <w:rPr>
          <w:szCs w:val="24"/>
          <w:lang w:val="et-EE"/>
        </w:rPr>
        <w:t>Määrus (EÜ) nr 994/98</w:t>
      </w:r>
    </w:p>
    <w:p w:rsidR="001469DE" w:rsidRPr="00FB4017" w:rsidRDefault="001469DE" w:rsidP="00F238ED">
      <w:pPr>
        <w:widowControl w:val="0"/>
        <w:suppressLineNumbers/>
        <w:suppressAutoHyphens/>
        <w:rPr>
          <w:szCs w:val="24"/>
          <w:lang w:val="et-EE"/>
        </w:rPr>
      </w:pPr>
      <w:r w:rsidRPr="00FB4017">
        <w:rPr>
          <w:szCs w:val="24"/>
          <w:lang w:val="et-EE"/>
        </w:rPr>
        <w:t>Artikkel 1 –</w:t>
      </w:r>
      <w:r w:rsidR="00990A7D" w:rsidRPr="00FB4017">
        <w:rPr>
          <w:szCs w:val="24"/>
          <w:lang w:val="et-EE"/>
        </w:rPr>
        <w:t xml:space="preserve"> lõige 1 – punkt a – alapunkt v</w:t>
      </w:r>
      <w:r w:rsidRPr="00FB4017">
        <w:rPr>
          <w:szCs w:val="24"/>
          <w:lang w:val="et-EE"/>
        </w:rPr>
        <w:t>a (uus)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990A7D" w:rsidP="00F238ED">
            <w:pPr>
              <w:pStyle w:val="Normal6"/>
              <w:suppressLineNumbers/>
              <w:suppressAutoHyphens/>
              <w:rPr>
                <w:szCs w:val="24"/>
              </w:rPr>
            </w:pPr>
            <w:r w:rsidRPr="00FB4017">
              <w:rPr>
                <w:b/>
                <w:i/>
                <w:szCs w:val="24"/>
              </w:rPr>
              <w:t>(v</w:t>
            </w:r>
            <w:r w:rsidR="001469DE" w:rsidRPr="00FB4017">
              <w:rPr>
                <w:b/>
                <w:i/>
                <w:szCs w:val="24"/>
              </w:rPr>
              <w:t xml:space="preserve">a) turismi edendamisele, eriti kui see on kooskõlas liidu turismipoliitika </w:t>
            </w:r>
            <w:r w:rsidR="001469DE" w:rsidRPr="00FB4017">
              <w:rPr>
                <w:b/>
                <w:i/>
                <w:szCs w:val="24"/>
              </w:rPr>
              <w:lastRenderedPageBreak/>
              <w:t>eesmärkidega;</w:t>
            </w:r>
          </w:p>
        </w:tc>
      </w:tr>
    </w:tbl>
    <w:p w:rsidR="001469DE" w:rsidRPr="00FB4017" w:rsidRDefault="001469DE" w:rsidP="00F238ED">
      <w:pPr>
        <w:widowControl w:val="0"/>
        <w:suppressLineNumbers/>
        <w:suppressAutoHyphens/>
        <w:rPr>
          <w:szCs w:val="24"/>
          <w:lang w:val="et-EE"/>
        </w:rPr>
      </w:pPr>
    </w:p>
    <w:p w:rsidR="00C120F6" w:rsidRPr="00FB4017" w:rsidRDefault="00C120F6"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25</w:t>
      </w:r>
    </w:p>
    <w:p w:rsidR="00C120F6" w:rsidRPr="00FB4017" w:rsidRDefault="00C120F6" w:rsidP="00F238ED">
      <w:pPr>
        <w:pStyle w:val="Normal12"/>
        <w:suppressLineNumbers/>
        <w:suppressAutoHyphens/>
        <w:rPr>
          <w:szCs w:val="24"/>
        </w:rPr>
      </w:pPr>
    </w:p>
    <w:p w:rsidR="00C120F6" w:rsidRPr="00FB4017" w:rsidRDefault="00C120F6" w:rsidP="00F238ED">
      <w:pPr>
        <w:pStyle w:val="NormalBold"/>
        <w:suppressLineNumbers/>
        <w:suppressAutoHyphens/>
        <w:rPr>
          <w:szCs w:val="24"/>
        </w:rPr>
      </w:pPr>
      <w:r w:rsidRPr="00FB4017">
        <w:rPr>
          <w:szCs w:val="24"/>
        </w:rPr>
        <w:t>Ettepanek võtta vastu määrus</w:t>
      </w:r>
    </w:p>
    <w:p w:rsidR="00C120F6" w:rsidRPr="00FB4017" w:rsidRDefault="00C120F6" w:rsidP="00F238ED">
      <w:pPr>
        <w:pStyle w:val="NormalBold"/>
        <w:suppressLineNumbers/>
        <w:suppressAutoHyphens/>
        <w:rPr>
          <w:szCs w:val="24"/>
        </w:rPr>
      </w:pPr>
      <w:r w:rsidRPr="00FB4017">
        <w:rPr>
          <w:szCs w:val="24"/>
        </w:rPr>
        <w:t>Artikkel 1 – punkt 1</w:t>
      </w:r>
    </w:p>
    <w:p w:rsidR="00C120F6" w:rsidRPr="00FB4017" w:rsidRDefault="00C120F6" w:rsidP="00F238ED">
      <w:pPr>
        <w:widowControl w:val="0"/>
        <w:suppressLineNumbers/>
        <w:suppressAutoHyphens/>
        <w:rPr>
          <w:szCs w:val="24"/>
          <w:lang w:val="et-EE"/>
        </w:rPr>
      </w:pPr>
      <w:r w:rsidRPr="00FB4017">
        <w:rPr>
          <w:szCs w:val="24"/>
          <w:lang w:val="et-EE"/>
        </w:rPr>
        <w:t>Määrus (EÜ) nr 994/98</w:t>
      </w:r>
    </w:p>
    <w:p w:rsidR="00C120F6" w:rsidRPr="00FB4017" w:rsidRDefault="00C120F6" w:rsidP="00F238ED">
      <w:pPr>
        <w:widowControl w:val="0"/>
        <w:suppressLineNumbers/>
        <w:suppressAutoHyphens/>
        <w:rPr>
          <w:szCs w:val="24"/>
          <w:lang w:val="et-EE"/>
        </w:rPr>
      </w:pPr>
      <w:r w:rsidRPr="00FB4017">
        <w:rPr>
          <w:szCs w:val="24"/>
          <w:lang w:val="et-EE"/>
        </w:rPr>
        <w:t>Artikkel 1 – lõige 1 – punkt a – alapunkt x</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20F6" w:rsidRPr="00394A5E" w:rsidTr="00C120F6">
        <w:trPr>
          <w:jc w:val="center"/>
        </w:trPr>
        <w:tc>
          <w:tcPr>
            <w:tcW w:w="9752" w:type="dxa"/>
            <w:gridSpan w:val="2"/>
          </w:tcPr>
          <w:p w:rsidR="00C120F6" w:rsidRPr="00FB4017" w:rsidRDefault="00C120F6" w:rsidP="00F238ED">
            <w:pPr>
              <w:widowControl w:val="0"/>
              <w:suppressLineNumbers/>
              <w:suppressAutoHyphens/>
              <w:rPr>
                <w:szCs w:val="24"/>
                <w:lang w:val="et-EE"/>
              </w:rPr>
            </w:pPr>
          </w:p>
        </w:tc>
      </w:tr>
      <w:tr w:rsidR="00C120F6" w:rsidRPr="00FB4017" w:rsidTr="00C120F6">
        <w:trPr>
          <w:jc w:val="center"/>
        </w:trPr>
        <w:tc>
          <w:tcPr>
            <w:tcW w:w="4876" w:type="dxa"/>
          </w:tcPr>
          <w:p w:rsidR="00C120F6" w:rsidRPr="00FB4017" w:rsidRDefault="00C120F6" w:rsidP="00F238ED">
            <w:pPr>
              <w:pStyle w:val="ColumnHeading"/>
              <w:suppressLineNumbers/>
              <w:suppressAutoHyphens/>
              <w:rPr>
                <w:szCs w:val="24"/>
              </w:rPr>
            </w:pPr>
            <w:r w:rsidRPr="00FB4017">
              <w:rPr>
                <w:szCs w:val="24"/>
              </w:rPr>
              <w:t>Komisjoni ettepanek</w:t>
            </w:r>
            <w:bookmarkStart w:id="12" w:name="DocEPTmp2"/>
            <w:bookmarkEnd w:id="12"/>
          </w:p>
        </w:tc>
        <w:tc>
          <w:tcPr>
            <w:tcW w:w="4876" w:type="dxa"/>
          </w:tcPr>
          <w:p w:rsidR="00C120F6" w:rsidRPr="00FB4017" w:rsidRDefault="00C120F6" w:rsidP="00F238ED">
            <w:pPr>
              <w:pStyle w:val="ColumnHeading"/>
              <w:suppressLineNumbers/>
              <w:suppressAutoHyphens/>
              <w:rPr>
                <w:szCs w:val="24"/>
              </w:rPr>
            </w:pPr>
            <w:r w:rsidRPr="00FB4017">
              <w:rPr>
                <w:szCs w:val="24"/>
              </w:rPr>
              <w:t>Muudatusettepanek</w:t>
            </w:r>
          </w:p>
        </w:tc>
      </w:tr>
      <w:tr w:rsidR="00C120F6" w:rsidRPr="00394A5E" w:rsidTr="00C120F6">
        <w:trPr>
          <w:jc w:val="center"/>
        </w:trPr>
        <w:tc>
          <w:tcPr>
            <w:tcW w:w="4876" w:type="dxa"/>
          </w:tcPr>
          <w:p w:rsidR="00C120F6" w:rsidRPr="00FB4017" w:rsidRDefault="00C120F6" w:rsidP="00F238ED">
            <w:pPr>
              <w:pStyle w:val="Normal6"/>
              <w:suppressLineNumbers/>
              <w:suppressAutoHyphens/>
              <w:rPr>
                <w:szCs w:val="24"/>
              </w:rPr>
            </w:pPr>
            <w:r w:rsidRPr="00FB4017">
              <w:rPr>
                <w:szCs w:val="24"/>
              </w:rPr>
              <w:t>x)</w:t>
            </w:r>
            <w:r w:rsidRPr="00FB4017">
              <w:rPr>
                <w:b/>
                <w:i/>
                <w:szCs w:val="24"/>
              </w:rPr>
              <w:t xml:space="preserve"> </w:t>
            </w:r>
            <w:r w:rsidRPr="00FB4017">
              <w:rPr>
                <w:szCs w:val="24"/>
              </w:rPr>
              <w:t>harrastusspordile;</w:t>
            </w:r>
          </w:p>
        </w:tc>
        <w:tc>
          <w:tcPr>
            <w:tcW w:w="4876" w:type="dxa"/>
          </w:tcPr>
          <w:p w:rsidR="00C120F6" w:rsidRPr="00FB4017" w:rsidRDefault="00C120F6" w:rsidP="00F238ED">
            <w:pPr>
              <w:pStyle w:val="Normal6"/>
              <w:suppressLineNumbers/>
              <w:suppressAutoHyphens/>
              <w:rPr>
                <w:szCs w:val="24"/>
              </w:rPr>
            </w:pPr>
            <w:r w:rsidRPr="00FB4017">
              <w:rPr>
                <w:szCs w:val="24"/>
              </w:rPr>
              <w:t>x)</w:t>
            </w:r>
            <w:r w:rsidRPr="00FB4017">
              <w:rPr>
                <w:b/>
                <w:i/>
                <w:szCs w:val="24"/>
              </w:rPr>
              <w:t xml:space="preserve"> </w:t>
            </w:r>
            <w:r w:rsidRPr="00FB4017">
              <w:rPr>
                <w:szCs w:val="24"/>
              </w:rPr>
              <w:t>harrastusspordile</w:t>
            </w:r>
            <w:r w:rsidRPr="00FB4017">
              <w:rPr>
                <w:b/>
                <w:i/>
                <w:szCs w:val="24"/>
              </w:rPr>
              <w:t xml:space="preserve"> ja noorte arendamisele spordi kaudu</w:t>
            </w:r>
            <w:r w:rsidRPr="00FB4017">
              <w:rPr>
                <w:szCs w:val="24"/>
              </w:rPr>
              <w:t>;</w:t>
            </w:r>
          </w:p>
        </w:tc>
      </w:tr>
    </w:tbl>
    <w:p w:rsidR="00C120F6" w:rsidRPr="00FB4017" w:rsidRDefault="00C120F6" w:rsidP="00F238ED">
      <w:pPr>
        <w:pStyle w:val="AMNumberTabs"/>
        <w:suppressLineNumbers/>
        <w:suppressAutoHyphens/>
        <w:rPr>
          <w:szCs w:val="24"/>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17</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Artikkel 1 – punkt 1</w:t>
      </w:r>
    </w:p>
    <w:p w:rsidR="001469DE" w:rsidRPr="00FB4017" w:rsidRDefault="001469DE" w:rsidP="00F238ED">
      <w:pPr>
        <w:widowControl w:val="0"/>
        <w:suppressLineNumbers/>
        <w:suppressAutoHyphens/>
        <w:rPr>
          <w:szCs w:val="24"/>
          <w:lang w:val="et-EE"/>
        </w:rPr>
      </w:pPr>
      <w:r w:rsidRPr="00FB4017">
        <w:rPr>
          <w:szCs w:val="24"/>
          <w:lang w:val="et-EE"/>
        </w:rPr>
        <w:t xml:space="preserve">Määrus (EÜ) nr 994/98 </w:t>
      </w:r>
    </w:p>
    <w:p w:rsidR="001469DE" w:rsidRPr="00FB4017" w:rsidRDefault="001469DE" w:rsidP="00F238ED">
      <w:pPr>
        <w:widowControl w:val="0"/>
        <w:suppressLineNumbers/>
        <w:suppressAutoHyphens/>
        <w:rPr>
          <w:szCs w:val="24"/>
          <w:lang w:val="et-EE"/>
        </w:rPr>
      </w:pPr>
      <w:r w:rsidRPr="00FB4017">
        <w:rPr>
          <w:szCs w:val="24"/>
          <w:lang w:val="et-EE"/>
        </w:rPr>
        <w:t xml:space="preserve">Artikkel 1 – lõige 1 – punkt a – alapunkt </w:t>
      </w:r>
      <w:proofErr w:type="spellStart"/>
      <w:r w:rsidRPr="00FB4017">
        <w:rPr>
          <w:szCs w:val="24"/>
          <w:lang w:val="et-EE"/>
        </w:rPr>
        <w:t>xi</w:t>
      </w:r>
      <w:proofErr w:type="spellEnd"/>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FB4017" w:rsidTr="001469DE">
        <w:trPr>
          <w:jc w:val="center"/>
        </w:trPr>
        <w:tc>
          <w:tcPr>
            <w:tcW w:w="4876" w:type="dxa"/>
          </w:tcPr>
          <w:p w:rsidR="001469DE" w:rsidRPr="00FB4017" w:rsidRDefault="001469DE" w:rsidP="00F238ED">
            <w:pPr>
              <w:pStyle w:val="Normal6"/>
              <w:suppressLineNumbers/>
              <w:suppressAutoHyphens/>
              <w:rPr>
                <w:szCs w:val="24"/>
              </w:rPr>
            </w:pPr>
            <w:r w:rsidRPr="00FB4017">
              <w:rPr>
                <w:b/>
                <w:i/>
                <w:szCs w:val="24"/>
              </w:rPr>
              <w:t>(</w:t>
            </w:r>
            <w:proofErr w:type="spellStart"/>
            <w:r w:rsidRPr="00FB4017">
              <w:rPr>
                <w:b/>
                <w:i/>
                <w:szCs w:val="24"/>
              </w:rPr>
              <w:t>xi</w:t>
            </w:r>
            <w:proofErr w:type="spellEnd"/>
            <w:r w:rsidRPr="00FB4017">
              <w:rPr>
                <w:b/>
                <w:i/>
                <w:szCs w:val="24"/>
              </w:rPr>
              <w:t>) äärealade elanikele transpordi jaoks, kui tegemist on sotsiaalabiga ning seda antakse ilma asjaomaste transpordiettevõtjate päritolul põhineva diskrimineerimiseta;</w:t>
            </w:r>
          </w:p>
        </w:tc>
        <w:tc>
          <w:tcPr>
            <w:tcW w:w="4876" w:type="dxa"/>
          </w:tcPr>
          <w:p w:rsidR="001469DE" w:rsidRPr="00FB4017" w:rsidRDefault="001469DE" w:rsidP="00F238ED">
            <w:pPr>
              <w:pStyle w:val="Normal6"/>
              <w:suppressLineNumbers/>
              <w:suppressAutoHyphens/>
              <w:rPr>
                <w:szCs w:val="24"/>
              </w:rPr>
            </w:pPr>
            <w:r w:rsidRPr="00FB4017">
              <w:rPr>
                <w:b/>
                <w:i/>
                <w:szCs w:val="24"/>
              </w:rPr>
              <w:t>välja jäetud</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18</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Artikkel 1 – punkt 1</w:t>
      </w:r>
    </w:p>
    <w:p w:rsidR="001469DE" w:rsidRPr="00FB4017" w:rsidRDefault="001469DE" w:rsidP="00F238ED">
      <w:pPr>
        <w:widowControl w:val="0"/>
        <w:suppressLineNumbers/>
        <w:suppressAutoHyphens/>
        <w:rPr>
          <w:szCs w:val="24"/>
          <w:lang w:val="et-EE"/>
        </w:rPr>
      </w:pPr>
      <w:r w:rsidRPr="00FB4017">
        <w:rPr>
          <w:szCs w:val="24"/>
          <w:lang w:val="et-EE"/>
        </w:rPr>
        <w:t xml:space="preserve">Määrus (EÜ) nr 994/98 </w:t>
      </w:r>
    </w:p>
    <w:p w:rsidR="001469DE" w:rsidRPr="00FB4017" w:rsidRDefault="001469DE" w:rsidP="00F238ED">
      <w:pPr>
        <w:widowControl w:val="0"/>
        <w:suppressLineNumbers/>
        <w:suppressAutoHyphens/>
        <w:rPr>
          <w:szCs w:val="24"/>
          <w:lang w:val="et-EE"/>
        </w:rPr>
      </w:pPr>
      <w:r w:rsidRPr="00FB4017">
        <w:rPr>
          <w:szCs w:val="24"/>
          <w:lang w:val="et-EE"/>
        </w:rPr>
        <w:t xml:space="preserve">Artikkel 1 – lõige 1 – punkt a – alapunkt </w:t>
      </w:r>
      <w:proofErr w:type="spellStart"/>
      <w:r w:rsidRPr="00FB4017">
        <w:rPr>
          <w:szCs w:val="24"/>
          <w:lang w:val="et-EE"/>
        </w:rPr>
        <w:t>xii</w:t>
      </w:r>
      <w:proofErr w:type="spellEnd"/>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FB4017"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FB4017" w:rsidTr="001469DE">
        <w:trPr>
          <w:jc w:val="center"/>
        </w:trPr>
        <w:tc>
          <w:tcPr>
            <w:tcW w:w="4876" w:type="dxa"/>
          </w:tcPr>
          <w:p w:rsidR="001469DE" w:rsidRPr="00FB4017" w:rsidRDefault="001469DE" w:rsidP="00F238ED">
            <w:pPr>
              <w:pStyle w:val="Normal6"/>
              <w:suppressLineNumbers/>
              <w:suppressAutoHyphens/>
              <w:rPr>
                <w:szCs w:val="24"/>
              </w:rPr>
            </w:pPr>
            <w:r w:rsidRPr="00FB4017">
              <w:rPr>
                <w:b/>
                <w:i/>
                <w:szCs w:val="24"/>
              </w:rPr>
              <w:t>(</w:t>
            </w:r>
            <w:proofErr w:type="spellStart"/>
            <w:r w:rsidRPr="00FB4017">
              <w:rPr>
                <w:b/>
                <w:i/>
                <w:szCs w:val="24"/>
              </w:rPr>
              <w:t>xii</w:t>
            </w:r>
            <w:proofErr w:type="spellEnd"/>
            <w:r w:rsidRPr="00FB4017">
              <w:rPr>
                <w:b/>
                <w:i/>
                <w:szCs w:val="24"/>
              </w:rPr>
              <w:t>) transpordi koordineerimiseks või avalike teenuste hulka kuuluvate teatavate kohustuste täitmise kulude hüvitamiseks, vastavalt asutamislepingu artiklile 93;</w:t>
            </w:r>
          </w:p>
        </w:tc>
        <w:tc>
          <w:tcPr>
            <w:tcW w:w="4876" w:type="dxa"/>
          </w:tcPr>
          <w:p w:rsidR="001469DE" w:rsidRPr="00FB4017" w:rsidRDefault="001469DE" w:rsidP="00F238ED">
            <w:pPr>
              <w:pStyle w:val="Normal6"/>
              <w:suppressLineNumbers/>
              <w:suppressAutoHyphens/>
              <w:rPr>
                <w:szCs w:val="24"/>
              </w:rPr>
            </w:pPr>
            <w:r w:rsidRPr="00FB4017">
              <w:rPr>
                <w:b/>
                <w:i/>
                <w:szCs w:val="24"/>
              </w:rPr>
              <w:t>välja jäetud</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lastRenderedPageBreak/>
        <w:t>Muudatusettepanek</w:t>
      </w:r>
      <w:r w:rsidRPr="00FB4017">
        <w:rPr>
          <w:szCs w:val="24"/>
        </w:rPr>
        <w:tab/>
      </w:r>
      <w:r w:rsidRPr="00FB4017">
        <w:rPr>
          <w:szCs w:val="24"/>
        </w:rPr>
        <w:tab/>
      </w:r>
      <w:r w:rsidRPr="00FB4017">
        <w:rPr>
          <w:color w:val="000000"/>
          <w:szCs w:val="24"/>
        </w:rPr>
        <w:t>19</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Artikkel 1 – punkt 2</w:t>
      </w:r>
    </w:p>
    <w:p w:rsidR="001469DE" w:rsidRPr="00FB4017" w:rsidRDefault="001469DE" w:rsidP="00F238ED">
      <w:pPr>
        <w:widowControl w:val="0"/>
        <w:suppressLineNumbers/>
        <w:suppressAutoHyphens/>
        <w:rPr>
          <w:szCs w:val="24"/>
          <w:lang w:val="et-EE"/>
        </w:rPr>
      </w:pPr>
      <w:r w:rsidRPr="00FB4017">
        <w:rPr>
          <w:szCs w:val="24"/>
          <w:lang w:val="et-EE"/>
        </w:rPr>
        <w:t>Määrus (EÜ) nr 994/98</w:t>
      </w:r>
    </w:p>
    <w:p w:rsidR="001469DE" w:rsidRPr="00FB4017" w:rsidRDefault="001469DE" w:rsidP="00F238ED">
      <w:pPr>
        <w:widowControl w:val="0"/>
        <w:suppressLineNumbers/>
        <w:suppressAutoHyphens/>
        <w:rPr>
          <w:szCs w:val="24"/>
          <w:lang w:val="et-EE"/>
        </w:rPr>
      </w:pPr>
      <w:r w:rsidRPr="00FB4017">
        <w:rPr>
          <w:szCs w:val="24"/>
          <w:lang w:val="et-EE"/>
        </w:rPr>
        <w:t>Artikkel 3 – lõige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FB4017"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r w:rsidRPr="00FB4017">
              <w:rPr>
                <w:szCs w:val="24"/>
              </w:rPr>
              <w:t>2.</w:t>
            </w:r>
            <w:r w:rsidRPr="00FB4017">
              <w:rPr>
                <w:b/>
                <w:i/>
                <w:szCs w:val="24"/>
              </w:rPr>
              <w:t xml:space="preserve"> </w:t>
            </w:r>
            <w:r w:rsidRPr="00FB4017">
              <w:rPr>
                <w:szCs w:val="24"/>
              </w:rPr>
              <w:t>Selliste määrustega vabastatud abisüsteemide rakendamisel või süsteemiväliste üksiktoetuste andmisel edastavad</w:t>
            </w:r>
            <w:r w:rsidRPr="00FB4017">
              <w:rPr>
                <w:b/>
                <w:i/>
                <w:szCs w:val="24"/>
              </w:rPr>
              <w:t xml:space="preserve"> liikmesriigid</w:t>
            </w:r>
            <w:r w:rsidRPr="00FB4017">
              <w:rPr>
                <w:szCs w:val="24"/>
              </w:rPr>
              <w:t xml:space="preserve"> komisjonile selliste abisüsteemide või vabastatud abisüsteemide väliste üksiktoetuste kohta kokkuvõtliku teabe komisjoni veebisaidil avaldamiseks.</w:t>
            </w:r>
          </w:p>
        </w:tc>
        <w:tc>
          <w:tcPr>
            <w:tcW w:w="4876" w:type="dxa"/>
          </w:tcPr>
          <w:p w:rsidR="001469DE" w:rsidRPr="00FB4017" w:rsidRDefault="001469DE" w:rsidP="00F238ED">
            <w:pPr>
              <w:pStyle w:val="Normal6"/>
              <w:suppressLineNumbers/>
              <w:suppressAutoHyphens/>
              <w:rPr>
                <w:szCs w:val="24"/>
              </w:rPr>
            </w:pPr>
            <w:r w:rsidRPr="00FB4017">
              <w:rPr>
                <w:szCs w:val="24"/>
              </w:rPr>
              <w:t>2.</w:t>
            </w:r>
            <w:r w:rsidRPr="00FB4017">
              <w:rPr>
                <w:b/>
                <w:i/>
                <w:szCs w:val="24"/>
              </w:rPr>
              <w:t xml:space="preserve"> </w:t>
            </w:r>
            <w:r w:rsidRPr="00FB4017">
              <w:rPr>
                <w:szCs w:val="24"/>
              </w:rPr>
              <w:t>Selliste määrustega vabastatud abisüsteemide rakendamisel või süsteemiväliste üksiktoetuste andmisel</w:t>
            </w:r>
            <w:r w:rsidRPr="00FB4017">
              <w:rPr>
                <w:b/>
                <w:i/>
                <w:szCs w:val="24"/>
              </w:rPr>
              <w:t xml:space="preserve"> võtavad liikmesriigid arvesse riigihanke-eeskirju, strateegiat „Euroopa 2020” ning liidu keskkonnapoliitilisi meetmeid ja eesmärke. Liikmesriigid</w:t>
            </w:r>
            <w:r w:rsidRPr="00FB4017">
              <w:rPr>
                <w:szCs w:val="24"/>
              </w:rPr>
              <w:t xml:space="preserve"> edastavad komisjonile selliste abisüsteemide või vabastatud abisüsteemide väliste üksiktoetuste kohta kokkuvõtliku teabe komisjoni veebisaidil avaldamiseks.</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20</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990A7D" w:rsidP="00F238ED">
      <w:pPr>
        <w:pStyle w:val="NormalBold"/>
        <w:suppressLineNumbers/>
        <w:suppressAutoHyphens/>
        <w:rPr>
          <w:szCs w:val="24"/>
        </w:rPr>
      </w:pPr>
      <w:r w:rsidRPr="00FB4017">
        <w:rPr>
          <w:szCs w:val="24"/>
        </w:rPr>
        <w:t>Artikkel 1 – punkt 2</w:t>
      </w:r>
      <w:r w:rsidR="001469DE" w:rsidRPr="00FB4017">
        <w:rPr>
          <w:szCs w:val="24"/>
        </w:rPr>
        <w:t>a (uus)</w:t>
      </w:r>
    </w:p>
    <w:p w:rsidR="001469DE" w:rsidRPr="00FB4017" w:rsidRDefault="001469DE" w:rsidP="00F238ED">
      <w:pPr>
        <w:widowControl w:val="0"/>
        <w:suppressLineNumbers/>
        <w:suppressAutoHyphens/>
        <w:rPr>
          <w:szCs w:val="24"/>
          <w:lang w:val="et-EE"/>
        </w:rPr>
      </w:pPr>
      <w:r w:rsidRPr="00FB4017">
        <w:rPr>
          <w:szCs w:val="24"/>
          <w:lang w:val="et-EE"/>
        </w:rPr>
        <w:t>Määrus (EÜ) nr 994/98</w:t>
      </w:r>
    </w:p>
    <w:p w:rsidR="001469DE" w:rsidRPr="00FB4017" w:rsidRDefault="001469DE" w:rsidP="00F238ED">
      <w:pPr>
        <w:widowControl w:val="0"/>
        <w:suppressLineNumbers/>
        <w:suppressAutoHyphens/>
        <w:rPr>
          <w:szCs w:val="24"/>
          <w:lang w:val="et-EE"/>
        </w:rPr>
      </w:pPr>
      <w:r w:rsidRPr="00FB4017">
        <w:rPr>
          <w:szCs w:val="24"/>
          <w:lang w:val="et-EE"/>
        </w:rPr>
        <w:t>Artikkel 3 – lõige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394A5E"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990A7D" w:rsidP="00F238ED">
            <w:pPr>
              <w:pStyle w:val="Normal6"/>
              <w:suppressLineNumbers/>
              <w:suppressAutoHyphens/>
              <w:rPr>
                <w:szCs w:val="24"/>
              </w:rPr>
            </w:pPr>
            <w:r w:rsidRPr="00FB4017">
              <w:rPr>
                <w:b/>
                <w:i/>
                <w:szCs w:val="24"/>
              </w:rPr>
              <w:t>(2</w:t>
            </w:r>
            <w:r w:rsidR="001469DE" w:rsidRPr="00FB4017">
              <w:rPr>
                <w:b/>
                <w:i/>
                <w:szCs w:val="24"/>
              </w:rPr>
              <w:t>a) Artikli 3 lõige 4 asendatakse järgmisega:</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1469DE" w:rsidP="00F238ED">
            <w:pPr>
              <w:pStyle w:val="Normal6"/>
              <w:suppressLineNumbers/>
              <w:suppressAutoHyphens/>
              <w:rPr>
                <w:szCs w:val="24"/>
              </w:rPr>
            </w:pPr>
            <w:r w:rsidRPr="00FB4017">
              <w:rPr>
                <w:b/>
                <w:szCs w:val="24"/>
              </w:rPr>
              <w:t xml:space="preserve">„4. Järgides komisjoni konkreetseid nõudeid, esitavad liikmesriigid vähemalt kord aastas komisjonile aruande grupierandite kohaldamise kohta, soovitavalt elektroonilises vormis. Komisjon teeb need aruanded </w:t>
            </w:r>
            <w:r w:rsidRPr="00FB4017">
              <w:rPr>
                <w:b/>
                <w:i/>
                <w:szCs w:val="24"/>
              </w:rPr>
              <w:t>Euroopa Parlamendile ja</w:t>
            </w:r>
            <w:r w:rsidRPr="00FB4017">
              <w:rPr>
                <w:b/>
                <w:szCs w:val="24"/>
              </w:rPr>
              <w:t xml:space="preserve"> </w:t>
            </w:r>
            <w:r w:rsidRPr="00FB4017">
              <w:rPr>
                <w:b/>
                <w:i/>
                <w:szCs w:val="24"/>
              </w:rPr>
              <w:t xml:space="preserve">kõikidele </w:t>
            </w:r>
            <w:r w:rsidRPr="00FB4017">
              <w:rPr>
                <w:b/>
                <w:szCs w:val="24"/>
              </w:rPr>
              <w:t>liikmesriikidele kättesaadavaks. Artiklis 7 osutatud nõuandekomitee vaatab aruanded läbi ja hindab neid kord aastas.”</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21</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990A7D" w:rsidP="00F238ED">
      <w:pPr>
        <w:pStyle w:val="NormalBold"/>
        <w:suppressLineNumbers/>
        <w:suppressAutoHyphens/>
        <w:rPr>
          <w:szCs w:val="24"/>
        </w:rPr>
      </w:pPr>
      <w:r w:rsidRPr="00FB4017">
        <w:rPr>
          <w:szCs w:val="24"/>
        </w:rPr>
        <w:t>Artikkel 1 – punkt 2</w:t>
      </w:r>
      <w:r w:rsidR="001469DE" w:rsidRPr="00FB4017">
        <w:rPr>
          <w:szCs w:val="24"/>
        </w:rPr>
        <w:t>b (uus)</w:t>
      </w:r>
    </w:p>
    <w:p w:rsidR="001469DE" w:rsidRPr="00FB4017" w:rsidRDefault="001469DE" w:rsidP="00F238ED">
      <w:pPr>
        <w:widowControl w:val="0"/>
        <w:suppressLineNumbers/>
        <w:suppressAutoHyphens/>
        <w:rPr>
          <w:szCs w:val="24"/>
          <w:lang w:val="et-EE"/>
        </w:rPr>
      </w:pPr>
      <w:r w:rsidRPr="00FB4017">
        <w:rPr>
          <w:szCs w:val="24"/>
          <w:lang w:val="et-EE"/>
        </w:rPr>
        <w:lastRenderedPageBreak/>
        <w:t>Määrus (EÜ) nr 994/98</w:t>
      </w:r>
    </w:p>
    <w:p w:rsidR="001469DE" w:rsidRPr="00FB4017" w:rsidRDefault="001469DE" w:rsidP="00F238ED">
      <w:pPr>
        <w:widowControl w:val="0"/>
        <w:suppressLineNumbers/>
        <w:suppressAutoHyphens/>
        <w:rPr>
          <w:szCs w:val="24"/>
          <w:lang w:val="et-EE"/>
        </w:rPr>
      </w:pPr>
      <w:r w:rsidRPr="00FB4017">
        <w:rPr>
          <w:szCs w:val="24"/>
          <w:lang w:val="et-EE"/>
        </w:rPr>
        <w:t>Artikkel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69DE" w:rsidRPr="00FB4017"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1469DE" w:rsidRPr="00FB4017"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990A7D" w:rsidP="00F238ED">
            <w:pPr>
              <w:pStyle w:val="Normal6"/>
              <w:suppressLineNumbers/>
              <w:suppressAutoHyphens/>
              <w:rPr>
                <w:szCs w:val="24"/>
              </w:rPr>
            </w:pPr>
            <w:r w:rsidRPr="00FB4017">
              <w:rPr>
                <w:b/>
                <w:i/>
                <w:szCs w:val="24"/>
              </w:rPr>
              <w:t>(2</w:t>
            </w:r>
            <w:r w:rsidR="001469DE" w:rsidRPr="00FB4017">
              <w:rPr>
                <w:b/>
                <w:i/>
                <w:szCs w:val="24"/>
              </w:rPr>
              <w:t>b) Artikkel 5 asendatakse järgmisega:</w:t>
            </w:r>
          </w:p>
        </w:tc>
      </w:tr>
      <w:tr w:rsidR="001469DE" w:rsidRPr="00FB4017"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26112F" w:rsidP="00F238ED">
            <w:pPr>
              <w:pStyle w:val="Normal6"/>
              <w:suppressLineNumbers/>
              <w:suppressAutoHyphens/>
              <w:rPr>
                <w:szCs w:val="24"/>
              </w:rPr>
            </w:pPr>
            <w:r w:rsidRPr="00FB4017">
              <w:rPr>
                <w:b/>
                <w:szCs w:val="24"/>
              </w:rPr>
              <w:t>„</w:t>
            </w:r>
            <w:r w:rsidR="001469DE" w:rsidRPr="00FB4017">
              <w:rPr>
                <w:b/>
                <w:szCs w:val="24"/>
              </w:rPr>
              <w:t>Artikkel 5</w:t>
            </w:r>
          </w:p>
        </w:tc>
      </w:tr>
      <w:tr w:rsidR="001469DE" w:rsidRPr="00FB4017"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1469DE" w:rsidP="00F238ED">
            <w:pPr>
              <w:pStyle w:val="Normal6"/>
              <w:suppressLineNumbers/>
              <w:suppressAutoHyphens/>
              <w:rPr>
                <w:szCs w:val="24"/>
              </w:rPr>
            </w:pPr>
            <w:r w:rsidRPr="00FB4017">
              <w:rPr>
                <w:b/>
                <w:szCs w:val="24"/>
              </w:rPr>
              <w:t>Hindamisaruanne</w:t>
            </w:r>
          </w:p>
        </w:tc>
      </w:tr>
      <w:tr w:rsidR="001469DE" w:rsidRPr="00394A5E" w:rsidTr="001469DE">
        <w:trPr>
          <w:jc w:val="center"/>
        </w:trPr>
        <w:tc>
          <w:tcPr>
            <w:tcW w:w="4876" w:type="dxa"/>
          </w:tcPr>
          <w:p w:rsidR="001469DE" w:rsidRPr="00FB4017" w:rsidRDefault="001469DE" w:rsidP="00F238ED">
            <w:pPr>
              <w:pStyle w:val="Normal6"/>
              <w:suppressLineNumbers/>
              <w:suppressAutoHyphens/>
              <w:rPr>
                <w:szCs w:val="24"/>
              </w:rPr>
            </w:pPr>
          </w:p>
        </w:tc>
        <w:tc>
          <w:tcPr>
            <w:tcW w:w="4876" w:type="dxa"/>
          </w:tcPr>
          <w:p w:rsidR="001469DE" w:rsidRPr="00FB4017" w:rsidRDefault="001469DE" w:rsidP="00F238ED">
            <w:pPr>
              <w:pStyle w:val="Normal6"/>
              <w:suppressLineNumbers/>
              <w:suppressAutoHyphens/>
              <w:rPr>
                <w:szCs w:val="24"/>
              </w:rPr>
            </w:pPr>
            <w:r w:rsidRPr="00FB4017">
              <w:rPr>
                <w:b/>
                <w:szCs w:val="24"/>
              </w:rPr>
              <w:t>Iga</w:t>
            </w:r>
            <w:r w:rsidRPr="00FB4017">
              <w:rPr>
                <w:b/>
                <w:i/>
                <w:szCs w:val="24"/>
              </w:rPr>
              <w:t xml:space="preserve"> kahe aasta </w:t>
            </w:r>
            <w:r w:rsidRPr="00FB4017">
              <w:rPr>
                <w:b/>
                <w:szCs w:val="24"/>
              </w:rPr>
              <w:t>järel esitab komisjon Euroopa Parlamendile ja nõukogule aruande käesoleva määruse kohaldamise kohta.</w:t>
            </w:r>
            <w:r w:rsidRPr="00FB4017">
              <w:rPr>
                <w:b/>
                <w:i/>
                <w:szCs w:val="24"/>
              </w:rPr>
              <w:t xml:space="preserve"> Aruandes nähakse eelkõige ette käesoleva määruse kohaselt</w:t>
            </w:r>
            <w:r w:rsidR="00FD388E" w:rsidRPr="00FB4017">
              <w:rPr>
                <w:b/>
                <w:i/>
                <w:szCs w:val="24"/>
              </w:rPr>
              <w:t xml:space="preserve"> antud </w:t>
            </w:r>
            <w:r w:rsidRPr="00FB4017">
              <w:rPr>
                <w:b/>
                <w:i/>
                <w:szCs w:val="24"/>
              </w:rPr>
              <w:t>grupierand</w:t>
            </w:r>
            <w:r w:rsidR="00FD388E" w:rsidRPr="00FB4017">
              <w:rPr>
                <w:b/>
                <w:i/>
                <w:szCs w:val="24"/>
              </w:rPr>
              <w:t>ite</w:t>
            </w:r>
            <w:r w:rsidRPr="00FB4017">
              <w:rPr>
                <w:b/>
                <w:i/>
                <w:szCs w:val="24"/>
              </w:rPr>
              <w:t xml:space="preserve"> ulatuslik kulu</w:t>
            </w:r>
            <w:r w:rsidR="00FD388E" w:rsidRPr="00FB4017">
              <w:rPr>
                <w:b/>
                <w:i/>
                <w:szCs w:val="24"/>
              </w:rPr>
              <w:t>tasuvuse analüüs</w:t>
            </w:r>
            <w:r w:rsidRPr="00FB4017">
              <w:rPr>
                <w:b/>
                <w:i/>
                <w:szCs w:val="24"/>
              </w:rPr>
              <w:t xml:space="preserve"> ning hinnang selle kohta, kuidas nimetatud määrusega edendatakse „Euroopa 2020” juhtalgatuste saavutamist ja </w:t>
            </w:r>
            <w:r w:rsidR="00FD388E" w:rsidRPr="00FB4017">
              <w:rPr>
                <w:b/>
                <w:i/>
                <w:szCs w:val="24"/>
              </w:rPr>
              <w:t xml:space="preserve">programmi </w:t>
            </w:r>
            <w:r w:rsidRPr="00FB4017">
              <w:rPr>
                <w:b/>
                <w:i/>
                <w:szCs w:val="24"/>
              </w:rPr>
              <w:t>„Horisont 2020”</w:t>
            </w:r>
            <w:r w:rsidR="00FD388E" w:rsidRPr="00FB4017">
              <w:rPr>
                <w:b/>
                <w:i/>
                <w:szCs w:val="24"/>
              </w:rPr>
              <w:t xml:space="preserve"> poliitilisi eesmärke</w:t>
            </w:r>
            <w:r w:rsidRPr="00FB4017">
              <w:rPr>
                <w:b/>
                <w:i/>
                <w:szCs w:val="24"/>
              </w:rPr>
              <w:t xml:space="preserve">. </w:t>
            </w:r>
            <w:r w:rsidRPr="00FB4017">
              <w:rPr>
                <w:b/>
                <w:szCs w:val="24"/>
              </w:rPr>
              <w:t>Komisjon esitab aruande eelnõu artiklis 7 osutatud nõuandekomiteele tutvumiseks.</w:t>
            </w:r>
            <w:r w:rsidRPr="00FB4017">
              <w:rPr>
                <w:b/>
                <w:i/>
                <w:szCs w:val="24"/>
              </w:rPr>
              <w:t xml:space="preserve"> Igal aastal esitab komisjon Euroopa Parlamendile ja nõukogule grupierandi määruste kohaldamist puudutava järelevalve tulemused ning avaldab oma veebisaidil koondaruande, sealhulgas selge ülevaate liikmesriikide poolt grupierandi määruste</w:t>
            </w:r>
            <w:r w:rsidR="00FD388E" w:rsidRPr="00FB4017">
              <w:rPr>
                <w:b/>
                <w:i/>
                <w:szCs w:val="24"/>
              </w:rPr>
              <w:t xml:space="preserve"> alusel</w:t>
            </w:r>
            <w:r w:rsidRPr="00FB4017">
              <w:rPr>
                <w:b/>
                <w:i/>
                <w:szCs w:val="24"/>
              </w:rPr>
              <w:t xml:space="preserve"> antud kokkusobimatu riigiab</w:t>
            </w:r>
            <w:r w:rsidR="00FD388E" w:rsidRPr="00FB4017">
              <w:rPr>
                <w:b/>
                <w:i/>
                <w:szCs w:val="24"/>
              </w:rPr>
              <w:t>i suuruse</w:t>
            </w:r>
            <w:r w:rsidRPr="00FB4017">
              <w:rPr>
                <w:b/>
                <w:i/>
                <w:szCs w:val="24"/>
              </w:rPr>
              <w:t xml:space="preserve"> ja abiliikide kohta</w:t>
            </w:r>
            <w:r w:rsidR="0026112F" w:rsidRPr="00FB4017">
              <w:rPr>
                <w:b/>
                <w:i/>
                <w:szCs w:val="24"/>
              </w:rPr>
              <w:t>”</w:t>
            </w:r>
            <w:r w:rsidRPr="00FB4017">
              <w:rPr>
                <w:b/>
                <w:i/>
                <w:szCs w:val="24"/>
              </w:rPr>
              <w:t>.</w:t>
            </w:r>
          </w:p>
        </w:tc>
      </w:tr>
    </w:tbl>
    <w:p w:rsidR="001469DE" w:rsidRPr="00FB4017" w:rsidRDefault="001469DE" w:rsidP="00F238ED">
      <w:pPr>
        <w:widowControl w:val="0"/>
        <w:suppressLineNumbers/>
        <w:suppressAutoHyphens/>
        <w:rPr>
          <w:szCs w:val="24"/>
          <w:lang w:val="et-EE"/>
        </w:rPr>
      </w:pPr>
    </w:p>
    <w:p w:rsidR="001469DE" w:rsidRPr="00FB4017" w:rsidRDefault="001469DE" w:rsidP="00F238ED">
      <w:pPr>
        <w:pStyle w:val="AMNumberTabs"/>
        <w:suppressLineNumbers/>
        <w:suppressAutoHyphens/>
        <w:rPr>
          <w:szCs w:val="24"/>
        </w:rPr>
      </w:pPr>
      <w:r w:rsidRPr="00FB4017">
        <w:rPr>
          <w:szCs w:val="24"/>
        </w:rPr>
        <w:t>Muudatusettepanek</w:t>
      </w:r>
      <w:r w:rsidRPr="00FB4017">
        <w:rPr>
          <w:szCs w:val="24"/>
        </w:rPr>
        <w:tab/>
      </w:r>
      <w:r w:rsidRPr="00FB4017">
        <w:rPr>
          <w:szCs w:val="24"/>
        </w:rPr>
        <w:tab/>
      </w:r>
      <w:r w:rsidRPr="00FB4017">
        <w:rPr>
          <w:color w:val="000000"/>
          <w:szCs w:val="24"/>
        </w:rPr>
        <w:t>22</w:t>
      </w:r>
      <w:r w:rsidR="00990A7D" w:rsidRPr="00FB4017">
        <w:rPr>
          <w:color w:val="000000"/>
          <w:szCs w:val="24"/>
        </w:rPr>
        <w:br/>
      </w:r>
    </w:p>
    <w:p w:rsidR="001469DE" w:rsidRPr="00FB4017" w:rsidRDefault="001469DE" w:rsidP="00F238ED">
      <w:pPr>
        <w:pStyle w:val="NormalBold"/>
        <w:suppressLineNumbers/>
        <w:suppressAutoHyphens/>
        <w:rPr>
          <w:szCs w:val="24"/>
        </w:rPr>
      </w:pPr>
      <w:r w:rsidRPr="00FB4017">
        <w:rPr>
          <w:szCs w:val="24"/>
        </w:rPr>
        <w:t>Ettepanek võtta vastu määrus</w:t>
      </w:r>
    </w:p>
    <w:p w:rsidR="001469DE" w:rsidRPr="00FB4017" w:rsidRDefault="001469DE" w:rsidP="00F238ED">
      <w:pPr>
        <w:pStyle w:val="NormalBold"/>
        <w:suppressLineNumbers/>
        <w:suppressAutoHyphens/>
        <w:rPr>
          <w:szCs w:val="24"/>
        </w:rPr>
      </w:pPr>
      <w:r w:rsidRPr="00FB4017">
        <w:rPr>
          <w:szCs w:val="24"/>
        </w:rPr>
        <w:t>Artikkel 2</w:t>
      </w:r>
    </w:p>
    <w:p w:rsidR="001469DE" w:rsidRPr="00FB4017" w:rsidRDefault="001469DE" w:rsidP="00F238ED">
      <w:pPr>
        <w:widowControl w:val="0"/>
        <w:suppressLineNumbers/>
        <w:suppressAutoHyphens/>
        <w:rPr>
          <w:szCs w:val="24"/>
          <w:lang w:val="et-EE"/>
        </w:rPr>
      </w:pPr>
      <w:r w:rsidRPr="00FB4017">
        <w:rPr>
          <w:szCs w:val="24"/>
          <w:lang w:val="et-EE"/>
        </w:rPr>
        <w:t>Määrus (EÜ) nr 1370/2007</w:t>
      </w:r>
    </w:p>
    <w:p w:rsidR="001469DE" w:rsidRPr="00FB4017" w:rsidRDefault="001469DE" w:rsidP="00F238ED">
      <w:pPr>
        <w:widowControl w:val="0"/>
        <w:suppressLineNumbers/>
        <w:suppressAutoHyphens/>
        <w:rPr>
          <w:szCs w:val="24"/>
          <w:lang w:val="et-EE"/>
        </w:rPr>
      </w:pPr>
      <w:r w:rsidRPr="00FB4017">
        <w:rPr>
          <w:szCs w:val="24"/>
          <w:lang w:val="et-EE"/>
        </w:rPr>
        <w:t>Artikkel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69DE" w:rsidRPr="00FB4017" w:rsidTr="001469DE">
        <w:trPr>
          <w:jc w:val="center"/>
        </w:trPr>
        <w:tc>
          <w:tcPr>
            <w:tcW w:w="9752" w:type="dxa"/>
            <w:gridSpan w:val="2"/>
          </w:tcPr>
          <w:p w:rsidR="001469DE" w:rsidRPr="00FB4017" w:rsidRDefault="001469DE" w:rsidP="00F238ED">
            <w:pPr>
              <w:widowControl w:val="0"/>
              <w:suppressLineNumbers/>
              <w:suppressAutoHyphens/>
              <w:rPr>
                <w:szCs w:val="24"/>
                <w:lang w:val="et-EE"/>
              </w:rPr>
            </w:pPr>
          </w:p>
        </w:tc>
      </w:tr>
      <w:tr w:rsidR="001469DE" w:rsidRPr="00FB4017" w:rsidTr="001469DE">
        <w:trPr>
          <w:jc w:val="center"/>
        </w:trPr>
        <w:tc>
          <w:tcPr>
            <w:tcW w:w="4876" w:type="dxa"/>
          </w:tcPr>
          <w:p w:rsidR="001469DE" w:rsidRPr="00FB4017" w:rsidRDefault="001469DE" w:rsidP="00F238ED">
            <w:pPr>
              <w:pStyle w:val="ColumnHeading"/>
              <w:suppressLineNumbers/>
              <w:suppressAutoHyphens/>
              <w:rPr>
                <w:szCs w:val="24"/>
              </w:rPr>
            </w:pPr>
            <w:r w:rsidRPr="00FB4017">
              <w:rPr>
                <w:szCs w:val="24"/>
              </w:rPr>
              <w:t>Komisjoni ettepanek</w:t>
            </w:r>
          </w:p>
        </w:tc>
        <w:tc>
          <w:tcPr>
            <w:tcW w:w="4876" w:type="dxa"/>
          </w:tcPr>
          <w:p w:rsidR="001469DE" w:rsidRPr="00FB4017" w:rsidRDefault="001469DE" w:rsidP="00F238ED">
            <w:pPr>
              <w:pStyle w:val="ColumnHeading"/>
              <w:suppressLineNumbers/>
              <w:suppressAutoHyphens/>
              <w:rPr>
                <w:szCs w:val="24"/>
              </w:rPr>
            </w:pPr>
            <w:r w:rsidRPr="00FB4017">
              <w:rPr>
                <w:szCs w:val="24"/>
              </w:rPr>
              <w:t>Muudatusettepanek</w:t>
            </w:r>
          </w:p>
        </w:tc>
      </w:tr>
      <w:tr w:rsidR="0026112F" w:rsidRPr="00FB4017" w:rsidTr="001469DE">
        <w:trPr>
          <w:jc w:val="center"/>
        </w:trPr>
        <w:tc>
          <w:tcPr>
            <w:tcW w:w="4876" w:type="dxa"/>
          </w:tcPr>
          <w:p w:rsidR="0026112F" w:rsidRPr="00FB4017" w:rsidRDefault="0026112F" w:rsidP="00F238ED">
            <w:pPr>
              <w:pStyle w:val="ColumnHeading"/>
              <w:suppressLineNumbers/>
              <w:suppressAutoHyphens/>
              <w:jc w:val="left"/>
              <w:rPr>
                <w:b/>
                <w:szCs w:val="24"/>
              </w:rPr>
            </w:pPr>
            <w:r w:rsidRPr="00FB4017">
              <w:rPr>
                <w:b/>
                <w:szCs w:val="24"/>
              </w:rPr>
              <w:t>Artikkel 2</w:t>
            </w:r>
          </w:p>
        </w:tc>
        <w:tc>
          <w:tcPr>
            <w:tcW w:w="4876" w:type="dxa"/>
          </w:tcPr>
          <w:p w:rsidR="0026112F" w:rsidRPr="00FB4017" w:rsidRDefault="0026112F" w:rsidP="00F238ED">
            <w:pPr>
              <w:pStyle w:val="ColumnHeading"/>
              <w:suppressLineNumbers/>
              <w:suppressAutoHyphens/>
              <w:jc w:val="left"/>
              <w:rPr>
                <w:szCs w:val="24"/>
              </w:rPr>
            </w:pPr>
            <w:r w:rsidRPr="00FB4017">
              <w:rPr>
                <w:b/>
                <w:szCs w:val="24"/>
              </w:rPr>
              <w:t>välja jäetud</w:t>
            </w:r>
          </w:p>
        </w:tc>
      </w:tr>
      <w:tr w:rsidR="0026112F" w:rsidRPr="00394A5E" w:rsidTr="001469DE">
        <w:trPr>
          <w:jc w:val="center"/>
        </w:trPr>
        <w:tc>
          <w:tcPr>
            <w:tcW w:w="4876" w:type="dxa"/>
          </w:tcPr>
          <w:p w:rsidR="0026112F" w:rsidRPr="00FB4017" w:rsidRDefault="0026112F" w:rsidP="00F238ED">
            <w:pPr>
              <w:pStyle w:val="ColumnHeading"/>
              <w:suppressLineNumbers/>
              <w:suppressAutoHyphens/>
              <w:jc w:val="left"/>
              <w:rPr>
                <w:b/>
                <w:szCs w:val="24"/>
              </w:rPr>
            </w:pPr>
            <w:r w:rsidRPr="00FB4017">
              <w:rPr>
                <w:b/>
                <w:szCs w:val="24"/>
              </w:rPr>
              <w:t>Määrust (EÜ) nr 1370/2007 muudetakse järgmiselt:</w:t>
            </w:r>
          </w:p>
        </w:tc>
        <w:tc>
          <w:tcPr>
            <w:tcW w:w="4876" w:type="dxa"/>
          </w:tcPr>
          <w:p w:rsidR="0026112F" w:rsidRPr="00FB4017" w:rsidRDefault="0026112F" w:rsidP="00F238ED">
            <w:pPr>
              <w:pStyle w:val="ColumnHeading"/>
              <w:suppressLineNumbers/>
              <w:suppressAutoHyphens/>
              <w:rPr>
                <w:szCs w:val="24"/>
              </w:rPr>
            </w:pPr>
          </w:p>
        </w:tc>
      </w:tr>
      <w:tr w:rsidR="001469DE" w:rsidRPr="00394A5E" w:rsidTr="001469DE">
        <w:trPr>
          <w:jc w:val="center"/>
        </w:trPr>
        <w:tc>
          <w:tcPr>
            <w:tcW w:w="4876" w:type="dxa"/>
          </w:tcPr>
          <w:p w:rsidR="001469DE" w:rsidRPr="00FB4017" w:rsidRDefault="001469DE" w:rsidP="00F238ED">
            <w:pPr>
              <w:pStyle w:val="Normal6"/>
              <w:suppressLineNumbers/>
              <w:suppressAutoHyphens/>
              <w:rPr>
                <w:b/>
                <w:i/>
                <w:szCs w:val="24"/>
              </w:rPr>
            </w:pPr>
            <w:r w:rsidRPr="00FB4017">
              <w:rPr>
                <w:b/>
                <w:i/>
                <w:szCs w:val="24"/>
              </w:rPr>
              <w:t xml:space="preserve">Artikkel 9 jäetakse nimetatud määrusest välja kuus kuud pärast seda, kui on jõustunud komisjoni poolt vastuvõetud </w:t>
            </w:r>
            <w:r w:rsidRPr="00FB4017">
              <w:rPr>
                <w:b/>
                <w:i/>
                <w:szCs w:val="24"/>
              </w:rPr>
              <w:lastRenderedPageBreak/>
              <w:t>määrus, milles käsitletakse nõukogu määruse (EÜ) nr 994/98 artikli 1 punkti a alapunktis </w:t>
            </w:r>
            <w:proofErr w:type="spellStart"/>
            <w:r w:rsidRPr="00FB4017">
              <w:rPr>
                <w:b/>
                <w:i/>
                <w:szCs w:val="24"/>
              </w:rPr>
              <w:t>xii</w:t>
            </w:r>
            <w:proofErr w:type="spellEnd"/>
            <w:r w:rsidRPr="00FB4017">
              <w:rPr>
                <w:b/>
                <w:i/>
                <w:szCs w:val="24"/>
              </w:rPr>
              <w:t>, osutatud riigiabi kategooriat.</w:t>
            </w:r>
          </w:p>
        </w:tc>
        <w:tc>
          <w:tcPr>
            <w:tcW w:w="4876" w:type="dxa"/>
          </w:tcPr>
          <w:p w:rsidR="001469DE" w:rsidRPr="00FB4017" w:rsidRDefault="001469DE" w:rsidP="00F238ED">
            <w:pPr>
              <w:pStyle w:val="Normal6"/>
              <w:suppressLineNumbers/>
              <w:suppressAutoHyphens/>
              <w:rPr>
                <w:szCs w:val="24"/>
              </w:rPr>
            </w:pPr>
          </w:p>
        </w:tc>
      </w:tr>
    </w:tbl>
    <w:p w:rsidR="00C40795" w:rsidRPr="00FB4017" w:rsidRDefault="00C40795" w:rsidP="00F238ED">
      <w:pPr>
        <w:widowControl w:val="0"/>
        <w:suppressLineNumbers/>
        <w:suppressAutoHyphens/>
        <w:rPr>
          <w:lang w:val="et-EE"/>
        </w:rPr>
      </w:pPr>
      <w:bookmarkStart w:id="13" w:name="TextBodyEnd"/>
      <w:bookmarkEnd w:id="13"/>
    </w:p>
    <w:sectPr w:rsidR="00C40795" w:rsidRPr="00FB4017" w:rsidSect="00716021">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A7" w:rsidRDefault="00F037A7">
      <w:r>
        <w:separator/>
      </w:r>
    </w:p>
  </w:endnote>
  <w:endnote w:type="continuationSeparator" w:id="0">
    <w:p w:rsidR="00F037A7" w:rsidRDefault="00F0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82" w:rsidRDefault="00E47C8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A7" w:rsidRDefault="00F037A7">
      <w:r>
        <w:separator/>
      </w:r>
    </w:p>
  </w:footnote>
  <w:footnote w:type="continuationSeparator" w:id="0">
    <w:p w:rsidR="00F037A7" w:rsidRDefault="00F037A7">
      <w:r>
        <w:continuationSeparator/>
      </w:r>
    </w:p>
  </w:footnote>
  <w:footnote w:id="1">
    <w:p w:rsidR="004E3847" w:rsidRDefault="00FB4017" w:rsidP="00FB4017">
      <w:pPr>
        <w:pStyle w:val="FootnoteText"/>
        <w:ind w:left="709" w:hanging="709"/>
      </w:pPr>
      <w:r w:rsidRPr="00FB4017">
        <w:rPr>
          <w:rStyle w:val="FootnoteReference"/>
          <w:lang w:val="et-EE"/>
        </w:rPr>
        <w:footnoteRef/>
      </w:r>
      <w:r w:rsidRPr="00FB4017">
        <w:rPr>
          <w:lang w:val="et-EE"/>
        </w:rPr>
        <w:t xml:space="preserve"> </w:t>
      </w:r>
      <w:r w:rsidRPr="00FB4017">
        <w:rPr>
          <w:lang w:val="et-EE"/>
        </w:rPr>
        <w:tab/>
        <w:t>ELT L 214, 9.8.2008, lk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179/2013"/>
    <w:docVar w:name="dvlangue" w:val="ET"/>
    <w:docVar w:name="dvnumam" w:val="0"/>
    <w:docVar w:name="dvpe" w:val="506.361"/>
    <w:docVar w:name="dvrapporteur" w:val="Raportöör: "/>
    <w:docVar w:name="dvtitre" w:val="Euroopa Parlamendi .... 2013. aasta seadusandlik resolutsioon ettepaneku kohta võtta vastu nõukogu määrus, millega muudetakse nõukogu 7. mai 1998. aasta määrust (EÜ) nr 994/98, milles käsitletakse Euroopa Ühenduse asutamislepingu artiklite 92 ja 93 kohaldamist teatavate horisontaalse riigiabi liikide suhtes ning Euroopa Parlamendi ja nõukogu 23. oktoobri 2007. aasta määrust (EÜ) nr 1370/2007, mis käsitleb avaliku reisijateveoteenuse osutamist raudteel ja maanteel (COM(2012)0730 – C7-0005/2013 – 2012/0344(NLE))"/>
  </w:docVars>
  <w:rsids>
    <w:rsidRoot w:val="0059398E"/>
    <w:rsid w:val="001469DE"/>
    <w:rsid w:val="001837D1"/>
    <w:rsid w:val="001C1CDB"/>
    <w:rsid w:val="0026112F"/>
    <w:rsid w:val="00330004"/>
    <w:rsid w:val="00394A5E"/>
    <w:rsid w:val="004E3847"/>
    <w:rsid w:val="0059398E"/>
    <w:rsid w:val="005B399C"/>
    <w:rsid w:val="005B6184"/>
    <w:rsid w:val="006206DC"/>
    <w:rsid w:val="00716021"/>
    <w:rsid w:val="00860BCC"/>
    <w:rsid w:val="00957B91"/>
    <w:rsid w:val="00990A7D"/>
    <w:rsid w:val="009F7668"/>
    <w:rsid w:val="00A34387"/>
    <w:rsid w:val="00A37846"/>
    <w:rsid w:val="00BE028C"/>
    <w:rsid w:val="00C120F6"/>
    <w:rsid w:val="00C40795"/>
    <w:rsid w:val="00D974A2"/>
    <w:rsid w:val="00E47C82"/>
    <w:rsid w:val="00ED1BE5"/>
    <w:rsid w:val="00F037A7"/>
    <w:rsid w:val="00F238ED"/>
    <w:rsid w:val="00F65A4D"/>
    <w:rsid w:val="00FB3E34"/>
    <w:rsid w:val="00FB4017"/>
    <w:rsid w:val="00FD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1469DE"/>
    <w:pPr>
      <w:widowControl w:val="0"/>
      <w:spacing w:after="240"/>
    </w:pPr>
    <w:rPr>
      <w:lang w:val="et-EE" w:eastAsia="et-EE"/>
    </w:rPr>
  </w:style>
  <w:style w:type="paragraph" w:customStyle="1" w:styleId="Normal6">
    <w:name w:val="Normal6"/>
    <w:basedOn w:val="Normal"/>
    <w:rsid w:val="001469DE"/>
    <w:pPr>
      <w:widowControl w:val="0"/>
      <w:spacing w:after="120"/>
    </w:pPr>
    <w:rPr>
      <w:lang w:val="et-EE" w:eastAsia="et-EE"/>
    </w:rPr>
  </w:style>
  <w:style w:type="paragraph" w:customStyle="1" w:styleId="NormalBold">
    <w:name w:val="NormalBold"/>
    <w:basedOn w:val="Normal"/>
    <w:rsid w:val="001469DE"/>
    <w:pPr>
      <w:widowControl w:val="0"/>
    </w:pPr>
    <w:rPr>
      <w:b/>
      <w:lang w:val="et-EE" w:eastAsia="et-EE"/>
    </w:rPr>
  </w:style>
  <w:style w:type="paragraph" w:customStyle="1" w:styleId="Normal12Bold">
    <w:name w:val="Normal12Bold"/>
    <w:basedOn w:val="Normal12"/>
    <w:rsid w:val="001469DE"/>
    <w:rPr>
      <w:b/>
    </w:rPr>
  </w:style>
  <w:style w:type="paragraph" w:customStyle="1" w:styleId="Normal12Italic">
    <w:name w:val="Normal12Italic"/>
    <w:basedOn w:val="Normal"/>
    <w:rsid w:val="001469DE"/>
    <w:pPr>
      <w:widowControl w:val="0"/>
      <w:spacing w:before="240"/>
    </w:pPr>
    <w:rPr>
      <w:i/>
      <w:lang w:val="et-EE" w:eastAsia="et-EE"/>
    </w:rPr>
  </w:style>
  <w:style w:type="paragraph" w:customStyle="1" w:styleId="Normal12Hanging">
    <w:name w:val="Normal12Hanging"/>
    <w:basedOn w:val="Normal12"/>
    <w:rsid w:val="001469DE"/>
    <w:pPr>
      <w:ind w:left="357" w:hanging="357"/>
    </w:pPr>
  </w:style>
  <w:style w:type="paragraph" w:customStyle="1" w:styleId="JustificationTitle">
    <w:name w:val="JustificationTitle"/>
    <w:basedOn w:val="Normal"/>
    <w:next w:val="Normal12"/>
    <w:rsid w:val="001469DE"/>
    <w:pPr>
      <w:keepNext/>
      <w:widowControl w:val="0"/>
      <w:spacing w:before="240"/>
      <w:jc w:val="center"/>
    </w:pPr>
    <w:rPr>
      <w:i/>
      <w:lang w:val="et-EE" w:eastAsia="et-EE"/>
    </w:rPr>
  </w:style>
  <w:style w:type="paragraph" w:customStyle="1" w:styleId="ColumnHeading">
    <w:name w:val="ColumnHeading"/>
    <w:basedOn w:val="Normal"/>
    <w:rsid w:val="001469DE"/>
    <w:pPr>
      <w:widowControl w:val="0"/>
      <w:spacing w:after="240"/>
      <w:jc w:val="center"/>
    </w:pPr>
    <w:rPr>
      <w:i/>
      <w:lang w:val="et-EE" w:eastAsia="et-EE"/>
    </w:rPr>
  </w:style>
  <w:style w:type="paragraph" w:customStyle="1" w:styleId="AMNumberTabs">
    <w:name w:val="AMNumberTabs"/>
    <w:basedOn w:val="Normal"/>
    <w:rsid w:val="001469D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t-EE" w:eastAsia="et-EE"/>
    </w:rPr>
  </w:style>
  <w:style w:type="paragraph" w:styleId="BalloonText">
    <w:name w:val="Balloon Text"/>
    <w:basedOn w:val="Normal"/>
    <w:link w:val="BalloonTextChar"/>
    <w:uiPriority w:val="99"/>
    <w:semiHidden/>
    <w:rsid w:val="005B399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HideTWBExt">
    <w:name w:val="HideTWBExt"/>
    <w:rsid w:val="00C120F6"/>
    <w:rPr>
      <w:rFonts w:ascii="Arial" w:hAnsi="Arial"/>
      <w:noProof/>
      <w:vanish/>
      <w:color w:val="000080"/>
      <w:sz w:val="20"/>
    </w:rPr>
  </w:style>
  <w:style w:type="paragraph" w:customStyle="1" w:styleId="ProjRap">
    <w:name w:val="ProjRap"/>
    <w:basedOn w:val="Normal"/>
    <w:rsid w:val="00C120F6"/>
    <w:pPr>
      <w:widowControl w:val="0"/>
      <w:tabs>
        <w:tab w:val="right" w:pos="9072"/>
      </w:tabs>
      <w:ind w:right="-284"/>
    </w:pPr>
    <w:rPr>
      <w:b/>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5</TotalTime>
  <Pages>13</Pages>
  <Words>3024</Words>
  <Characters>17239</Characters>
  <Application>Microsoft Office Word</Application>
  <DocSecurity>0</DocSecurity>
  <Lines>143</Lines>
  <Paragraphs>40</Paragraphs>
  <ScaleCrop>false</ScaleCrop>
  <Company>European Parliament</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ielsteinraudsepp</dc:creator>
  <cp:keywords/>
  <dc:description/>
  <cp:lastModifiedBy>FAES Eddie</cp:lastModifiedBy>
  <cp:revision>5</cp:revision>
  <cp:lastPrinted>1999-02-24T08:24:00Z</cp:lastPrinted>
  <dcterms:created xsi:type="dcterms:W3CDTF">2014-11-21T13:59:00Z</dcterms:created>
  <dcterms:modified xsi:type="dcterms:W3CDTF">2015-01-14T12:44:00Z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P7_TA(2013)0299_</vt:lpwstr>
  </property>
  <property fmtid="{D5CDD505-2E9C-101B-9397-08002B2CF9AE}" pid="4" name="&lt;Type&gt;">
    <vt:lpwstr>RR</vt:lpwstr>
  </property>
</Properties>
</file>