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3" w:rsidRPr="00D16BD3" w:rsidRDefault="005D1C43" w:rsidP="00644BEF">
      <w:pPr>
        <w:pStyle w:val="ATHeading1"/>
        <w:keepNext w:val="0"/>
        <w:keepLines w:val="0"/>
        <w:widowControl w:val="0"/>
        <w:suppressLineNumbers/>
        <w:suppressAutoHyphens/>
        <w:rPr>
          <w:lang w:val="en-GB"/>
        </w:rPr>
      </w:pPr>
      <w:bookmarkStart w:id="0" w:name="TANumber"/>
      <w:bookmarkStart w:id="1" w:name="_GoBack"/>
      <w:bookmarkEnd w:id="1"/>
      <w:r w:rsidRPr="00D16BD3">
        <w:rPr>
          <w:lang w:val="en-GB"/>
        </w:rPr>
        <w:t>P7_TA(2013)0</w:t>
      </w:r>
      <w:bookmarkEnd w:id="0"/>
      <w:r>
        <w:rPr>
          <w:lang w:val="en-GB"/>
        </w:rPr>
        <w:t>340</w:t>
      </w:r>
    </w:p>
    <w:p w:rsidR="005D1C43" w:rsidRPr="00D16BD3" w:rsidRDefault="005D1C43" w:rsidP="00644BEF">
      <w:pPr>
        <w:pStyle w:val="ATHeading2"/>
        <w:widowControl w:val="0"/>
        <w:suppressLineNumbers/>
        <w:suppressAutoHyphens/>
        <w:rPr>
          <w:lang w:val="en-GB"/>
        </w:rPr>
      </w:pPr>
      <w:bookmarkStart w:id="2" w:name="title"/>
      <w:r w:rsidRPr="00D16BD3">
        <w:rPr>
          <w:lang w:val="en-GB"/>
        </w:rPr>
        <w:t>Right of access to a lawyer in criminal proceedings and right to communicate upon arrest</w:t>
      </w:r>
      <w:bookmarkEnd w:id="2"/>
      <w:r w:rsidRPr="00D16BD3">
        <w:rPr>
          <w:lang w:val="en-GB"/>
        </w:rPr>
        <w:t xml:space="preserve"> </w:t>
      </w:r>
      <w:bookmarkStart w:id="3" w:name="Etoiles"/>
      <w:r w:rsidRPr="00D16BD3">
        <w:rPr>
          <w:lang w:val="en-GB"/>
        </w:rPr>
        <w:t>***I</w:t>
      </w:r>
      <w:bookmarkEnd w:id="3"/>
    </w:p>
    <w:p w:rsidR="005D1C43" w:rsidRPr="00D16BD3" w:rsidRDefault="00A46FFC" w:rsidP="00644BEF">
      <w:pPr>
        <w:widowControl w:val="0"/>
        <w:suppressLineNumbers/>
        <w:suppressAutoHyphens/>
        <w:rPr>
          <w:i/>
          <w:vanish/>
        </w:rPr>
      </w:pPr>
      <w:r>
        <w:rPr>
          <w:i/>
        </w:rPr>
        <w:fldChar w:fldCharType="begin"/>
      </w:r>
      <w:r w:rsidR="005D1C43" w:rsidRPr="00D16BD3">
        <w:rPr>
          <w:i/>
        </w:rPr>
        <w:instrText>tc "(</w:instrText>
      </w:r>
      <w:bookmarkStart w:id="4" w:name="DocNumber"/>
      <w:r w:rsidR="005D1C43" w:rsidRPr="00D16BD3">
        <w:rPr>
          <w:i/>
        </w:rPr>
        <w:instrText>A7-0228/2013</w:instrText>
      </w:r>
      <w:bookmarkEnd w:id="4"/>
      <w:r w:rsidR="005D1C43" w:rsidRPr="00D16BD3">
        <w:rPr>
          <w:i/>
        </w:rPr>
        <w:instrText xml:space="preserve"> - Rapporteur: Elena Oana Antonescu)" \l 3 \n&gt;MERGEFORMAT</w:instrText>
      </w:r>
      <w:r>
        <w:rPr>
          <w:i/>
        </w:rPr>
        <w:fldChar w:fldCharType="end"/>
      </w:r>
    </w:p>
    <w:p w:rsidR="005D1C43" w:rsidRPr="00D16BD3" w:rsidRDefault="005D1C43" w:rsidP="00644BEF">
      <w:pPr>
        <w:widowControl w:val="0"/>
        <w:suppressLineNumbers/>
        <w:suppressAutoHyphens/>
        <w:rPr>
          <w:vanish/>
        </w:rPr>
      </w:pPr>
      <w:bookmarkStart w:id="5" w:name="Commission"/>
      <w:r w:rsidRPr="00D16BD3">
        <w:rPr>
          <w:vanish/>
        </w:rPr>
        <w:t>Committee on Civil Liberties, Justice and Home Affairs</w:t>
      </w:r>
      <w:bookmarkEnd w:id="5"/>
    </w:p>
    <w:p w:rsidR="005D1C43" w:rsidRPr="00D16BD3" w:rsidRDefault="005D1C43" w:rsidP="00644BEF">
      <w:pPr>
        <w:widowControl w:val="0"/>
        <w:suppressLineNumbers/>
        <w:suppressAutoHyphens/>
        <w:rPr>
          <w:vanish/>
        </w:rPr>
      </w:pPr>
      <w:bookmarkStart w:id="6" w:name="PE"/>
      <w:r w:rsidRPr="00D16BD3">
        <w:rPr>
          <w:vanish/>
        </w:rPr>
        <w:t>PE474.063</w:t>
      </w:r>
      <w:bookmarkEnd w:id="6"/>
    </w:p>
    <w:p w:rsidR="005D1C43" w:rsidRPr="00D16BD3" w:rsidRDefault="005D1C43" w:rsidP="00644BEF">
      <w:pPr>
        <w:pStyle w:val="ATHeading3"/>
        <w:keepNext w:val="0"/>
        <w:keepLines w:val="0"/>
        <w:widowControl w:val="0"/>
        <w:suppressLineNumbers/>
        <w:suppressAutoHyphens/>
        <w:rPr>
          <w:lang w:val="en-GB"/>
        </w:rPr>
      </w:pPr>
      <w:bookmarkStart w:id="7" w:name="Sujet"/>
      <w:r w:rsidRPr="00D16BD3">
        <w:rPr>
          <w:lang w:val="en-GB"/>
        </w:rPr>
        <w:t>European Parliament legislative resolution of 10 September 2013 on the proposal for a directive of the European Parliament and of the Council on the right of access to a lawyer in criminal proceedings and on the right to communicate upon arrest</w:t>
      </w:r>
      <w:bookmarkEnd w:id="7"/>
      <w:r w:rsidRPr="00D16BD3">
        <w:rPr>
          <w:lang w:val="en-GB"/>
        </w:rPr>
        <w:t xml:space="preserve"> </w:t>
      </w:r>
      <w:bookmarkStart w:id="8" w:name="References"/>
      <w:r w:rsidRPr="00D16BD3">
        <w:rPr>
          <w:lang w:val="en-GB"/>
        </w:rPr>
        <w:t>(COM(2011)0326 – C7-0157/2011 – 2011/0154(COD))</w:t>
      </w:r>
      <w:bookmarkEnd w:id="8"/>
    </w:p>
    <w:p w:rsidR="005D1C43" w:rsidRPr="00D16BD3" w:rsidRDefault="005D1C43" w:rsidP="00644BEF">
      <w:pPr>
        <w:widowControl w:val="0"/>
        <w:suppressLineNumbers/>
        <w:suppressAutoHyphens/>
      </w:pPr>
    </w:p>
    <w:p w:rsidR="005D1C43" w:rsidRPr="00D16BD3" w:rsidRDefault="005D1C43" w:rsidP="00644BEF">
      <w:pPr>
        <w:pStyle w:val="Normal12Bold"/>
        <w:suppressLineNumbers/>
        <w:suppressAutoHyphens/>
      </w:pPr>
      <w:bookmarkStart w:id="9" w:name="TextBodyBegin"/>
      <w:bookmarkEnd w:id="9"/>
      <w:r w:rsidRPr="00D16BD3">
        <w:t>(Ordinary legislative procedure: first reading)</w:t>
      </w:r>
    </w:p>
    <w:p w:rsidR="005D1C43" w:rsidRPr="00D16BD3" w:rsidRDefault="005D1C43" w:rsidP="00644BEF">
      <w:pPr>
        <w:pStyle w:val="Normal12"/>
        <w:suppressLineNumbers/>
        <w:suppressAutoHyphens/>
      </w:pPr>
      <w:r w:rsidRPr="00D16BD3">
        <w:rPr>
          <w:i/>
        </w:rPr>
        <w:t>The European Parliament</w:t>
      </w:r>
      <w:r w:rsidRPr="00D16BD3">
        <w:t>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the Commission proposal to Parliament and the Council (COM(2011)0326),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Article 294(2) and Article 82(2) of the Treaty on the Functioning of the European Union, pursuant to which the Commission submitted the proposal to Parliament (C7</w:t>
      </w:r>
      <w:r w:rsidRPr="00D16BD3">
        <w:noBreakHyphen/>
        <w:t>0157/2011),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Article 294(3) of the Treaty on the Functioning of the European Union,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the contributions submitted by the Bulgarian Parliament, the Italian Senate and the Portuguese Parliament on the draft legislative act,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the opinion of the European Economic and Social Committee of 7 December 2011</w:t>
      </w:r>
      <w:r w:rsidRPr="00D16BD3">
        <w:rPr>
          <w:rStyle w:val="FootnoteReference"/>
        </w:rPr>
        <w:footnoteReference w:id="1"/>
      </w:r>
      <w:r w:rsidRPr="00D16BD3">
        <w:t>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after consulting the Committee of the Regions,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</w:r>
      <w:r w:rsidRPr="00D16BD3">
        <w:rPr>
          <w:szCs w:val="24"/>
        </w:rPr>
        <w:t xml:space="preserve">having regard to the undertaking given by the Council representative by letter of 4 June 2013 to approve Parliament’s position, in accordance with Article 294(4) of the Treaty on the Functioning of the European Union, 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Rule 55 of its Rules of Procedure,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–</w:t>
      </w:r>
      <w:r w:rsidRPr="00D16BD3">
        <w:tab/>
        <w:t>having regard to the report of the Committee on Civil Liberties, Justice and Home Affairs and the opinion of the Committee on Legal Affairs (A7-0228/2013),</w:t>
      </w:r>
    </w:p>
    <w:p w:rsidR="005D1C43" w:rsidRPr="00D16BD3" w:rsidRDefault="005D1C43" w:rsidP="00644BEF">
      <w:pPr>
        <w:pStyle w:val="Normal12Hanging"/>
        <w:suppressLineNumbers/>
        <w:suppressAutoHyphens/>
        <w:rPr>
          <w:b/>
        </w:rPr>
      </w:pPr>
      <w:r w:rsidRPr="00D16BD3">
        <w:t>1.</w:t>
      </w:r>
      <w:r w:rsidRPr="00D16BD3">
        <w:tab/>
        <w:t>Adopts its position at first reading hereinafter set out;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2.</w:t>
      </w:r>
      <w:r w:rsidRPr="00D16BD3">
        <w:tab/>
        <w:t>Calls on the Commission to refer the matter to Parliament again if it intends to amend its proposal substantially or replace it with another text;</w:t>
      </w:r>
    </w:p>
    <w:p w:rsidR="005D1C43" w:rsidRPr="00D16BD3" w:rsidRDefault="005D1C43" w:rsidP="00644BEF">
      <w:pPr>
        <w:pStyle w:val="Normal12Hanging"/>
        <w:suppressLineNumbers/>
        <w:suppressAutoHyphens/>
      </w:pPr>
      <w:r w:rsidRPr="00D16BD3">
        <w:t>3.</w:t>
      </w:r>
      <w:r w:rsidRPr="00D16BD3">
        <w:tab/>
        <w:t>Instructs its President to forward its position to the Council, the Commission and the national parliaments.</w:t>
      </w:r>
    </w:p>
    <w:p w:rsidR="005D1C43" w:rsidRPr="00680E16" w:rsidRDefault="005D1C43" w:rsidP="00644BEF">
      <w:pPr>
        <w:pStyle w:val="NormalBold"/>
        <w:suppressLineNumbers/>
        <w:suppressAutoHyphens/>
        <w:rPr>
          <w:lang w:val="en-GB"/>
        </w:rPr>
      </w:pPr>
      <w:r w:rsidRPr="00D16BD3">
        <w:rPr>
          <w:lang w:val="en-GB"/>
        </w:rPr>
        <w:br w:type="page"/>
      </w:r>
      <w:r w:rsidRPr="00680E16">
        <w:rPr>
          <w:lang w:val="en-GB"/>
        </w:rPr>
        <w:lastRenderedPageBreak/>
        <w:t>P7_TC1-COD(2011)0154</w:t>
      </w:r>
    </w:p>
    <w:p w:rsidR="005D1C43" w:rsidRPr="00D16BD3" w:rsidRDefault="005D1C43" w:rsidP="00644BEF">
      <w:pPr>
        <w:pStyle w:val="NormalBold"/>
        <w:suppressLineNumbers/>
        <w:suppressAutoHyphens/>
        <w:rPr>
          <w:lang w:val="en-GB"/>
        </w:rPr>
      </w:pPr>
    </w:p>
    <w:p w:rsidR="005D1C43" w:rsidRPr="006B544D" w:rsidRDefault="005D1C43" w:rsidP="00644BEF">
      <w:pPr>
        <w:pStyle w:val="NormalBold"/>
        <w:suppressLineNumbers/>
        <w:suppressAutoHyphens/>
        <w:rPr>
          <w:lang w:val="en-GB"/>
        </w:rPr>
      </w:pPr>
      <w:r w:rsidRPr="00D16BD3">
        <w:rPr>
          <w:lang w:val="en-GB"/>
        </w:rPr>
        <w:t xml:space="preserve">Position of the European Parliament adopted </w:t>
      </w:r>
      <w:r>
        <w:rPr>
          <w:lang w:val="en-GB"/>
        </w:rPr>
        <w:t xml:space="preserve">at first reading </w:t>
      </w:r>
      <w:r w:rsidRPr="00D16BD3">
        <w:rPr>
          <w:lang w:val="en-GB"/>
        </w:rPr>
        <w:t xml:space="preserve">on 10 September 2013 with a view to the adoption of </w:t>
      </w:r>
      <w:r w:rsidRPr="006B544D">
        <w:rPr>
          <w:lang w:val="en-GB"/>
        </w:rPr>
        <w:t xml:space="preserve">Directive 2013/.../EU of the European Parliament and of the Council </w:t>
      </w:r>
      <w:r w:rsidRPr="006B544D">
        <w:rPr>
          <w:noProof/>
          <w:lang w:val="en-GB"/>
        </w:rPr>
        <w:t>on the right of access to a lawyer in criminal proceedings and in</w:t>
      </w:r>
      <w:r w:rsidRPr="006B544D">
        <w:rPr>
          <w:rFonts w:ascii="Times New Roman Bold" w:hAnsi="Times New Roman Bold"/>
          <w:noProof/>
          <w:lang w:val="en-GB"/>
        </w:rPr>
        <w:t xml:space="preserve"> </w:t>
      </w:r>
      <w:r w:rsidRPr="006B544D">
        <w:rPr>
          <w:rStyle w:val="DeltaViewInsertion"/>
          <w:rFonts w:ascii="Times New Roman Bold" w:hAnsi="Times New Roman Bold"/>
          <w:b/>
          <w:i w:val="0"/>
          <w:iCs/>
          <w:noProof/>
          <w:lang w:val="en-GB"/>
        </w:rPr>
        <w:t>European arrest warrant proceedings, and on the right to have a third party informed upon deprivation of liberty and to communicate with third persons and with consular authorities while deprived of liberty</w:t>
      </w:r>
    </w:p>
    <w:p w:rsidR="005D1C43" w:rsidRPr="006B544D" w:rsidRDefault="005D1C43" w:rsidP="00644BEF">
      <w:pPr>
        <w:widowControl w:val="0"/>
        <w:suppressLineNumbers/>
        <w:suppressAutoHyphens/>
        <w:spacing w:after="240"/>
        <w:rPr>
          <w:b/>
        </w:rPr>
      </w:pPr>
    </w:p>
    <w:p w:rsidR="005D1C43" w:rsidRPr="00624B00" w:rsidRDefault="005D1C43" w:rsidP="00644BEF">
      <w:pPr>
        <w:widowControl w:val="0"/>
        <w:suppressLineNumbers/>
        <w:suppressAutoHyphens/>
        <w:rPr>
          <w:i/>
        </w:rPr>
      </w:pPr>
      <w:r w:rsidRPr="006B544D">
        <w:rPr>
          <w:i/>
        </w:rPr>
        <w:t>(As an agreement was reached between Parliament and Council, Parliament's position corresponds to the final legislative act, Directive 2013/48/EU.)</w:t>
      </w:r>
    </w:p>
    <w:p w:rsidR="005D1C43" w:rsidRDefault="005D1C43" w:rsidP="00644BEF">
      <w:pPr>
        <w:widowControl w:val="0"/>
        <w:suppressLineNumbers/>
        <w:suppressAutoHyphens/>
      </w:pPr>
    </w:p>
    <w:p w:rsidR="00571CF0" w:rsidRDefault="00571CF0" w:rsidP="00644BEF">
      <w:pPr>
        <w:widowControl w:val="0"/>
        <w:suppressLineNumbers/>
        <w:suppressAutoHyphens/>
      </w:pPr>
    </w:p>
    <w:sectPr w:rsidR="00571CF0">
      <w:footerReference w:type="even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1" w:rsidRDefault="006228D1" w:rsidP="005D1C43">
      <w:r>
        <w:separator/>
      </w:r>
    </w:p>
  </w:endnote>
  <w:endnote w:type="continuationSeparator" w:id="0">
    <w:p w:rsidR="006228D1" w:rsidRDefault="006228D1" w:rsidP="005D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3" w:rsidRDefault="005D1C43" w:rsidP="006267D9">
    <w:pPr>
      <w:pStyle w:val="Footer"/>
    </w:pPr>
    <w:r>
      <w:t>PE</w:t>
    </w:r>
    <w:r w:rsidRPr="00870C52">
      <w:rPr>
        <w:rStyle w:val="HideTWBExt"/>
      </w:rPr>
      <w:t>&lt;NoPE&gt;</w:t>
    </w:r>
    <w:r>
      <w:t>492.914</w:t>
    </w:r>
    <w:r w:rsidRPr="00870C52">
      <w:rPr>
        <w:rStyle w:val="HideTWBExt"/>
      </w:rPr>
      <w:t>&lt;/NoPE&gt;&lt;Version&gt;</w:t>
    </w:r>
    <w:r>
      <w:t>v02-00</w:t>
    </w:r>
    <w:r w:rsidRPr="00870C52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26</w:t>
    </w:r>
    <w:r>
      <w:fldChar w:fldCharType="end"/>
    </w:r>
    <w:r>
      <w:t>/</w:t>
    </w:r>
    <w:fldSimple w:instr=" NUMPAGES  \* MERGEFORMAT ">
      <w:r>
        <w:rPr>
          <w:noProof/>
        </w:rPr>
        <w:t>61</w:t>
      </w:r>
    </w:fldSimple>
    <w:r>
      <w:tab/>
    </w:r>
    <w:r w:rsidRPr="00870C52">
      <w:rPr>
        <w:rStyle w:val="HideTWBExt"/>
      </w:rPr>
      <w:t>&lt;PathFdR&gt;</w:t>
    </w:r>
    <w:r>
      <w:t>RR\921281EN.doc</w:t>
    </w:r>
    <w:r w:rsidRPr="00870C52">
      <w:rPr>
        <w:rStyle w:val="HideTWBExt"/>
      </w:rPr>
      <w:t>&lt;/PathFdR&gt;</w:t>
    </w:r>
  </w:p>
  <w:p w:rsidR="005D1C43" w:rsidRPr="00EE6EF6" w:rsidRDefault="005D1C43" w:rsidP="006267D9">
    <w:pPr>
      <w:pStyle w:val="Footer2"/>
    </w:pPr>
    <w:r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3" w:rsidRDefault="005D1C43" w:rsidP="006267D9">
    <w:pPr>
      <w:pStyle w:val="Footer"/>
    </w:pPr>
    <w:r w:rsidRPr="00870C52">
      <w:rPr>
        <w:rStyle w:val="HideTWBExt"/>
      </w:rPr>
      <w:t>&lt;PathFdR&gt;</w:t>
    </w:r>
    <w:r>
      <w:t>RR\921281EN.doc</w:t>
    </w:r>
    <w:r w:rsidRPr="00870C52">
      <w:rPr>
        <w:rStyle w:val="HideTWBExt"/>
      </w:rPr>
      <w:t>&lt;/PathFdR&gt;</w:t>
    </w:r>
    <w:r>
      <w:tab/>
    </w:r>
    <w:r>
      <w:tab/>
      <w:t>PE</w:t>
    </w:r>
    <w:r w:rsidRPr="00870C52">
      <w:rPr>
        <w:rStyle w:val="HideTWBExt"/>
      </w:rPr>
      <w:t>&lt;NoPE&gt;</w:t>
    </w:r>
    <w:r>
      <w:t>492.914</w:t>
    </w:r>
    <w:r w:rsidRPr="00870C52">
      <w:rPr>
        <w:rStyle w:val="HideTWBExt"/>
      </w:rPr>
      <w:t>&lt;/NoPE&gt;&lt;Version&gt;</w:t>
    </w:r>
    <w:r>
      <w:t>v02-00</w:t>
    </w:r>
    <w:r w:rsidRPr="00870C52">
      <w:rPr>
        <w:rStyle w:val="HideTWBExt"/>
      </w:rPr>
      <w:t>&lt;/Version&gt;</w:t>
    </w:r>
  </w:p>
  <w:p w:rsidR="005D1C43" w:rsidRPr="00EE6EF6" w:rsidRDefault="005D1C43" w:rsidP="006267D9">
    <w:pPr>
      <w:pStyle w:val="Footer2"/>
      <w:tabs>
        <w:tab w:val="center" w:pos="4535"/>
      </w:tabs>
    </w:pPr>
    <w:r>
      <w:t>EN</w:t>
    </w:r>
    <w:r>
      <w:tab/>
    </w:r>
    <w:r w:rsidRPr="00870C52">
      <w:rPr>
        <w:b w:val="0"/>
        <w:i/>
        <w:color w:val="C0C0C0"/>
        <w:sz w:val="22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1" w:rsidRDefault="006228D1" w:rsidP="005D1C43">
      <w:r>
        <w:separator/>
      </w:r>
    </w:p>
  </w:footnote>
  <w:footnote w:type="continuationSeparator" w:id="0">
    <w:p w:rsidR="006228D1" w:rsidRDefault="006228D1" w:rsidP="005D1C43">
      <w:r>
        <w:continuationSeparator/>
      </w:r>
    </w:p>
  </w:footnote>
  <w:footnote w:id="1">
    <w:p w:rsidR="00000000" w:rsidRDefault="005D1C43" w:rsidP="005D1C43">
      <w:pPr>
        <w:pStyle w:val="FootnoteText"/>
      </w:pPr>
      <w:r w:rsidRPr="00D16BD3">
        <w:rPr>
          <w:rStyle w:val="FootnoteReference"/>
        </w:rPr>
        <w:footnoteRef/>
      </w:r>
      <w:r w:rsidRPr="00D16BD3">
        <w:rPr>
          <w:lang w:val="en-GB"/>
        </w:rPr>
        <w:tab/>
        <w:t>OJ C 43, 15.2.2012, p.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C43"/>
    <w:rsid w:val="002A3266"/>
    <w:rsid w:val="002E6E99"/>
    <w:rsid w:val="00571CF0"/>
    <w:rsid w:val="005D1C43"/>
    <w:rsid w:val="006228D1"/>
    <w:rsid w:val="00624B00"/>
    <w:rsid w:val="006267D9"/>
    <w:rsid w:val="00644BEF"/>
    <w:rsid w:val="00680E16"/>
    <w:rsid w:val="006B544D"/>
    <w:rsid w:val="00870C52"/>
    <w:rsid w:val="00970E89"/>
    <w:rsid w:val="00A46FFC"/>
    <w:rsid w:val="00AD576B"/>
    <w:rsid w:val="00D16BD3"/>
    <w:rsid w:val="00E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8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E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E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E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E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E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E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70E89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70E89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70E89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70E89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70E89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70E89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70E89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70E89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70E89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0E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970E89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E8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70E89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970E89"/>
    <w:rPr>
      <w:b/>
    </w:rPr>
  </w:style>
  <w:style w:type="character" w:styleId="Emphasis">
    <w:name w:val="Emphasis"/>
    <w:basedOn w:val="DefaultParagraphFont"/>
    <w:uiPriority w:val="20"/>
    <w:qFormat/>
    <w:rsid w:val="00970E89"/>
    <w:rPr>
      <w:rFonts w:ascii="Calibri" w:hAnsi="Calibri"/>
      <w:b/>
      <w:i/>
    </w:rPr>
  </w:style>
  <w:style w:type="paragraph" w:styleId="NoSpacing">
    <w:name w:val="No Spacing"/>
    <w:basedOn w:val="Normal"/>
    <w:uiPriority w:val="1"/>
    <w:qFormat/>
    <w:rsid w:val="00970E89"/>
    <w:rPr>
      <w:szCs w:val="32"/>
    </w:rPr>
  </w:style>
  <w:style w:type="paragraph" w:styleId="ListParagraph">
    <w:name w:val="List Paragraph"/>
    <w:basedOn w:val="Normal"/>
    <w:uiPriority w:val="34"/>
    <w:qFormat/>
    <w:rsid w:val="00970E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0E89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970E8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E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970E89"/>
    <w:rPr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970E8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70E89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0E89"/>
    <w:rPr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0E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0E89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E89"/>
    <w:pPr>
      <w:outlineLvl w:val="9"/>
    </w:pPr>
  </w:style>
  <w:style w:type="paragraph" w:customStyle="1" w:styleId="ATHeading1">
    <w:name w:val="AT Heading 1"/>
    <w:basedOn w:val="Normal"/>
    <w:next w:val="Normal"/>
    <w:rsid w:val="005D1C43"/>
    <w:pPr>
      <w:keepNext/>
      <w:keepLines/>
      <w:spacing w:after="120"/>
      <w:jc w:val="left"/>
      <w:outlineLvl w:val="0"/>
    </w:pPr>
    <w:rPr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5D1C43"/>
    <w:pPr>
      <w:spacing w:before="120" w:after="120"/>
      <w:jc w:val="left"/>
      <w:outlineLvl w:val="1"/>
    </w:pPr>
    <w:rPr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5D1C43"/>
    <w:pPr>
      <w:keepNext/>
      <w:keepLines/>
      <w:spacing w:before="120" w:after="120"/>
      <w:jc w:val="left"/>
      <w:outlineLvl w:val="2"/>
    </w:pPr>
    <w:rPr>
      <w:b/>
      <w:noProof/>
      <w:szCs w:val="20"/>
      <w:lang w:val="fr-FR" w:eastAsia="en-GB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basedOn w:val="DefaultParagraphFont"/>
    <w:uiPriority w:val="99"/>
    <w:semiHidden/>
    <w:rsid w:val="005D1C43"/>
    <w:rPr>
      <w:vertAlign w:val="superscript"/>
    </w:rPr>
  </w:style>
  <w:style w:type="paragraph" w:styleId="FootnoteText">
    <w:name w:val="footnote text"/>
    <w:aliases w:val="Footnote TextCSR"/>
    <w:basedOn w:val="Normal"/>
    <w:link w:val="FootnoteTextChar"/>
    <w:uiPriority w:val="99"/>
    <w:semiHidden/>
    <w:rsid w:val="005D1C43"/>
    <w:pPr>
      <w:keepLines/>
      <w:spacing w:line="260" w:lineRule="exact"/>
      <w:ind w:left="425" w:hanging="425"/>
      <w:jc w:val="left"/>
    </w:pPr>
    <w:rPr>
      <w:lang w:val="fr-FR" w:eastAsia="en-GB"/>
    </w:rPr>
  </w:style>
  <w:style w:type="paragraph" w:customStyle="1" w:styleId="Normal12">
    <w:name w:val="Normal12"/>
    <w:basedOn w:val="Normal"/>
    <w:link w:val="Normal12Char"/>
    <w:rsid w:val="005D1C43"/>
    <w:pPr>
      <w:widowControl w:val="0"/>
      <w:spacing w:after="240"/>
      <w:jc w:val="left"/>
    </w:pPr>
    <w:rPr>
      <w:szCs w:val="20"/>
      <w:lang w:eastAsia="en-GB"/>
    </w:rPr>
  </w:style>
  <w:style w:type="character" w:customStyle="1" w:styleId="FootnoteTextChar">
    <w:name w:val="Footnote Text Char"/>
    <w:aliases w:val="Footnote TextCSR Char"/>
    <w:link w:val="FootnoteText"/>
    <w:locked/>
    <w:rsid w:val="005D1C43"/>
    <w:rPr>
      <w:rFonts w:ascii="Times New Roman" w:hAnsi="Times New Roman"/>
      <w:sz w:val="24"/>
      <w:lang w:val="fr-FR" w:eastAsia="x-none"/>
    </w:rPr>
  </w:style>
  <w:style w:type="paragraph" w:customStyle="1" w:styleId="Normal12Bold">
    <w:name w:val="Normal12Bold"/>
    <w:basedOn w:val="Normal12"/>
    <w:rsid w:val="005D1C43"/>
    <w:rPr>
      <w:b/>
    </w:rPr>
  </w:style>
  <w:style w:type="paragraph" w:customStyle="1" w:styleId="Normal12Hanging">
    <w:name w:val="Normal12Hanging"/>
    <w:basedOn w:val="Normal12"/>
    <w:rsid w:val="005D1C43"/>
    <w:pPr>
      <w:ind w:left="357" w:hanging="357"/>
    </w:pPr>
  </w:style>
  <w:style w:type="paragraph" w:styleId="Footer">
    <w:name w:val="footer"/>
    <w:basedOn w:val="Normal"/>
    <w:link w:val="FooterChar"/>
    <w:uiPriority w:val="99"/>
    <w:rsid w:val="005D1C43"/>
    <w:pPr>
      <w:tabs>
        <w:tab w:val="right" w:pos="9639"/>
      </w:tabs>
      <w:jc w:val="left"/>
    </w:pPr>
    <w:rPr>
      <w:sz w:val="22"/>
      <w:szCs w:val="20"/>
      <w:lang w:val="fr-FR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C43"/>
    <w:rPr>
      <w:rFonts w:ascii="Times New Roman" w:hAnsi="Times New Roman"/>
      <w:sz w:val="22"/>
      <w:lang w:val="fr-FR" w:eastAsia="x-none"/>
    </w:rPr>
  </w:style>
  <w:style w:type="character" w:customStyle="1" w:styleId="HideTWBExt">
    <w:name w:val="HideTWBExt"/>
    <w:rsid w:val="005D1C43"/>
    <w:rPr>
      <w:rFonts w:ascii="Arial" w:hAnsi="Arial"/>
      <w:noProof/>
      <w:vanish/>
      <w:color w:val="000080"/>
      <w:sz w:val="20"/>
    </w:rPr>
  </w:style>
  <w:style w:type="paragraph" w:customStyle="1" w:styleId="Footer2">
    <w:name w:val="Footer2"/>
    <w:basedOn w:val="Normal12"/>
    <w:rsid w:val="005D1C43"/>
    <w:pPr>
      <w:widowControl/>
      <w:tabs>
        <w:tab w:val="right" w:pos="9921"/>
      </w:tabs>
      <w:ind w:left="-850"/>
    </w:pPr>
    <w:rPr>
      <w:rFonts w:ascii="Arial" w:hAnsi="Arial" w:cs="Arial"/>
      <w:b/>
      <w:sz w:val="48"/>
    </w:rPr>
  </w:style>
  <w:style w:type="character" w:customStyle="1" w:styleId="Normal12Char">
    <w:name w:val="Normal12 Char"/>
    <w:link w:val="Normal12"/>
    <w:locked/>
    <w:rsid w:val="005D1C43"/>
    <w:rPr>
      <w:rFonts w:ascii="Times New Roman" w:hAnsi="Times New Roman"/>
      <w:sz w:val="24"/>
    </w:rPr>
  </w:style>
  <w:style w:type="paragraph" w:customStyle="1" w:styleId="NormalBold">
    <w:name w:val="NormalBold"/>
    <w:basedOn w:val="Normal"/>
    <w:link w:val="NormalBoldChar"/>
    <w:rsid w:val="005D1C43"/>
    <w:pPr>
      <w:widowControl w:val="0"/>
      <w:jc w:val="left"/>
    </w:pPr>
    <w:rPr>
      <w:b/>
      <w:szCs w:val="20"/>
      <w:lang w:val="fr-FR" w:eastAsia="en-GB"/>
    </w:rPr>
  </w:style>
  <w:style w:type="character" w:customStyle="1" w:styleId="NormalBoldChar">
    <w:name w:val="NormalBold Char"/>
    <w:link w:val="NormalBold"/>
    <w:locked/>
    <w:rsid w:val="005D1C43"/>
    <w:rPr>
      <w:rFonts w:ascii="Times New Roman" w:hAnsi="Times New Roman"/>
      <w:b/>
      <w:sz w:val="24"/>
      <w:lang w:val="fr-FR" w:eastAsia="x-none"/>
    </w:rPr>
  </w:style>
  <w:style w:type="character" w:customStyle="1" w:styleId="DeltaViewInsertion">
    <w:name w:val="DeltaView Insertion"/>
    <w:rsid w:val="005D1C43"/>
    <w:rPr>
      <w:b/>
      <w:i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C43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E020FFA7</Template>
  <TotalTime>0</TotalTime>
  <Pages>2</Pages>
  <Words>389</Words>
  <Characters>2290</Characters>
  <Application>Microsoft Office Word</Application>
  <DocSecurity>0</DocSecurity>
  <Lines>19</Lines>
  <Paragraphs>5</Paragraphs>
  <ScaleCrop>false</ScaleCrop>
  <Company>European Parliament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LOWYS Elisabeth</dc:creator>
  <cp:keywords/>
  <dc:description/>
  <cp:lastModifiedBy>PETITDEMANGE Antoine</cp:lastModifiedBy>
  <cp:revision>2</cp:revision>
  <dcterms:created xsi:type="dcterms:W3CDTF">2014-11-25T14:58:00Z</dcterms:created>
  <dcterms:modified xsi:type="dcterms:W3CDTF">2014-11-25T14:58:00Z</dcterms:modified>
</cp:coreProperties>
</file>