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C4" w:rsidRPr="004F752E" w:rsidRDefault="004A66C4" w:rsidP="004A66C4">
      <w:pPr>
        <w:pStyle w:val="ATHeading1"/>
        <w:rPr>
          <w:lang w:val="en-GB"/>
        </w:rPr>
      </w:pPr>
      <w:bookmarkStart w:id="0" w:name="TANumber"/>
      <w:bookmarkStart w:id="1" w:name="_GoBack"/>
      <w:bookmarkEnd w:id="1"/>
      <w:r w:rsidRPr="004F752E">
        <w:rPr>
          <w:lang w:val="en-GB"/>
        </w:rPr>
        <w:t>P7_TA(2013)0</w:t>
      </w:r>
      <w:bookmarkEnd w:id="0"/>
      <w:r>
        <w:rPr>
          <w:lang w:val="en-GB"/>
        </w:rPr>
        <w:t>343</w:t>
      </w:r>
    </w:p>
    <w:p w:rsidR="004A66C4" w:rsidRPr="004F752E" w:rsidRDefault="004A66C4" w:rsidP="004A66C4">
      <w:pPr>
        <w:pStyle w:val="ATHeading2"/>
        <w:rPr>
          <w:lang w:val="en-GB"/>
        </w:rPr>
      </w:pPr>
      <w:bookmarkStart w:id="2" w:name="title"/>
      <w:r w:rsidRPr="004F752E">
        <w:rPr>
          <w:lang w:val="en-GB"/>
        </w:rPr>
        <w:t xml:space="preserve">Amendment of Council Regulation (EC) No 2187/2005 for the conservation of fishery through technical measures in the </w:t>
      </w:r>
      <w:smartTag w:uri="urn:schemas-microsoft-com:office:smarttags" w:element="place">
        <w:r w:rsidRPr="004F752E">
          <w:rPr>
            <w:lang w:val="en-GB"/>
          </w:rPr>
          <w:t>Baltic Sea</w:t>
        </w:r>
      </w:smartTag>
      <w:r w:rsidRPr="004F752E">
        <w:rPr>
          <w:lang w:val="en-GB"/>
        </w:rPr>
        <w:t>, the Belts and the Sound</w:t>
      </w:r>
      <w:bookmarkEnd w:id="2"/>
      <w:r w:rsidRPr="004F752E">
        <w:rPr>
          <w:lang w:val="en-GB"/>
        </w:rPr>
        <w:t xml:space="preserve"> </w:t>
      </w:r>
      <w:bookmarkStart w:id="3" w:name="Etoiles"/>
      <w:r w:rsidRPr="004F752E">
        <w:rPr>
          <w:lang w:val="en-GB"/>
        </w:rPr>
        <w:t>***I</w:t>
      </w:r>
      <w:bookmarkEnd w:id="3"/>
    </w:p>
    <w:p w:rsidR="004A66C4" w:rsidRPr="004F752E" w:rsidRDefault="008526C9" w:rsidP="004A66C4">
      <w:pPr>
        <w:rPr>
          <w:i/>
          <w:vanish/>
          <w:lang w:val="en-GB"/>
        </w:rPr>
      </w:pPr>
      <w:r>
        <w:rPr>
          <w:i/>
          <w:lang w:val="en-GB"/>
        </w:rPr>
        <w:fldChar w:fldCharType="begin"/>
      </w:r>
      <w:r w:rsidR="004A66C4" w:rsidRPr="004F752E">
        <w:rPr>
          <w:i/>
          <w:lang w:val="en-GB"/>
        </w:rPr>
        <w:instrText>tc "(</w:instrText>
      </w:r>
      <w:bookmarkStart w:id="4" w:name="DocNumber"/>
      <w:r w:rsidR="004A66C4" w:rsidRPr="004F752E">
        <w:rPr>
          <w:i/>
          <w:lang w:val="en-GB"/>
        </w:rPr>
        <w:instrText>A7-0259/2013</w:instrText>
      </w:r>
      <w:bookmarkEnd w:id="4"/>
      <w:r w:rsidR="004A66C4" w:rsidRPr="004F752E">
        <w:rPr>
          <w:i/>
          <w:lang w:val="en-GB"/>
        </w:rPr>
        <w:instrText xml:space="preserve"> - Rapporteur: Marek Józef Gróbarczyk)" \l 3 \n&gt;MERGEFORMAT</w:instrText>
      </w:r>
      <w:r>
        <w:rPr>
          <w:i/>
          <w:lang w:val="en-GB"/>
        </w:rPr>
        <w:fldChar w:fldCharType="end"/>
      </w:r>
    </w:p>
    <w:p w:rsidR="004A66C4" w:rsidRPr="004F752E" w:rsidRDefault="004A66C4" w:rsidP="004A66C4">
      <w:pPr>
        <w:rPr>
          <w:vanish/>
          <w:lang w:val="en-GB"/>
        </w:rPr>
      </w:pPr>
      <w:bookmarkStart w:id="5" w:name="Commission"/>
      <w:r w:rsidRPr="004F752E">
        <w:rPr>
          <w:vanish/>
          <w:lang w:val="en-GB"/>
        </w:rPr>
        <w:t>Committee on Fisheries</w:t>
      </w:r>
      <w:bookmarkEnd w:id="5"/>
    </w:p>
    <w:p w:rsidR="004A66C4" w:rsidRPr="004F752E" w:rsidRDefault="004A66C4" w:rsidP="004A66C4">
      <w:pPr>
        <w:rPr>
          <w:vanish/>
          <w:lang w:val="en-GB"/>
        </w:rPr>
      </w:pPr>
      <w:bookmarkStart w:id="6" w:name="PE"/>
      <w:r w:rsidRPr="004F752E">
        <w:rPr>
          <w:vanish/>
          <w:lang w:val="en-GB"/>
        </w:rPr>
        <w:t>PE508.045</w:t>
      </w:r>
      <w:bookmarkEnd w:id="6"/>
    </w:p>
    <w:p w:rsidR="004A66C4" w:rsidRPr="004F752E" w:rsidRDefault="004A66C4" w:rsidP="004A66C4">
      <w:pPr>
        <w:pStyle w:val="ATHeading3"/>
        <w:rPr>
          <w:lang w:val="en-GB"/>
        </w:rPr>
      </w:pPr>
      <w:bookmarkStart w:id="7" w:name="Sujet"/>
      <w:r w:rsidRPr="004F752E">
        <w:rPr>
          <w:lang w:val="en-GB"/>
        </w:rPr>
        <w:t xml:space="preserve">European Parliament legislative resolution of </w:t>
      </w:r>
      <w:r>
        <w:rPr>
          <w:lang w:val="en-GB"/>
        </w:rPr>
        <w:t>10</w:t>
      </w:r>
      <w:r w:rsidRPr="004F752E">
        <w:rPr>
          <w:lang w:val="en-GB"/>
        </w:rPr>
        <w:t xml:space="preserve"> </w:t>
      </w:r>
      <w:r>
        <w:rPr>
          <w:lang w:val="en-GB"/>
        </w:rPr>
        <w:t>September</w:t>
      </w:r>
      <w:r w:rsidRPr="004F752E">
        <w:rPr>
          <w:lang w:val="en-GB"/>
        </w:rPr>
        <w:t xml:space="preserve"> 2013 on the proposal for a regulation of the European Parliament and of the Council amending Council Regulation (EC) No 2187/2005 for the conservation of fishery through technical measures in the Baltic Sea, the Belts and the Sound</w:t>
      </w:r>
      <w:bookmarkEnd w:id="7"/>
      <w:r w:rsidRPr="004F752E">
        <w:rPr>
          <w:lang w:val="en-GB"/>
        </w:rPr>
        <w:t xml:space="preserve"> </w:t>
      </w:r>
      <w:bookmarkStart w:id="8" w:name="References"/>
      <w:r w:rsidRPr="004F752E">
        <w:rPr>
          <w:lang w:val="en-GB"/>
        </w:rPr>
        <w:t>(COM(2012)0591 – C7-0332/2012 – 2012/0285(COD))</w:t>
      </w:r>
      <w:bookmarkEnd w:id="8"/>
    </w:p>
    <w:p w:rsidR="004A66C4" w:rsidRPr="004F752E" w:rsidRDefault="004A66C4" w:rsidP="004A66C4">
      <w:pPr>
        <w:rPr>
          <w:lang w:val="en-GB"/>
        </w:rPr>
      </w:pPr>
    </w:p>
    <w:p w:rsidR="004A66C4" w:rsidRPr="00E81A11" w:rsidRDefault="004A66C4" w:rsidP="004A66C4">
      <w:pPr>
        <w:pStyle w:val="Normal12Bold"/>
        <w:rPr>
          <w:szCs w:val="24"/>
        </w:rPr>
      </w:pPr>
      <w:bookmarkStart w:id="9" w:name="TextBodyBegin"/>
      <w:bookmarkEnd w:id="9"/>
      <w:r w:rsidRPr="00E81A11">
        <w:rPr>
          <w:szCs w:val="24"/>
        </w:rPr>
        <w:t>(Ordinary legislative procedure: first reading)</w:t>
      </w:r>
    </w:p>
    <w:p w:rsidR="004A66C4" w:rsidRPr="00E81A11" w:rsidRDefault="004A66C4" w:rsidP="004A66C4">
      <w:pPr>
        <w:pStyle w:val="Normal12"/>
        <w:rPr>
          <w:szCs w:val="24"/>
        </w:rPr>
      </w:pPr>
      <w:r w:rsidRPr="00E81A11">
        <w:rPr>
          <w:i/>
          <w:szCs w:val="24"/>
        </w:rPr>
        <w:t>The European Parliament</w:t>
      </w:r>
      <w:r w:rsidRPr="00E81A11">
        <w:rPr>
          <w:szCs w:val="24"/>
        </w:rPr>
        <w:t>,</w:t>
      </w:r>
    </w:p>
    <w:p w:rsidR="004A66C4" w:rsidRPr="00E81A11" w:rsidRDefault="004A66C4" w:rsidP="004A66C4">
      <w:pPr>
        <w:pStyle w:val="Normal12Hanging"/>
        <w:widowControl/>
        <w:rPr>
          <w:szCs w:val="24"/>
        </w:rPr>
      </w:pPr>
      <w:r w:rsidRPr="00E81A11">
        <w:rPr>
          <w:szCs w:val="24"/>
        </w:rPr>
        <w:t>–</w:t>
      </w:r>
      <w:r w:rsidRPr="00E81A11">
        <w:rPr>
          <w:szCs w:val="24"/>
        </w:rPr>
        <w:tab/>
        <w:t>having regard to the Commission proposal to Parliament and the Council (COM(2012)0591),</w:t>
      </w:r>
    </w:p>
    <w:p w:rsidR="004A66C4" w:rsidRPr="00E81A11" w:rsidRDefault="004A66C4" w:rsidP="004A66C4">
      <w:pPr>
        <w:pStyle w:val="Normal12Hanging"/>
        <w:widowControl/>
        <w:rPr>
          <w:szCs w:val="24"/>
        </w:rPr>
      </w:pPr>
      <w:r w:rsidRPr="00E81A11">
        <w:rPr>
          <w:szCs w:val="24"/>
        </w:rPr>
        <w:t>–</w:t>
      </w:r>
      <w:r w:rsidRPr="00E81A11">
        <w:rPr>
          <w:szCs w:val="24"/>
        </w:rPr>
        <w:tab/>
        <w:t>having regard to Article 294(2) and Article 43(2) of the Treaty on the Functioning of the European Union, pursuant to which the Commission submitted the proposal to Parliament (C7</w:t>
      </w:r>
      <w:r w:rsidRPr="00E81A11">
        <w:rPr>
          <w:szCs w:val="24"/>
        </w:rPr>
        <w:noBreakHyphen/>
        <w:t>0332/2012),</w:t>
      </w:r>
    </w:p>
    <w:p w:rsidR="004A66C4" w:rsidRPr="00E81A11" w:rsidRDefault="004A66C4" w:rsidP="004A66C4">
      <w:pPr>
        <w:pStyle w:val="Normal12Hanging"/>
        <w:widowControl/>
        <w:rPr>
          <w:szCs w:val="24"/>
        </w:rPr>
      </w:pPr>
      <w:r w:rsidRPr="00E81A11">
        <w:rPr>
          <w:szCs w:val="24"/>
        </w:rPr>
        <w:t>–</w:t>
      </w:r>
      <w:r w:rsidRPr="00E81A11">
        <w:rPr>
          <w:szCs w:val="24"/>
        </w:rPr>
        <w:tab/>
        <w:t>having regard to Article 294(3) of the Treaty on the Functioning of the European Union,</w:t>
      </w:r>
    </w:p>
    <w:p w:rsidR="004A66C4" w:rsidRPr="00E81A11" w:rsidRDefault="004A66C4" w:rsidP="004A66C4">
      <w:pPr>
        <w:pStyle w:val="Normal12Hanging"/>
        <w:widowControl/>
        <w:rPr>
          <w:szCs w:val="24"/>
        </w:rPr>
      </w:pPr>
      <w:r w:rsidRPr="00E81A11">
        <w:rPr>
          <w:szCs w:val="24"/>
        </w:rPr>
        <w:t>–</w:t>
      </w:r>
      <w:r w:rsidRPr="00E81A11">
        <w:rPr>
          <w:szCs w:val="24"/>
        </w:rPr>
        <w:tab/>
        <w:t>having regard to the opinion of the European Economic and Social Committee of 11 July 2012</w:t>
      </w:r>
      <w:r w:rsidRPr="00E81A11">
        <w:rPr>
          <w:rStyle w:val="FootnoteReference"/>
          <w:szCs w:val="24"/>
        </w:rPr>
        <w:footnoteReference w:id="1"/>
      </w:r>
      <w:r w:rsidRPr="00E81A11">
        <w:rPr>
          <w:szCs w:val="24"/>
        </w:rPr>
        <w:t xml:space="preserve">, </w:t>
      </w:r>
    </w:p>
    <w:p w:rsidR="004A66C4" w:rsidRPr="00E81A11" w:rsidRDefault="004A66C4" w:rsidP="004A66C4">
      <w:pPr>
        <w:pStyle w:val="Normal12Hanging"/>
        <w:widowControl/>
        <w:rPr>
          <w:szCs w:val="24"/>
        </w:rPr>
      </w:pPr>
      <w:r w:rsidRPr="00E81A11">
        <w:rPr>
          <w:szCs w:val="24"/>
        </w:rPr>
        <w:t>–</w:t>
      </w:r>
      <w:r w:rsidRPr="00E81A11">
        <w:rPr>
          <w:szCs w:val="24"/>
        </w:rPr>
        <w:tab/>
        <w:t>having regard to Rule 55 of its Rules of Procedure,</w:t>
      </w:r>
    </w:p>
    <w:p w:rsidR="004A66C4" w:rsidRPr="00E81A11" w:rsidRDefault="004A66C4" w:rsidP="004A66C4">
      <w:pPr>
        <w:pStyle w:val="Normal12Hanging"/>
        <w:widowControl/>
        <w:rPr>
          <w:szCs w:val="24"/>
        </w:rPr>
      </w:pPr>
      <w:r w:rsidRPr="00E81A11">
        <w:rPr>
          <w:szCs w:val="24"/>
        </w:rPr>
        <w:t>–</w:t>
      </w:r>
      <w:r w:rsidRPr="00E81A11">
        <w:rPr>
          <w:szCs w:val="24"/>
        </w:rPr>
        <w:tab/>
        <w:t>having regard to the report of the Committee on Fisheries (A7-0259/2013),</w:t>
      </w:r>
    </w:p>
    <w:p w:rsidR="004A66C4" w:rsidRPr="00E81A11" w:rsidRDefault="004A66C4" w:rsidP="004A66C4">
      <w:pPr>
        <w:pStyle w:val="Normal12Hanging"/>
        <w:widowControl/>
        <w:rPr>
          <w:szCs w:val="24"/>
        </w:rPr>
      </w:pPr>
      <w:r w:rsidRPr="00E81A11">
        <w:rPr>
          <w:szCs w:val="24"/>
        </w:rPr>
        <w:t>1.</w:t>
      </w:r>
      <w:r w:rsidRPr="00E81A11">
        <w:rPr>
          <w:szCs w:val="24"/>
        </w:rPr>
        <w:tab/>
        <w:t>Adopts its position at first reading hereinafter set out;</w:t>
      </w:r>
    </w:p>
    <w:p w:rsidR="004A66C4" w:rsidRPr="00E81A11" w:rsidRDefault="004A66C4" w:rsidP="004A66C4">
      <w:pPr>
        <w:pStyle w:val="Normal12Hanging"/>
        <w:widowControl/>
        <w:rPr>
          <w:szCs w:val="24"/>
        </w:rPr>
      </w:pPr>
      <w:r w:rsidRPr="00E81A11">
        <w:rPr>
          <w:szCs w:val="24"/>
        </w:rPr>
        <w:t>2.</w:t>
      </w:r>
      <w:r w:rsidRPr="00E81A11">
        <w:rPr>
          <w:szCs w:val="24"/>
        </w:rPr>
        <w:tab/>
        <w:t>Calls on the Commission to refer the matter to Parliament again if it intends to amend its proposal substantially or replace it with another text;</w:t>
      </w:r>
    </w:p>
    <w:p w:rsidR="004A66C4" w:rsidRPr="00E81A11" w:rsidRDefault="004A66C4" w:rsidP="004A66C4">
      <w:pPr>
        <w:pStyle w:val="Normal12Hanging"/>
        <w:widowControl/>
        <w:rPr>
          <w:szCs w:val="24"/>
        </w:rPr>
      </w:pPr>
      <w:r w:rsidRPr="00E81A11">
        <w:rPr>
          <w:szCs w:val="24"/>
        </w:rPr>
        <w:t>3.</w:t>
      </w:r>
      <w:r w:rsidRPr="00E81A11">
        <w:rPr>
          <w:szCs w:val="24"/>
        </w:rPr>
        <w:tab/>
        <w:t xml:space="preserve">Instructs its president to forward its position to the Council, the Commission and the national parliaments. </w:t>
      </w:r>
    </w:p>
    <w:p w:rsidR="004A66C4" w:rsidRPr="00BD4A35" w:rsidRDefault="002A239C" w:rsidP="004A66C4">
      <w:pPr>
        <w:pStyle w:val="Normal12Hanging"/>
        <w:spacing w:after="120"/>
        <w:ind w:left="0" w:firstLine="0"/>
        <w:jc w:val="both"/>
        <w:rPr>
          <w:b/>
        </w:rPr>
      </w:pPr>
      <w:r w:rsidRPr="002A239C">
        <w:rPr>
          <w:sz w:val="56"/>
        </w:rPr>
        <w:br w:type="page"/>
      </w:r>
      <w:r w:rsidR="004A66C4" w:rsidRPr="00BD4A35">
        <w:rPr>
          <w:b/>
        </w:rPr>
        <w:lastRenderedPageBreak/>
        <w:t>P7_TC1-COD(201</w:t>
      </w:r>
      <w:r w:rsidR="004A66C4">
        <w:rPr>
          <w:b/>
        </w:rPr>
        <w:t>2)0285</w:t>
      </w:r>
    </w:p>
    <w:p w:rsidR="004E06E8" w:rsidRPr="004A66C4" w:rsidRDefault="004A66C4" w:rsidP="00AF438F">
      <w:pPr>
        <w:spacing w:before="240"/>
        <w:rPr>
          <w:b/>
          <w:lang w:val="en-GB"/>
        </w:rPr>
      </w:pPr>
      <w:r>
        <w:rPr>
          <w:b/>
          <w:lang w:val="en-GB"/>
        </w:rPr>
        <w:t xml:space="preserve">Position of the European Parliament </w:t>
      </w:r>
      <w:r w:rsidR="002A239C" w:rsidRPr="002A239C">
        <w:rPr>
          <w:b/>
          <w:lang w:val="en-GB"/>
        </w:rPr>
        <w:t xml:space="preserve">adopted at first reading on 10 September 2013 </w:t>
      </w:r>
      <w:r w:rsidR="004E06E8" w:rsidRPr="004A66C4">
        <w:rPr>
          <w:b/>
          <w:lang w:val="en-GB"/>
        </w:rPr>
        <w:t xml:space="preserve">with a view to the adoption of Regulation (EU) No .../2013 of the European Parliament and of the Council amending Council Regulation (EC) No 2187/2005 for the conservation of fishery through technical measures in the </w:t>
      </w:r>
      <w:smartTag w:uri="urn:schemas-microsoft-com:office:smarttags" w:element="place">
        <w:r w:rsidR="004E06E8" w:rsidRPr="004A66C4">
          <w:rPr>
            <w:b/>
            <w:lang w:val="en-GB"/>
          </w:rPr>
          <w:t>Baltic Sea</w:t>
        </w:r>
      </w:smartTag>
      <w:r w:rsidR="004E06E8" w:rsidRPr="004A66C4">
        <w:rPr>
          <w:b/>
          <w:lang w:val="en-GB"/>
        </w:rPr>
        <w:t>, the Belts and the Sound</w:t>
      </w:r>
    </w:p>
    <w:p w:rsidR="00667347" w:rsidRPr="00F97159" w:rsidRDefault="00667347" w:rsidP="004E06E8">
      <w:pPr>
        <w:spacing w:before="600" w:after="120" w:line="360" w:lineRule="auto"/>
        <w:rPr>
          <w:lang w:val="en-GB"/>
        </w:rPr>
      </w:pPr>
      <w:r w:rsidRPr="00F97159">
        <w:rPr>
          <w:lang w:val="en-GB"/>
        </w:rPr>
        <w:t xml:space="preserve">THE EUROPEAN PARLIAMENT AND THE COUNCIL OF THE EUROPEAN </w:t>
      </w:r>
      <w:smartTag w:uri="urn:schemas-microsoft-com:office:smarttags" w:element="place">
        <w:r w:rsidRPr="00F97159">
          <w:rPr>
            <w:lang w:val="en-GB"/>
          </w:rPr>
          <w:t>UNION</w:t>
        </w:r>
      </w:smartTag>
      <w:r w:rsidRPr="00F97159">
        <w:rPr>
          <w:lang w:val="en-GB"/>
        </w:rPr>
        <w:t>,</w:t>
      </w:r>
    </w:p>
    <w:p w:rsidR="00667347" w:rsidRPr="00F97159" w:rsidRDefault="00667347" w:rsidP="00667347">
      <w:pPr>
        <w:spacing w:before="120" w:after="120" w:line="360" w:lineRule="auto"/>
        <w:rPr>
          <w:lang w:val="en-GB"/>
        </w:rPr>
      </w:pPr>
      <w:r w:rsidRPr="00F97159">
        <w:rPr>
          <w:lang w:val="en-GB"/>
        </w:rPr>
        <w:t>Having regard to the Treaty on the Functioning of the European Union, and in particular Article 43(2) thereof,</w:t>
      </w:r>
    </w:p>
    <w:p w:rsidR="00667347" w:rsidRPr="00F97159" w:rsidRDefault="00667347" w:rsidP="00667347">
      <w:pPr>
        <w:spacing w:before="120" w:after="120" w:line="360" w:lineRule="auto"/>
        <w:rPr>
          <w:lang w:val="en-GB"/>
        </w:rPr>
      </w:pPr>
      <w:r w:rsidRPr="00F97159">
        <w:rPr>
          <w:lang w:val="en-GB"/>
        </w:rPr>
        <w:t>Having regard to the proposal from the European Commission,</w:t>
      </w:r>
    </w:p>
    <w:p w:rsidR="00BC6A81" w:rsidRPr="00F97159" w:rsidRDefault="00BC6A81" w:rsidP="00BC6A81">
      <w:pPr>
        <w:spacing w:before="120" w:after="120" w:line="360" w:lineRule="auto"/>
        <w:rPr>
          <w:lang w:val="en-GB"/>
        </w:rPr>
      </w:pPr>
      <w:r w:rsidRPr="00F97159">
        <w:rPr>
          <w:lang w:val="en-GB"/>
        </w:rPr>
        <w:t xml:space="preserve">After transmission of the draft legislative act to the national </w:t>
      </w:r>
      <w:r w:rsidR="00DA296D" w:rsidRPr="00F97159">
        <w:rPr>
          <w:lang w:val="en-GB"/>
        </w:rPr>
        <w:t>p</w:t>
      </w:r>
      <w:r w:rsidRPr="00F97159">
        <w:rPr>
          <w:lang w:val="en-GB"/>
        </w:rPr>
        <w:t>arliaments,</w:t>
      </w:r>
    </w:p>
    <w:p w:rsidR="00667347" w:rsidRPr="00F97159" w:rsidRDefault="00667347" w:rsidP="00667347">
      <w:pPr>
        <w:spacing w:before="120" w:after="120" w:line="360" w:lineRule="auto"/>
        <w:rPr>
          <w:lang w:val="en-GB"/>
        </w:rPr>
      </w:pPr>
      <w:r w:rsidRPr="00F97159">
        <w:rPr>
          <w:lang w:val="en-GB"/>
        </w:rPr>
        <w:t>Having regard to the opinion of the 'European Economic and Social Committee</w:t>
      </w:r>
      <w:r w:rsidRPr="00F97159">
        <w:rPr>
          <w:vertAlign w:val="superscript"/>
        </w:rPr>
        <w:footnoteReference w:id="2"/>
      </w:r>
      <w:r w:rsidRPr="00F97159">
        <w:rPr>
          <w:lang w:val="en-GB"/>
        </w:rPr>
        <w:t>,</w:t>
      </w:r>
    </w:p>
    <w:p w:rsidR="00667347" w:rsidRPr="00F97159" w:rsidRDefault="00667347" w:rsidP="00667347">
      <w:pPr>
        <w:spacing w:before="120" w:after="120" w:line="360" w:lineRule="auto"/>
        <w:rPr>
          <w:lang w:val="en-GB"/>
        </w:rPr>
      </w:pPr>
      <w:r w:rsidRPr="00F97159">
        <w:rPr>
          <w:lang w:val="en-GB"/>
        </w:rPr>
        <w:t>Acting in accordance with the ordinary legislative procedure</w:t>
      </w:r>
      <w:r w:rsidR="004C1126" w:rsidRPr="00F97159">
        <w:rPr>
          <w:rStyle w:val="FootnoteReference"/>
          <w:lang w:val="en-GB"/>
        </w:rPr>
        <w:footnoteReference w:id="3"/>
      </w:r>
      <w:r w:rsidRPr="00F97159">
        <w:rPr>
          <w:lang w:val="en-GB"/>
        </w:rPr>
        <w:t>,</w:t>
      </w:r>
    </w:p>
    <w:p w:rsidR="00667347" w:rsidRPr="00F97159" w:rsidRDefault="00667347" w:rsidP="00667347">
      <w:pPr>
        <w:spacing w:before="120" w:after="120" w:line="360" w:lineRule="auto"/>
        <w:rPr>
          <w:lang w:val="en-GB"/>
        </w:rPr>
      </w:pPr>
      <w:r w:rsidRPr="00F97159">
        <w:rPr>
          <w:lang w:val="en-GB"/>
        </w:rPr>
        <w:t>Whereas:</w:t>
      </w:r>
    </w:p>
    <w:p w:rsidR="00667347" w:rsidRPr="00F97159" w:rsidRDefault="00D40769" w:rsidP="00667347">
      <w:pPr>
        <w:spacing w:before="120" w:after="120" w:line="360" w:lineRule="auto"/>
        <w:ind w:left="851" w:hanging="851"/>
        <w:rPr>
          <w:lang w:val="en-GB"/>
        </w:rPr>
      </w:pPr>
      <w:r w:rsidRPr="00F97159">
        <w:rPr>
          <w:lang w:val="en-GB"/>
        </w:rPr>
        <w:br w:type="page"/>
      </w:r>
      <w:r w:rsidR="00667347" w:rsidRPr="00F97159">
        <w:rPr>
          <w:lang w:val="en-GB"/>
        </w:rPr>
        <w:lastRenderedPageBreak/>
        <w:t>(1)</w:t>
      </w:r>
      <w:r w:rsidR="00667347" w:rsidRPr="00F97159">
        <w:rPr>
          <w:lang w:val="en-GB"/>
        </w:rPr>
        <w:tab/>
        <w:t>Council Regulation (EC) No 2187/2005</w:t>
      </w:r>
      <w:r w:rsidR="00667347" w:rsidRPr="00F97159">
        <w:rPr>
          <w:vertAlign w:val="superscript"/>
        </w:rPr>
        <w:footnoteReference w:id="4"/>
      </w:r>
      <w:r w:rsidR="00667347" w:rsidRPr="00F97159">
        <w:rPr>
          <w:lang w:val="en-GB"/>
        </w:rPr>
        <w:t xml:space="preserve"> confers powers upon the Commission in order to implement some of the provisions of that Regulation.</w:t>
      </w:r>
    </w:p>
    <w:p w:rsidR="00667347" w:rsidRPr="00F97159" w:rsidRDefault="00667347" w:rsidP="00667347">
      <w:pPr>
        <w:spacing w:before="120" w:after="120" w:line="360" w:lineRule="auto"/>
        <w:ind w:left="851" w:hanging="851"/>
        <w:rPr>
          <w:lang w:val="en-GB"/>
        </w:rPr>
      </w:pPr>
      <w:r w:rsidRPr="00F97159">
        <w:rPr>
          <w:lang w:val="en-GB"/>
        </w:rPr>
        <w:t>(2)</w:t>
      </w:r>
      <w:r w:rsidRPr="00F97159">
        <w:rPr>
          <w:lang w:val="en-GB"/>
        </w:rPr>
        <w:tab/>
        <w:t>As a consequence of the entry into force of the Lisbon Treaty, the powers conferred upon the Commission under Regulation (EC) No 2187/2005 need to be aligned to Articles 290 and 291 of the Treaty on the Functioning of the European Union.</w:t>
      </w:r>
    </w:p>
    <w:p w:rsidR="00667347" w:rsidRPr="00F97159" w:rsidRDefault="00667347" w:rsidP="00667347">
      <w:pPr>
        <w:spacing w:before="120" w:after="120" w:line="360" w:lineRule="auto"/>
        <w:ind w:left="851" w:hanging="851"/>
        <w:rPr>
          <w:lang w:val="en-GB"/>
        </w:rPr>
      </w:pPr>
      <w:r w:rsidRPr="00F97159">
        <w:rPr>
          <w:lang w:val="en-GB"/>
        </w:rPr>
        <w:t>(3)</w:t>
      </w:r>
      <w:r w:rsidRPr="00F97159">
        <w:rPr>
          <w:lang w:val="en-GB"/>
        </w:rPr>
        <w:tab/>
        <w:t>Implementing powers should be conferred on the Commission in order to ensure uniform conditions for the implementation of Regulation (EC) No 2187/2005 as regards measures taken</w:t>
      </w:r>
      <w:r w:rsidR="00D06D7D" w:rsidRPr="00F97159">
        <w:rPr>
          <w:lang w:val="en-GB"/>
        </w:rPr>
        <w:t xml:space="preserve"> </w:t>
      </w:r>
      <w:r w:rsidRPr="00F97159">
        <w:rPr>
          <w:lang w:val="en-GB"/>
        </w:rPr>
        <w:t>by Member States which apply only to fishing vessels flying their flag.</w:t>
      </w:r>
    </w:p>
    <w:p w:rsidR="00667347" w:rsidRPr="00F97159" w:rsidRDefault="00667347" w:rsidP="00667347">
      <w:pPr>
        <w:spacing w:before="120" w:after="120" w:line="360" w:lineRule="auto"/>
        <w:ind w:left="851" w:hanging="851"/>
        <w:rPr>
          <w:lang w:val="en-GB"/>
        </w:rPr>
      </w:pPr>
      <w:r w:rsidRPr="00F97159">
        <w:rPr>
          <w:lang w:val="en-GB"/>
        </w:rPr>
        <w:t>(4)</w:t>
      </w:r>
      <w:r w:rsidRPr="00F97159">
        <w:rPr>
          <w:lang w:val="en-GB"/>
        </w:rPr>
        <w:tab/>
        <w:t>Powers to adopt detailed rules for the implementation of Regulation</w:t>
      </w:r>
      <w:r w:rsidR="00D06D7D" w:rsidRPr="00F97159">
        <w:rPr>
          <w:lang w:val="en-GB"/>
        </w:rPr>
        <w:t xml:space="preserve"> </w:t>
      </w:r>
      <w:r w:rsidRPr="00F97159">
        <w:rPr>
          <w:lang w:val="en-GB"/>
        </w:rPr>
        <w:t>(EC) No 2187/2005 are no longer required. The provision conferring those powers should therefore be deleted.</w:t>
      </w:r>
    </w:p>
    <w:p w:rsidR="00667347" w:rsidRPr="00F97159" w:rsidRDefault="00D40769" w:rsidP="00667347">
      <w:pPr>
        <w:spacing w:before="120" w:after="120" w:line="360" w:lineRule="auto"/>
        <w:ind w:left="851" w:hanging="851"/>
        <w:rPr>
          <w:lang w:val="en-GB"/>
        </w:rPr>
      </w:pPr>
      <w:r w:rsidRPr="00F97159">
        <w:rPr>
          <w:lang w:val="en-GB"/>
        </w:rPr>
        <w:br w:type="page"/>
      </w:r>
      <w:r w:rsidR="00667347" w:rsidRPr="00F97159">
        <w:rPr>
          <w:lang w:val="en-GB"/>
        </w:rPr>
        <w:lastRenderedPageBreak/>
        <w:t>(5)</w:t>
      </w:r>
      <w:r w:rsidR="00667347" w:rsidRPr="00F97159">
        <w:rPr>
          <w:lang w:val="en-GB"/>
        </w:rPr>
        <w:tab/>
        <w:t>The power to adopt acts in accordance with Article 290 of the Treaty on the Functioning of the European Union should be delegated to the Commission to amend rules concerning the construction of the certain gears. Such amendments should reflect changes occur</w:t>
      </w:r>
      <w:r w:rsidR="0035139A" w:rsidRPr="00F97159">
        <w:rPr>
          <w:lang w:val="en-GB"/>
        </w:rPr>
        <w:t>r</w:t>
      </w:r>
      <w:r w:rsidR="00667347" w:rsidRPr="00F97159">
        <w:rPr>
          <w:lang w:val="en-GB"/>
        </w:rPr>
        <w:t>ing in the selectivity patterns</w:t>
      </w:r>
      <w:r w:rsidR="00D06D7D" w:rsidRPr="00F97159">
        <w:rPr>
          <w:lang w:val="en-GB"/>
        </w:rPr>
        <w:t xml:space="preserve"> </w:t>
      </w:r>
      <w:r w:rsidR="00667347" w:rsidRPr="00F97159">
        <w:rPr>
          <w:lang w:val="en-GB"/>
        </w:rPr>
        <w:t>of the fishery, new technical knowledge on materials for construction or changes in the rigging of the gear which may enhance gear selectivity.</w:t>
      </w:r>
    </w:p>
    <w:p w:rsidR="00667347" w:rsidRPr="00F97159" w:rsidRDefault="00667347" w:rsidP="00667347">
      <w:pPr>
        <w:spacing w:before="120" w:after="120" w:line="360" w:lineRule="auto"/>
        <w:ind w:left="851" w:hanging="851"/>
        <w:rPr>
          <w:lang w:val="en-GB"/>
        </w:rPr>
      </w:pPr>
      <w:r w:rsidRPr="00F97159">
        <w:rPr>
          <w:lang w:val="en-GB"/>
        </w:rPr>
        <w:t>(6)</w:t>
      </w:r>
      <w:r w:rsidRPr="00F97159">
        <w:rPr>
          <w:lang w:val="en-GB"/>
        </w:rPr>
        <w:tab/>
        <w:t>It is of particular importance that the Commission should carry out appropriate consultations during its preparatory work for the adoption of delegated acts, including at expert level. When preparing and drawing-up delegated acts, the Commission should ensure the simultaneous, timely and appropriate transmission of relevant documents to the European Parliament and Council.</w:t>
      </w:r>
    </w:p>
    <w:p w:rsidR="00667347" w:rsidRPr="00F97159" w:rsidRDefault="00667347" w:rsidP="00667347">
      <w:pPr>
        <w:spacing w:before="120" w:after="120" w:line="360" w:lineRule="auto"/>
        <w:ind w:left="851" w:hanging="851"/>
        <w:rPr>
          <w:lang w:val="en-GB"/>
        </w:rPr>
      </w:pPr>
      <w:r w:rsidRPr="00F97159">
        <w:rPr>
          <w:lang w:val="en-GB"/>
        </w:rPr>
        <w:t>(7)</w:t>
      </w:r>
      <w:r w:rsidRPr="00F97159">
        <w:rPr>
          <w:lang w:val="en-GB"/>
        </w:rPr>
        <w:tab/>
        <w:t>Regulation (EC) No 2187/2005 should therefore be amended accordingly,</w:t>
      </w:r>
    </w:p>
    <w:p w:rsidR="00667347" w:rsidRPr="00F97159" w:rsidRDefault="00667347" w:rsidP="00667347">
      <w:pPr>
        <w:spacing w:before="120" w:after="120" w:line="360" w:lineRule="auto"/>
        <w:rPr>
          <w:lang w:val="en-GB"/>
        </w:rPr>
      </w:pPr>
      <w:r w:rsidRPr="00F97159">
        <w:rPr>
          <w:lang w:val="en-GB"/>
        </w:rPr>
        <w:t>HAVE ADOPTED THIS REGULATION:</w:t>
      </w:r>
    </w:p>
    <w:p w:rsidR="00667347" w:rsidRPr="00F97159" w:rsidRDefault="00D40769" w:rsidP="00667347">
      <w:pPr>
        <w:spacing w:before="120" w:after="120" w:line="360" w:lineRule="auto"/>
        <w:jc w:val="center"/>
        <w:rPr>
          <w:lang w:val="en-GB"/>
        </w:rPr>
      </w:pPr>
      <w:r w:rsidRPr="00F97159">
        <w:rPr>
          <w:lang w:val="en-GB"/>
        </w:rPr>
        <w:br w:type="page"/>
      </w:r>
      <w:r w:rsidR="00667347" w:rsidRPr="00F97159">
        <w:rPr>
          <w:lang w:val="en-GB"/>
        </w:rPr>
        <w:lastRenderedPageBreak/>
        <w:t>Article 1</w:t>
      </w:r>
    </w:p>
    <w:p w:rsidR="00667347" w:rsidRPr="00F97159" w:rsidRDefault="00667347" w:rsidP="00667347">
      <w:pPr>
        <w:spacing w:before="120" w:after="120" w:line="360" w:lineRule="auto"/>
        <w:rPr>
          <w:lang w:val="en-GB"/>
        </w:rPr>
      </w:pPr>
      <w:r w:rsidRPr="00F97159">
        <w:rPr>
          <w:lang w:val="en-GB"/>
        </w:rPr>
        <w:t>Regulation (EC) No 2187/2005 is amended as follows:</w:t>
      </w:r>
    </w:p>
    <w:p w:rsidR="00667347" w:rsidRPr="00F97159" w:rsidRDefault="00667347" w:rsidP="00667347">
      <w:pPr>
        <w:spacing w:before="120" w:after="120" w:line="360" w:lineRule="auto"/>
        <w:ind w:left="851" w:hanging="851"/>
        <w:rPr>
          <w:lang w:val="en-GB"/>
        </w:rPr>
      </w:pPr>
      <w:r w:rsidRPr="00F97159">
        <w:rPr>
          <w:lang w:val="en-GB"/>
        </w:rPr>
        <w:t>(1)</w:t>
      </w:r>
      <w:r w:rsidRPr="00F97159">
        <w:rPr>
          <w:lang w:val="en-GB"/>
        </w:rPr>
        <w:tab/>
        <w:t>In Article 26, paragraph 5 is replaced by the following:</w:t>
      </w:r>
    </w:p>
    <w:p w:rsidR="00667347" w:rsidRPr="00F97159" w:rsidRDefault="00230FC8" w:rsidP="00D40769">
      <w:pPr>
        <w:spacing w:before="120" w:after="120" w:line="360" w:lineRule="auto"/>
        <w:ind w:left="851"/>
        <w:rPr>
          <w:lang w:val="en-GB"/>
        </w:rPr>
      </w:pPr>
      <w:r w:rsidRPr="00F97159">
        <w:rPr>
          <w:lang w:val="en-GB"/>
        </w:rPr>
        <w:t>"5.</w:t>
      </w:r>
      <w:r w:rsidRPr="00F97159">
        <w:rPr>
          <w:lang w:val="en-GB"/>
        </w:rPr>
        <w:tab/>
      </w:r>
      <w:r w:rsidRPr="00F97159">
        <w:rPr>
          <w:lang w:val="en-GB"/>
        </w:rPr>
        <w:tab/>
      </w:r>
      <w:r w:rsidR="00667347" w:rsidRPr="00F97159">
        <w:rPr>
          <w:lang w:val="en-GB"/>
        </w:rPr>
        <w:t xml:space="preserve">If the Commission concludes that the measures do not comply with the conditions laid down in paragraph 1 it shall adopt an implementing </w:t>
      </w:r>
      <w:r w:rsidR="00667347" w:rsidRPr="00F97159">
        <w:rPr>
          <w:strike/>
          <w:lang w:val="en-GB"/>
        </w:rPr>
        <w:t>decision</w:t>
      </w:r>
      <w:r w:rsidR="00667347" w:rsidRPr="00F97159">
        <w:rPr>
          <w:lang w:val="en-GB"/>
        </w:rPr>
        <w:t xml:space="preserve"> </w:t>
      </w:r>
      <w:r w:rsidR="006F6BEB" w:rsidRPr="00F97159">
        <w:rPr>
          <w:b/>
          <w:i/>
          <w:szCs w:val="24"/>
          <w:lang w:val="en-GB"/>
        </w:rPr>
        <w:t xml:space="preserve">act </w:t>
      </w:r>
      <w:r w:rsidR="00667347" w:rsidRPr="00F97159">
        <w:rPr>
          <w:lang w:val="en-GB"/>
        </w:rPr>
        <w:t xml:space="preserve">requiring the </w:t>
      </w:r>
      <w:smartTag w:uri="urn:schemas-microsoft-com:office:smarttags" w:element="PlaceName">
        <w:smartTag w:uri="urn:schemas-microsoft-com:office:smarttags" w:element="place">
          <w:r w:rsidR="00667347" w:rsidRPr="00F97159">
            <w:rPr>
              <w:lang w:val="en-GB"/>
            </w:rPr>
            <w:t>Member</w:t>
          </w:r>
        </w:smartTag>
        <w:r w:rsidR="00667347" w:rsidRPr="00F97159">
          <w:rPr>
            <w:lang w:val="en-GB"/>
          </w:rPr>
          <w:t xml:space="preserve"> </w:t>
        </w:r>
        <w:smartTag w:uri="urn:schemas-microsoft-com:office:smarttags" w:element="PlaceType">
          <w:r w:rsidR="00667347" w:rsidRPr="00F97159">
            <w:rPr>
              <w:lang w:val="en-GB"/>
            </w:rPr>
            <w:t>State</w:t>
          </w:r>
        </w:smartTag>
      </w:smartTag>
      <w:r w:rsidR="00667347" w:rsidRPr="00F97159">
        <w:rPr>
          <w:lang w:val="en-GB"/>
        </w:rPr>
        <w:t xml:space="preserve"> to withdraw or modify the measures."</w:t>
      </w:r>
      <w:r w:rsidR="004C1126" w:rsidRPr="00F97159">
        <w:rPr>
          <w:lang w:val="en-GB"/>
        </w:rPr>
        <w:t xml:space="preserve"> </w:t>
      </w:r>
      <w:r w:rsidR="004C1126" w:rsidRPr="00F97159">
        <w:rPr>
          <w:b/>
          <w:noProof/>
          <w:lang w:val="en-GB"/>
        </w:rPr>
        <w:t>[Am. 1]</w:t>
      </w:r>
    </w:p>
    <w:p w:rsidR="00667347" w:rsidRPr="00F97159" w:rsidRDefault="00667347" w:rsidP="00667347">
      <w:pPr>
        <w:spacing w:before="120" w:after="120" w:line="360" w:lineRule="auto"/>
        <w:ind w:left="851" w:hanging="851"/>
        <w:rPr>
          <w:lang w:val="en-GB"/>
        </w:rPr>
      </w:pPr>
      <w:r w:rsidRPr="00F97159">
        <w:rPr>
          <w:lang w:val="en-GB"/>
        </w:rPr>
        <w:t>(2)</w:t>
      </w:r>
      <w:r w:rsidRPr="00F97159">
        <w:rPr>
          <w:lang w:val="en-GB"/>
        </w:rPr>
        <w:tab/>
        <w:t>Article 28 is deleted.</w:t>
      </w:r>
    </w:p>
    <w:p w:rsidR="00667347" w:rsidRPr="00F97159" w:rsidRDefault="00667347" w:rsidP="00667347">
      <w:pPr>
        <w:spacing w:before="120" w:after="120" w:line="360" w:lineRule="auto"/>
        <w:ind w:left="851" w:hanging="851"/>
        <w:rPr>
          <w:lang w:val="en-GB"/>
        </w:rPr>
      </w:pPr>
      <w:r w:rsidRPr="00F97159">
        <w:rPr>
          <w:lang w:val="en-GB"/>
        </w:rPr>
        <w:t>(3)</w:t>
      </w:r>
      <w:r w:rsidRPr="00F97159">
        <w:rPr>
          <w:lang w:val="en-GB"/>
        </w:rPr>
        <w:tab/>
        <w:t>Article 29 is replaced by the following:</w:t>
      </w:r>
    </w:p>
    <w:p w:rsidR="00667347" w:rsidRPr="00F97159" w:rsidRDefault="00667347" w:rsidP="00667347">
      <w:pPr>
        <w:spacing w:before="120" w:after="120" w:line="360" w:lineRule="auto"/>
        <w:ind w:left="851"/>
        <w:rPr>
          <w:lang w:val="en-GB"/>
        </w:rPr>
      </w:pPr>
      <w:r w:rsidRPr="00F97159">
        <w:rPr>
          <w:lang w:val="en-GB"/>
        </w:rPr>
        <w:t>"Article 29</w:t>
      </w:r>
      <w:r w:rsidRPr="00F97159">
        <w:rPr>
          <w:lang w:val="en-GB"/>
        </w:rPr>
        <w:br/>
        <w:t>Amendments to Appendices 1 and 2 of Annex II</w:t>
      </w:r>
    </w:p>
    <w:p w:rsidR="00667347" w:rsidRPr="00F97159" w:rsidRDefault="00667347" w:rsidP="00667347">
      <w:pPr>
        <w:spacing w:before="120" w:after="120" w:line="360" w:lineRule="auto"/>
        <w:ind w:left="851"/>
        <w:rPr>
          <w:lang w:val="en-GB"/>
        </w:rPr>
      </w:pPr>
      <w:r w:rsidRPr="00F97159">
        <w:rPr>
          <w:lang w:val="en-GB"/>
        </w:rPr>
        <w:t>The Commission shall be empowered to adopt delegated acts in accordance with Article 29a to amend or supplement Appendices 1 and 2 of Annex II by adapting specifications of the gear to:</w:t>
      </w:r>
    </w:p>
    <w:p w:rsidR="00667347" w:rsidRPr="00F97159" w:rsidRDefault="00D40769" w:rsidP="006F6BEB">
      <w:pPr>
        <w:spacing w:before="120" w:after="120" w:line="360" w:lineRule="auto"/>
        <w:ind w:left="1418" w:hanging="567"/>
        <w:rPr>
          <w:lang w:val="en-GB"/>
        </w:rPr>
      </w:pPr>
      <w:r w:rsidRPr="00F97159">
        <w:rPr>
          <w:lang w:val="en-GB"/>
        </w:rPr>
        <w:br w:type="page"/>
      </w:r>
      <w:r w:rsidR="00667347" w:rsidRPr="00F97159">
        <w:rPr>
          <w:lang w:val="en-GB"/>
        </w:rPr>
        <w:lastRenderedPageBreak/>
        <w:t>(a)</w:t>
      </w:r>
      <w:r w:rsidR="00667347" w:rsidRPr="00F97159">
        <w:rPr>
          <w:lang w:val="en-GB"/>
        </w:rPr>
        <w:tab/>
        <w:t>changes in selectivity;</w:t>
      </w:r>
    </w:p>
    <w:p w:rsidR="00667347" w:rsidRPr="00F97159" w:rsidRDefault="00667347" w:rsidP="006F6BEB">
      <w:pPr>
        <w:spacing w:before="120" w:after="120" w:line="360" w:lineRule="auto"/>
        <w:ind w:left="1418" w:hanging="567"/>
        <w:rPr>
          <w:lang w:val="en-GB"/>
        </w:rPr>
      </w:pPr>
      <w:r w:rsidRPr="00F97159">
        <w:rPr>
          <w:lang w:val="en-GB"/>
        </w:rPr>
        <w:t>(b)</w:t>
      </w:r>
      <w:r w:rsidRPr="00F97159">
        <w:rPr>
          <w:lang w:val="en-GB"/>
        </w:rPr>
        <w:tab/>
        <w:t>improvements in technical knowledge on new materials for gear construction;</w:t>
      </w:r>
    </w:p>
    <w:p w:rsidR="00667347" w:rsidRPr="00F97159" w:rsidRDefault="00667347" w:rsidP="006F6BEB">
      <w:pPr>
        <w:spacing w:before="120" w:after="120" w:line="360" w:lineRule="auto"/>
        <w:ind w:left="1418" w:hanging="567"/>
        <w:rPr>
          <w:lang w:val="en-GB"/>
        </w:rPr>
      </w:pPr>
      <w:r w:rsidRPr="00F97159">
        <w:rPr>
          <w:lang w:val="en-GB"/>
        </w:rPr>
        <w:t>(c)</w:t>
      </w:r>
      <w:r w:rsidRPr="00F97159">
        <w:rPr>
          <w:lang w:val="en-GB"/>
        </w:rPr>
        <w:tab/>
        <w:t>changes to rigging that enhance gear selectivity."</w:t>
      </w:r>
    </w:p>
    <w:p w:rsidR="00667347" w:rsidRPr="00F97159" w:rsidRDefault="00667347" w:rsidP="00667347">
      <w:pPr>
        <w:spacing w:before="120" w:after="120" w:line="360" w:lineRule="auto"/>
        <w:ind w:left="851" w:hanging="851"/>
        <w:rPr>
          <w:lang w:val="en-GB"/>
        </w:rPr>
      </w:pPr>
      <w:r w:rsidRPr="00F97159">
        <w:rPr>
          <w:lang w:val="en-GB"/>
        </w:rPr>
        <w:t>(4)</w:t>
      </w:r>
      <w:r w:rsidRPr="00F97159">
        <w:rPr>
          <w:lang w:val="en-GB"/>
        </w:rPr>
        <w:tab/>
        <w:t>The following Article  is inserted:</w:t>
      </w:r>
    </w:p>
    <w:p w:rsidR="00667347" w:rsidRPr="00F97159" w:rsidRDefault="00667347" w:rsidP="00667347">
      <w:pPr>
        <w:spacing w:before="120" w:after="120" w:line="360" w:lineRule="auto"/>
        <w:ind w:left="851"/>
        <w:rPr>
          <w:lang w:val="en-GB"/>
        </w:rPr>
      </w:pPr>
      <w:r w:rsidRPr="00F97159">
        <w:rPr>
          <w:lang w:val="en-GB"/>
        </w:rPr>
        <w:t>"Article 29a</w:t>
      </w:r>
      <w:r w:rsidRPr="00F97159">
        <w:rPr>
          <w:lang w:val="en-GB"/>
        </w:rPr>
        <w:br/>
        <w:t>Exercise of the delegation</w:t>
      </w:r>
    </w:p>
    <w:p w:rsidR="00667347" w:rsidRPr="00F97159" w:rsidRDefault="00667347" w:rsidP="00667347">
      <w:pPr>
        <w:spacing w:before="120" w:after="120" w:line="360" w:lineRule="auto"/>
        <w:ind w:left="1418" w:hanging="567"/>
        <w:rPr>
          <w:lang w:val="en-GB"/>
        </w:rPr>
      </w:pPr>
      <w:r w:rsidRPr="00F97159">
        <w:rPr>
          <w:lang w:val="en-GB"/>
        </w:rPr>
        <w:t>1.</w:t>
      </w:r>
      <w:r w:rsidRPr="00F97159">
        <w:rPr>
          <w:lang w:val="en-GB"/>
        </w:rPr>
        <w:tab/>
        <w:t>The power to adopt delegated acts is conferred on the Commission, subject to the conditions laid down in this Article.</w:t>
      </w:r>
    </w:p>
    <w:p w:rsidR="00667347" w:rsidRPr="00F97159" w:rsidRDefault="00667347" w:rsidP="00667347">
      <w:pPr>
        <w:spacing w:before="120" w:after="120" w:line="360" w:lineRule="auto"/>
        <w:ind w:left="1418" w:hanging="567"/>
        <w:rPr>
          <w:lang w:val="en-GB"/>
        </w:rPr>
      </w:pPr>
      <w:r w:rsidRPr="00F97159">
        <w:rPr>
          <w:lang w:val="en-GB"/>
        </w:rPr>
        <w:t>2.</w:t>
      </w:r>
      <w:r w:rsidRPr="00F97159">
        <w:rPr>
          <w:lang w:val="en-GB"/>
        </w:rPr>
        <w:tab/>
        <w:t xml:space="preserve">The </w:t>
      </w:r>
      <w:r w:rsidRPr="00F97159">
        <w:rPr>
          <w:strike/>
          <w:lang w:val="en-GB"/>
        </w:rPr>
        <w:t>delegation of</w:t>
      </w:r>
      <w:r w:rsidRPr="00F97159">
        <w:rPr>
          <w:lang w:val="en-GB"/>
        </w:rPr>
        <w:t xml:space="preserve"> power </w:t>
      </w:r>
      <w:r w:rsidR="006F6BEB" w:rsidRPr="00F97159">
        <w:rPr>
          <w:b/>
          <w:i/>
          <w:szCs w:val="24"/>
          <w:lang w:val="en-GB"/>
        </w:rPr>
        <w:t xml:space="preserve">to adopt delegated acts </w:t>
      </w:r>
      <w:r w:rsidRPr="00F97159">
        <w:rPr>
          <w:lang w:val="en-GB"/>
        </w:rPr>
        <w:t xml:space="preserve">referred to in Article 29 shall be conferred </w:t>
      </w:r>
      <w:r w:rsidR="004C1126" w:rsidRPr="00F97159">
        <w:rPr>
          <w:lang w:val="en-GB"/>
        </w:rPr>
        <w:t xml:space="preserve">on the Commission </w:t>
      </w:r>
      <w:r w:rsidRPr="00F97159">
        <w:rPr>
          <w:lang w:val="en-GB"/>
        </w:rPr>
        <w:t xml:space="preserve">for </w:t>
      </w:r>
      <w:r w:rsidRPr="00F97159">
        <w:rPr>
          <w:strike/>
          <w:lang w:val="en-GB"/>
        </w:rPr>
        <w:t>an indeterminate</w:t>
      </w:r>
      <w:r w:rsidRPr="00F97159">
        <w:rPr>
          <w:lang w:val="en-GB"/>
        </w:rPr>
        <w:t xml:space="preserve"> </w:t>
      </w:r>
      <w:r w:rsidR="004C1126" w:rsidRPr="00F97159">
        <w:rPr>
          <w:b/>
          <w:i/>
          <w:lang w:val="en-GB"/>
        </w:rPr>
        <w:t xml:space="preserve">a </w:t>
      </w:r>
      <w:r w:rsidRPr="00F97159">
        <w:rPr>
          <w:lang w:val="en-GB"/>
        </w:rPr>
        <w:t xml:space="preserve">period of </w:t>
      </w:r>
      <w:r w:rsidRPr="00F97159">
        <w:rPr>
          <w:strike/>
          <w:lang w:val="en-GB"/>
        </w:rPr>
        <w:t>time</w:t>
      </w:r>
      <w:r w:rsidR="006F6BEB" w:rsidRPr="00F97159">
        <w:rPr>
          <w:strike/>
          <w:lang w:val="en-GB"/>
        </w:rPr>
        <w:t xml:space="preserve"> </w:t>
      </w:r>
      <w:r w:rsidR="006F6BEB" w:rsidRPr="00F97159">
        <w:rPr>
          <w:b/>
          <w:i/>
          <w:szCs w:val="24"/>
          <w:lang w:val="en-GB"/>
        </w:rPr>
        <w:t>three years</w:t>
      </w:r>
      <w:r w:rsidR="006F6BEB" w:rsidRPr="00F97159">
        <w:rPr>
          <w:szCs w:val="24"/>
          <w:lang w:val="en-GB"/>
        </w:rPr>
        <w:t xml:space="preserve"> </w:t>
      </w:r>
      <w:r w:rsidR="006F6BEB" w:rsidRPr="00F97159">
        <w:rPr>
          <w:b/>
          <w:i/>
          <w:szCs w:val="24"/>
          <w:lang w:val="en-GB"/>
        </w:rPr>
        <w:t>from …</w:t>
      </w:r>
      <w:r w:rsidR="006F6BEB" w:rsidRPr="00F97159">
        <w:rPr>
          <w:rStyle w:val="FootnoteReference"/>
          <w:b/>
          <w:i/>
          <w:szCs w:val="24"/>
          <w:lang w:val="en-GB"/>
        </w:rPr>
        <w:footnoteReference w:customMarkFollows="1" w:id="5"/>
        <w:t>*</w:t>
      </w:r>
      <w:r w:rsidR="006F6BEB" w:rsidRPr="00F97159">
        <w:rPr>
          <w:b/>
          <w:i/>
          <w:szCs w:val="24"/>
          <w:lang w:val="en-GB"/>
        </w:rPr>
        <w:t>.</w:t>
      </w:r>
      <w:r w:rsidR="006F6BEB" w:rsidRPr="00F97159">
        <w:rPr>
          <w:szCs w:val="24"/>
          <w:lang w:val="en-GB"/>
        </w:rPr>
        <w:t xml:space="preserve"> </w:t>
      </w:r>
      <w:r w:rsidR="006F6BEB" w:rsidRPr="00F97159">
        <w:rPr>
          <w:b/>
          <w:i/>
          <w:szCs w:val="24"/>
          <w:lang w:val="en-GB"/>
        </w:rPr>
        <w:t>The Commission shall draw up a report in respect of the delegation of power not later than nine months before the end of the three-year period. The delegation of power shall be tacitly extended for periods of an identical duration, unless the European Parliament or the Council opposes such an extension not later than three months before the end of each period</w:t>
      </w:r>
      <w:r w:rsidRPr="00F97159">
        <w:rPr>
          <w:lang w:val="en-GB"/>
        </w:rPr>
        <w:t>.</w:t>
      </w:r>
      <w:r w:rsidR="004C1126" w:rsidRPr="00F97159">
        <w:rPr>
          <w:lang w:val="en-GB"/>
        </w:rPr>
        <w:t xml:space="preserve"> </w:t>
      </w:r>
      <w:r w:rsidR="004C1126" w:rsidRPr="00904710">
        <w:rPr>
          <w:b/>
          <w:noProof/>
          <w:lang w:val="en-GB"/>
        </w:rPr>
        <w:t>[Am. 2]</w:t>
      </w:r>
    </w:p>
    <w:p w:rsidR="00667347" w:rsidRPr="00F97159" w:rsidRDefault="00D40769" w:rsidP="00667347">
      <w:pPr>
        <w:spacing w:before="120" w:after="120" w:line="360" w:lineRule="auto"/>
        <w:ind w:left="1418" w:hanging="567"/>
        <w:rPr>
          <w:lang w:val="en-GB"/>
        </w:rPr>
      </w:pPr>
      <w:r w:rsidRPr="00F97159">
        <w:rPr>
          <w:lang w:val="en-GB"/>
        </w:rPr>
        <w:br w:type="page"/>
      </w:r>
      <w:r w:rsidR="00667347" w:rsidRPr="00F97159">
        <w:rPr>
          <w:lang w:val="en-GB"/>
        </w:rPr>
        <w:lastRenderedPageBreak/>
        <w:t>3.</w:t>
      </w:r>
      <w:r w:rsidR="00667347" w:rsidRPr="00F97159">
        <w:rPr>
          <w:lang w:val="en-GB"/>
        </w:rPr>
        <w:tab/>
        <w:t xml:space="preserve">The delegation of powers referred to in Article 29 may be revoked by the European Parliament or by the Council at any time. A decision </w:t>
      </w:r>
      <w:r w:rsidR="00DA296D" w:rsidRPr="00F97159">
        <w:rPr>
          <w:lang w:val="en-GB"/>
        </w:rPr>
        <w:t xml:space="preserve">to revoke </w:t>
      </w:r>
      <w:r w:rsidR="00667347" w:rsidRPr="00F97159">
        <w:rPr>
          <w:lang w:val="en-GB"/>
        </w:rPr>
        <w:t xml:space="preserve">shall put an end to the delegation of the power specified in that decision. It shall take effect on the day following the publication of the decision in the </w:t>
      </w:r>
      <w:r w:rsidR="00667347" w:rsidRPr="00F97159">
        <w:rPr>
          <w:i/>
          <w:lang w:val="en-GB"/>
        </w:rPr>
        <w:t>Official Journal of the European Union</w:t>
      </w:r>
      <w:r w:rsidR="00667347" w:rsidRPr="00F97159">
        <w:rPr>
          <w:lang w:val="en-GB"/>
        </w:rPr>
        <w:t xml:space="preserve"> or at a later date specified therein. It shall not affect the validity of any delegated acts already in force.</w:t>
      </w:r>
    </w:p>
    <w:p w:rsidR="00667347" w:rsidRPr="00F97159" w:rsidRDefault="00667347" w:rsidP="00667347">
      <w:pPr>
        <w:spacing w:before="120" w:after="120" w:line="360" w:lineRule="auto"/>
        <w:ind w:left="1418" w:hanging="567"/>
        <w:rPr>
          <w:lang w:val="en-GB"/>
        </w:rPr>
      </w:pPr>
      <w:r w:rsidRPr="00F97159">
        <w:rPr>
          <w:lang w:val="en-GB"/>
        </w:rPr>
        <w:t>4.</w:t>
      </w:r>
      <w:r w:rsidRPr="00F97159">
        <w:rPr>
          <w:lang w:val="en-GB"/>
        </w:rPr>
        <w:tab/>
        <w:t>As soon as the Commission adopts a delegated act, it shall notify it simultaneously to the European Parliament and to the Council.</w:t>
      </w:r>
    </w:p>
    <w:p w:rsidR="00667347" w:rsidRPr="00F97159" w:rsidRDefault="00667347" w:rsidP="00667347">
      <w:pPr>
        <w:spacing w:before="120" w:after="120" w:line="360" w:lineRule="auto"/>
        <w:ind w:left="1418" w:hanging="567"/>
        <w:rPr>
          <w:lang w:val="en-GB"/>
        </w:rPr>
      </w:pPr>
      <w:r w:rsidRPr="00F97159">
        <w:rPr>
          <w:lang w:val="en-GB"/>
        </w:rPr>
        <w:t>5.</w:t>
      </w:r>
      <w:r w:rsidRPr="00F97159">
        <w:rPr>
          <w:lang w:val="en-GB"/>
        </w:rPr>
        <w:tab/>
        <w:t>A delegated act adopted pursuant to Article 29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rsidR="006F6BEB" w:rsidRPr="00F97159" w:rsidRDefault="00D40769" w:rsidP="00CF05A9">
      <w:pPr>
        <w:spacing w:before="120" w:after="120" w:line="360" w:lineRule="auto"/>
        <w:ind w:left="851" w:hanging="851"/>
        <w:rPr>
          <w:b/>
          <w:i/>
          <w:szCs w:val="24"/>
          <w:lang w:val="en-GB"/>
        </w:rPr>
      </w:pPr>
      <w:r w:rsidRPr="00F97159">
        <w:rPr>
          <w:b/>
          <w:i/>
          <w:lang w:val="en-GB"/>
        </w:rPr>
        <w:br w:type="page"/>
      </w:r>
      <w:r w:rsidR="006F6BEB" w:rsidRPr="00F97159">
        <w:rPr>
          <w:b/>
          <w:i/>
          <w:lang w:val="en-GB"/>
        </w:rPr>
        <w:lastRenderedPageBreak/>
        <w:t>(4a)</w:t>
      </w:r>
      <w:r w:rsidR="006F6BEB" w:rsidRPr="00F97159">
        <w:rPr>
          <w:lang w:val="en-GB"/>
        </w:rPr>
        <w:tab/>
      </w:r>
      <w:r w:rsidR="006F6BEB" w:rsidRPr="00F97159">
        <w:rPr>
          <w:b/>
          <w:i/>
          <w:szCs w:val="24"/>
          <w:lang w:val="en-GB"/>
        </w:rPr>
        <w:t>The following Article is inserted:</w:t>
      </w:r>
    </w:p>
    <w:p w:rsidR="006F6BEB" w:rsidRPr="00F97159" w:rsidRDefault="006F6BEB" w:rsidP="006F6BEB">
      <w:pPr>
        <w:spacing w:before="120" w:after="120" w:line="360" w:lineRule="auto"/>
        <w:ind w:left="851"/>
        <w:rPr>
          <w:b/>
          <w:i/>
          <w:szCs w:val="24"/>
          <w:lang w:val="en-GB"/>
        </w:rPr>
      </w:pPr>
      <w:r w:rsidRPr="00F97159">
        <w:rPr>
          <w:b/>
          <w:i/>
          <w:szCs w:val="24"/>
          <w:lang w:val="en-GB"/>
        </w:rPr>
        <w:t>"Article 31a</w:t>
      </w:r>
      <w:r w:rsidRPr="00F97159">
        <w:rPr>
          <w:b/>
          <w:i/>
          <w:szCs w:val="24"/>
          <w:lang w:val="en-GB"/>
        </w:rPr>
        <w:br/>
        <w:t>Overall assessment and review</w:t>
      </w:r>
    </w:p>
    <w:p w:rsidR="0035139A" w:rsidRPr="00F97159" w:rsidRDefault="006F6BEB" w:rsidP="00D40769">
      <w:pPr>
        <w:spacing w:before="120" w:after="120" w:line="360" w:lineRule="auto"/>
        <w:ind w:left="851"/>
        <w:rPr>
          <w:b/>
          <w:i/>
          <w:szCs w:val="24"/>
          <w:lang w:val="en-GB"/>
        </w:rPr>
      </w:pPr>
      <w:r w:rsidRPr="00F97159">
        <w:rPr>
          <w:b/>
          <w:i/>
          <w:szCs w:val="24"/>
          <w:lang w:val="en-GB"/>
        </w:rPr>
        <w:t xml:space="preserve">By </w:t>
      </w:r>
      <w:r w:rsidR="004C1126" w:rsidRPr="00F97159">
        <w:rPr>
          <w:b/>
          <w:i/>
          <w:szCs w:val="24"/>
          <w:lang w:val="en-GB"/>
        </w:rPr>
        <w:t>…</w:t>
      </w:r>
      <w:r w:rsidRPr="00F97159">
        <w:rPr>
          <w:rStyle w:val="FootnoteReference"/>
          <w:b/>
          <w:i/>
          <w:szCs w:val="24"/>
          <w:lang w:val="en-GB"/>
        </w:rPr>
        <w:footnoteReference w:customMarkFollows="1" w:id="6"/>
        <w:t>*</w:t>
      </w:r>
      <w:r w:rsidRPr="00F97159">
        <w:rPr>
          <w:b/>
          <w:i/>
          <w:szCs w:val="24"/>
          <w:lang w:val="en-GB"/>
        </w:rPr>
        <w:t>, the Commission shall review the effectiveness of the measures laid down in this Regulation, and, where appropriate, submit a legislative proposal to the European Parliament and to the Council for the amendment of this Regulation in order to ensure that it is compatible with Regulation (EU) No .../2013 of the European Parliament and of the Council</w:t>
      </w:r>
      <w:r w:rsidR="0035139A" w:rsidRPr="00F97159">
        <w:rPr>
          <w:rFonts w:ascii="Times New Roman Bold Italic" w:hAnsi="Times New Roman Bold Italic"/>
          <w:b/>
          <w:i/>
          <w:szCs w:val="24"/>
          <w:vertAlign w:val="superscript"/>
          <w:lang w:val="en-GB"/>
        </w:rPr>
        <w:t>1</w:t>
      </w:r>
      <w:r w:rsidRPr="00F97159">
        <w:rPr>
          <w:b/>
          <w:i/>
          <w:szCs w:val="24"/>
          <w:lang w:val="en-GB"/>
        </w:rPr>
        <w:t>.</w:t>
      </w:r>
    </w:p>
    <w:p w:rsidR="00904710" w:rsidRPr="00241864" w:rsidRDefault="00904710" w:rsidP="00904710">
      <w:pPr>
        <w:pStyle w:val="Text1"/>
        <w:spacing w:line="360" w:lineRule="auto"/>
        <w:jc w:val="left"/>
        <w:rPr>
          <w:noProof/>
          <w:lang w:val="en-GB"/>
        </w:rPr>
      </w:pPr>
      <w:r w:rsidRPr="00241864">
        <w:rPr>
          <w:noProof/>
          <w:lang w:val="en-GB"/>
        </w:rPr>
        <w:t>_______________</w:t>
      </w:r>
    </w:p>
    <w:p w:rsidR="00241864" w:rsidRDefault="0035139A" w:rsidP="00D40769">
      <w:pPr>
        <w:spacing w:before="120" w:after="120" w:line="360" w:lineRule="auto"/>
        <w:ind w:left="851"/>
        <w:rPr>
          <w:b/>
          <w:i/>
          <w:szCs w:val="24"/>
          <w:lang w:val="en-GB"/>
        </w:rPr>
      </w:pPr>
      <w:r w:rsidRPr="00F97159">
        <w:rPr>
          <w:rFonts w:ascii="Times New Roman Bold Italic" w:hAnsi="Times New Roman Bold Italic"/>
          <w:b/>
          <w:i/>
          <w:szCs w:val="24"/>
          <w:vertAlign w:val="superscript"/>
          <w:lang w:val="en-GB"/>
        </w:rPr>
        <w:t>1</w:t>
      </w:r>
      <w:r w:rsidRPr="00F97159">
        <w:rPr>
          <w:b/>
          <w:i/>
          <w:szCs w:val="24"/>
          <w:lang w:val="en-GB"/>
        </w:rPr>
        <w:tab/>
      </w:r>
      <w:r w:rsidRPr="00F97159">
        <w:rPr>
          <w:b/>
          <w:i/>
          <w:lang w:val="en-GB"/>
        </w:rPr>
        <w:t>Regulation (EU) No .../2013 of the European Parliament and of the Council of ... on the Common Fisheries Policy (OJ L ...).</w:t>
      </w:r>
      <w:r w:rsidRPr="00F97159">
        <w:rPr>
          <w:rStyle w:val="FootnoteReference"/>
          <w:b/>
          <w:i/>
          <w:szCs w:val="24"/>
          <w:lang w:val="en-GB"/>
        </w:rPr>
        <w:footnoteReference w:customMarkFollows="1" w:id="7"/>
        <w:t>**</w:t>
      </w:r>
      <w:r w:rsidR="00D40769" w:rsidRPr="00F97159">
        <w:rPr>
          <w:b/>
          <w:i/>
          <w:szCs w:val="24"/>
          <w:lang w:val="en-GB"/>
        </w:rPr>
        <w:t xml:space="preserve">" </w:t>
      </w:r>
    </w:p>
    <w:p w:rsidR="006F6BEB" w:rsidRPr="00F97159" w:rsidRDefault="004C1126" w:rsidP="00D40769">
      <w:pPr>
        <w:spacing w:before="120" w:after="120" w:line="360" w:lineRule="auto"/>
        <w:ind w:left="851"/>
        <w:rPr>
          <w:lang w:val="en-GB"/>
        </w:rPr>
      </w:pPr>
      <w:r w:rsidRPr="00F97159">
        <w:rPr>
          <w:b/>
          <w:noProof/>
          <w:lang w:val="en-GB"/>
        </w:rPr>
        <w:t>[Am. 3]</w:t>
      </w:r>
    </w:p>
    <w:p w:rsidR="00667347" w:rsidRPr="00F97159" w:rsidRDefault="00667347" w:rsidP="00667347">
      <w:pPr>
        <w:spacing w:before="120" w:after="120" w:line="360" w:lineRule="auto"/>
        <w:jc w:val="center"/>
        <w:rPr>
          <w:lang w:val="en-GB"/>
        </w:rPr>
      </w:pPr>
      <w:r w:rsidRPr="00F97159">
        <w:rPr>
          <w:lang w:val="en-GB"/>
        </w:rPr>
        <w:t>Article 2</w:t>
      </w:r>
    </w:p>
    <w:p w:rsidR="00667347" w:rsidRPr="00F97159" w:rsidRDefault="00667347" w:rsidP="00667347">
      <w:pPr>
        <w:spacing w:before="120" w:after="120" w:line="360" w:lineRule="auto"/>
        <w:rPr>
          <w:lang w:val="en-GB"/>
        </w:rPr>
      </w:pPr>
      <w:r w:rsidRPr="00F97159">
        <w:rPr>
          <w:lang w:val="en-GB"/>
        </w:rPr>
        <w:t xml:space="preserve">This Regulation shall enter into force on the twentieth day following that of its publication in the </w:t>
      </w:r>
      <w:r w:rsidRPr="00F97159">
        <w:rPr>
          <w:i/>
          <w:lang w:val="en-GB"/>
        </w:rPr>
        <w:t>Official Journal of the European Union</w:t>
      </w:r>
      <w:r w:rsidRPr="00F97159">
        <w:rPr>
          <w:lang w:val="en-GB"/>
        </w:rPr>
        <w:t>.</w:t>
      </w:r>
    </w:p>
    <w:p w:rsidR="00667347" w:rsidRPr="00F97159" w:rsidRDefault="00667347" w:rsidP="00667347">
      <w:pPr>
        <w:spacing w:before="120" w:after="120" w:line="360" w:lineRule="auto"/>
        <w:rPr>
          <w:lang w:val="en-GB"/>
        </w:rPr>
      </w:pPr>
      <w:r w:rsidRPr="00F97159">
        <w:rPr>
          <w:lang w:val="en-GB"/>
        </w:rPr>
        <w:t>This Regulation shall be binding in its entirety and directly applicable in all Member States.</w:t>
      </w:r>
    </w:p>
    <w:p w:rsidR="00667347" w:rsidRPr="00F97159" w:rsidRDefault="00667347" w:rsidP="00667347">
      <w:pPr>
        <w:spacing w:before="120" w:after="120" w:line="360" w:lineRule="auto"/>
        <w:rPr>
          <w:lang w:val="en-GB"/>
        </w:rPr>
      </w:pPr>
      <w:r w:rsidRPr="00F97159">
        <w:rPr>
          <w:lang w:val="en-GB"/>
        </w:rPr>
        <w:t xml:space="preserve">Done at </w:t>
      </w:r>
    </w:p>
    <w:p w:rsidR="00667347" w:rsidRPr="00F97159" w:rsidRDefault="00667347" w:rsidP="00D40769">
      <w:pPr>
        <w:spacing w:before="600" w:after="120" w:line="360" w:lineRule="auto"/>
        <w:rPr>
          <w:i/>
          <w:lang w:val="en-GB"/>
        </w:rPr>
      </w:pPr>
      <w:r w:rsidRPr="00F97159">
        <w:rPr>
          <w:i/>
          <w:lang w:val="en-GB"/>
        </w:rPr>
        <w:t>For the European Parliament</w:t>
      </w:r>
      <w:r w:rsidRPr="00F97159">
        <w:rPr>
          <w:i/>
          <w:lang w:val="en-GB"/>
        </w:rPr>
        <w:tab/>
      </w:r>
      <w:r w:rsidRPr="00F97159">
        <w:rPr>
          <w:i/>
          <w:lang w:val="en-GB"/>
        </w:rPr>
        <w:tab/>
      </w:r>
      <w:r w:rsidRPr="00F97159">
        <w:rPr>
          <w:i/>
          <w:lang w:val="en-GB"/>
        </w:rPr>
        <w:tab/>
      </w:r>
      <w:r w:rsidRPr="00F97159">
        <w:rPr>
          <w:i/>
          <w:lang w:val="en-GB"/>
        </w:rPr>
        <w:tab/>
      </w:r>
      <w:r w:rsidRPr="00F97159">
        <w:rPr>
          <w:i/>
          <w:lang w:val="en-GB"/>
        </w:rPr>
        <w:tab/>
        <w:t>For the Council</w:t>
      </w:r>
    </w:p>
    <w:p w:rsidR="00667347" w:rsidRPr="00364F6F" w:rsidRDefault="00667347" w:rsidP="00667347">
      <w:pPr>
        <w:spacing w:before="120" w:after="120" w:line="360" w:lineRule="auto"/>
        <w:rPr>
          <w:i/>
        </w:rPr>
      </w:pPr>
      <w:r w:rsidRPr="00F97159">
        <w:rPr>
          <w:i/>
        </w:rPr>
        <w:t>The President</w:t>
      </w:r>
      <w:r w:rsidRPr="00F97159">
        <w:rPr>
          <w:i/>
        </w:rPr>
        <w:tab/>
      </w:r>
      <w:r w:rsidRPr="00F97159">
        <w:rPr>
          <w:i/>
        </w:rPr>
        <w:tab/>
      </w:r>
      <w:r w:rsidRPr="00F97159">
        <w:rPr>
          <w:i/>
        </w:rPr>
        <w:tab/>
      </w:r>
      <w:r w:rsidRPr="00F97159">
        <w:rPr>
          <w:i/>
        </w:rPr>
        <w:tab/>
      </w:r>
      <w:r w:rsidRPr="00F97159">
        <w:rPr>
          <w:i/>
        </w:rPr>
        <w:tab/>
      </w:r>
      <w:r w:rsidRPr="00F97159">
        <w:rPr>
          <w:i/>
        </w:rPr>
        <w:tab/>
      </w:r>
      <w:r w:rsidRPr="00F97159">
        <w:rPr>
          <w:i/>
        </w:rPr>
        <w:tab/>
        <w:t>The President</w:t>
      </w:r>
      <w:bookmarkStart w:id="10" w:name="_CopyToNewDocument_"/>
      <w:bookmarkEnd w:id="10"/>
    </w:p>
    <w:p w:rsidR="00667347" w:rsidRPr="003D7E26" w:rsidRDefault="00667347" w:rsidP="00667347">
      <w:pPr>
        <w:spacing w:before="120" w:after="120" w:line="360" w:lineRule="auto"/>
      </w:pPr>
    </w:p>
    <w:p w:rsidR="00E81A11" w:rsidRPr="00E81A11" w:rsidRDefault="00E81A11" w:rsidP="004F752E"/>
    <w:sectPr w:rsidR="00E81A11" w:rsidRPr="00E81A11" w:rsidSect="007701F1">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B2" w:rsidRDefault="00A670B2">
      <w:r>
        <w:separator/>
      </w:r>
    </w:p>
  </w:endnote>
  <w:endnote w:type="continuationSeparator" w:id="0">
    <w:p w:rsidR="00A670B2" w:rsidRDefault="00A6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00"/>
    <w:family w:val="roman"/>
    <w:pitch w:val="variable"/>
    <w:sig w:usb0="E0002AFF" w:usb1="C0007841"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 w:name="Times New Roman Bold Italic">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C4" w:rsidRDefault="004A66C4">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B2" w:rsidRDefault="00A670B2">
      <w:r>
        <w:separator/>
      </w:r>
    </w:p>
  </w:footnote>
  <w:footnote w:type="continuationSeparator" w:id="0">
    <w:p w:rsidR="00A670B2" w:rsidRDefault="00A670B2">
      <w:r>
        <w:continuationSeparator/>
      </w:r>
    </w:p>
  </w:footnote>
  <w:footnote w:id="1">
    <w:p w:rsidR="00000000" w:rsidRDefault="004A66C4" w:rsidP="004A66C4">
      <w:pPr>
        <w:pStyle w:val="FootnoteText"/>
        <w:ind w:left="360" w:hanging="360"/>
      </w:pPr>
      <w:r w:rsidRPr="00460345">
        <w:rPr>
          <w:rStyle w:val="FootnoteReference"/>
        </w:rPr>
        <w:footnoteRef/>
      </w:r>
      <w:r w:rsidRPr="00904710">
        <w:rPr>
          <w:lang w:val="en-GB"/>
        </w:rPr>
        <w:t xml:space="preserve"> </w:t>
      </w:r>
      <w:r w:rsidRPr="00904710">
        <w:rPr>
          <w:lang w:val="en-GB"/>
        </w:rPr>
        <w:tab/>
        <w:t>OJ C 44, 15.2.2013, p. 157.</w:t>
      </w:r>
    </w:p>
  </w:footnote>
  <w:footnote w:id="2">
    <w:p w:rsidR="00000000" w:rsidRDefault="004A66C4" w:rsidP="00667347">
      <w:pPr>
        <w:pStyle w:val="FootnoteText"/>
      </w:pPr>
      <w:r w:rsidRPr="00F97159">
        <w:rPr>
          <w:rStyle w:val="FootnoteReference"/>
        </w:rPr>
        <w:footnoteRef/>
      </w:r>
      <w:r w:rsidRPr="00904710">
        <w:rPr>
          <w:lang w:val="en-GB"/>
        </w:rPr>
        <w:tab/>
        <w:t>OJ C 44, 15.2.2013, p. 157.</w:t>
      </w:r>
    </w:p>
  </w:footnote>
  <w:footnote w:id="3">
    <w:p w:rsidR="00000000" w:rsidRDefault="004A66C4">
      <w:pPr>
        <w:pStyle w:val="FootnoteText"/>
      </w:pPr>
      <w:r w:rsidRPr="00F97159">
        <w:rPr>
          <w:rStyle w:val="FootnoteReference"/>
        </w:rPr>
        <w:footnoteRef/>
      </w:r>
      <w:r w:rsidRPr="00F97159">
        <w:rPr>
          <w:lang w:val="en-GB"/>
        </w:rPr>
        <w:t xml:space="preserve"> </w:t>
      </w:r>
      <w:r w:rsidRPr="00F97159">
        <w:rPr>
          <w:lang w:val="en-GB"/>
        </w:rPr>
        <w:tab/>
        <w:t>Position of the European Parliament of 10 September 2013.</w:t>
      </w:r>
    </w:p>
  </w:footnote>
  <w:footnote w:id="4">
    <w:p w:rsidR="00000000" w:rsidRDefault="004A66C4" w:rsidP="00667347">
      <w:pPr>
        <w:pStyle w:val="FootnoteText"/>
      </w:pPr>
      <w:r w:rsidRPr="00F97159">
        <w:rPr>
          <w:rStyle w:val="FootnoteReference"/>
        </w:rPr>
        <w:footnoteRef/>
      </w:r>
      <w:r w:rsidRPr="00F97159">
        <w:rPr>
          <w:lang w:val="en-GB"/>
        </w:rPr>
        <w:tab/>
        <w:t>Council Regulation (EC) No 2187/2005 of 21 December 2005 for the conservation of fishery through technical measures in the Baltic Sea, the Belts and the Sound</w:t>
      </w:r>
      <w:r w:rsidRPr="00F97159">
        <w:rPr>
          <w:b/>
          <w:bCs/>
          <w:lang w:val="en-GB"/>
        </w:rPr>
        <w:t>, amending Regulation (EC) No 1434/98 and repealing Regulation (EC) No 88/98</w:t>
      </w:r>
      <w:r w:rsidRPr="00F97159">
        <w:rPr>
          <w:lang w:val="en-GB"/>
        </w:rPr>
        <w:t xml:space="preserve"> (OJ L 349, 31.12.2005, p. 1). </w:t>
      </w:r>
    </w:p>
  </w:footnote>
  <w:footnote w:id="5">
    <w:p w:rsidR="00000000" w:rsidRDefault="004A66C4" w:rsidP="006F6BEB">
      <w:pPr>
        <w:pStyle w:val="FootnoteText"/>
        <w:ind w:left="851" w:hanging="851"/>
      </w:pPr>
      <w:r w:rsidRPr="00F97159">
        <w:rPr>
          <w:rStyle w:val="FootnoteReference"/>
          <w:lang w:val="en-GB"/>
        </w:rPr>
        <w:t>*</w:t>
      </w:r>
      <w:r w:rsidRPr="00F97159">
        <w:rPr>
          <w:lang w:val="en-GB"/>
        </w:rPr>
        <w:t xml:space="preserve"> </w:t>
      </w:r>
      <w:r w:rsidRPr="00F97159">
        <w:rPr>
          <w:lang w:val="en-GB"/>
        </w:rPr>
        <w:tab/>
      </w:r>
      <w:r w:rsidR="00AF691E">
        <w:rPr>
          <w:b/>
          <w:i/>
          <w:lang w:val="en-GB"/>
        </w:rPr>
        <w:t>D</w:t>
      </w:r>
      <w:r w:rsidRPr="00F97159">
        <w:rPr>
          <w:b/>
          <w:i/>
          <w:lang w:val="en-GB"/>
        </w:rPr>
        <w:t>ate of entry into force of this Regulation.</w:t>
      </w:r>
    </w:p>
  </w:footnote>
  <w:footnote w:id="6">
    <w:p w:rsidR="00000000" w:rsidRDefault="004A66C4" w:rsidP="006F6BEB">
      <w:pPr>
        <w:pStyle w:val="FootnoteText"/>
        <w:ind w:left="851" w:hanging="851"/>
      </w:pPr>
      <w:r w:rsidRPr="00F97159">
        <w:rPr>
          <w:rStyle w:val="FootnoteReference"/>
          <w:lang w:val="en-GB"/>
        </w:rPr>
        <w:t>*</w:t>
      </w:r>
      <w:r w:rsidRPr="00F97159">
        <w:rPr>
          <w:lang w:val="en-GB"/>
        </w:rPr>
        <w:t xml:space="preserve"> </w:t>
      </w:r>
      <w:r w:rsidRPr="00F97159">
        <w:rPr>
          <w:lang w:val="en-GB"/>
        </w:rPr>
        <w:tab/>
      </w:r>
      <w:r w:rsidRPr="00F97159">
        <w:rPr>
          <w:b/>
          <w:i/>
          <w:lang w:val="en-GB"/>
        </w:rPr>
        <w:t>One year after the entry into force of Regulation (EU) No .../2013 [on the Common Fisheries Policy] (see document 2011/0195(COD)).</w:t>
      </w:r>
    </w:p>
  </w:footnote>
  <w:footnote w:id="7">
    <w:p w:rsidR="00000000" w:rsidRDefault="004A66C4" w:rsidP="0035139A">
      <w:pPr>
        <w:pStyle w:val="FootnoteText"/>
        <w:ind w:left="840" w:hanging="840"/>
      </w:pPr>
      <w:r w:rsidRPr="00F97159">
        <w:rPr>
          <w:rStyle w:val="FootnoteReference"/>
          <w:lang w:val="en-GB"/>
        </w:rPr>
        <w:t>**</w:t>
      </w:r>
      <w:r w:rsidRPr="00F97159">
        <w:rPr>
          <w:lang w:val="en-GB"/>
        </w:rPr>
        <w:t xml:space="preserve"> </w:t>
      </w:r>
      <w:r w:rsidRPr="00F97159">
        <w:rPr>
          <w:lang w:val="en-GB"/>
        </w:rPr>
        <w:tab/>
      </w:r>
      <w:r w:rsidR="00AF691E">
        <w:rPr>
          <w:b/>
          <w:i/>
          <w:lang w:val="en-GB"/>
        </w:rPr>
        <w:t>R</w:t>
      </w:r>
      <w:r w:rsidRPr="00F97159">
        <w:rPr>
          <w:b/>
          <w:i/>
          <w:lang w:val="en-GB"/>
        </w:rPr>
        <w:t>eference to the document in 2011/0195(COD).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11E0EFD"/>
    <w:multiLevelType w:val="singleLevel"/>
    <w:tmpl w:val="04090005"/>
    <w:lvl w:ilvl="0">
      <w:start w:val="1"/>
      <w:numFmt w:val="bullet"/>
      <w:pStyle w:val="NormalBullet"/>
      <w:lvlText w:val=""/>
      <w:lvlJc w:val="left"/>
      <w:pPr>
        <w:tabs>
          <w:tab w:val="num" w:pos="360"/>
        </w:tabs>
        <w:ind w:left="360" w:hanging="360"/>
      </w:pPr>
      <w:rPr>
        <w:rFonts w:ascii="Wingdings" w:hAnsi="Wingdings" w:hint="default"/>
      </w:rPr>
    </w:lvl>
  </w:abstractNum>
  <w:abstractNum w:abstractNumId="11">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4">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8">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4"/>
  </w:num>
  <w:num w:numId="2">
    <w:abstractNumId w:val="13"/>
  </w:num>
  <w:num w:numId="3">
    <w:abstractNumId w:val="12"/>
  </w:num>
  <w:num w:numId="4">
    <w:abstractNumId w:val="11"/>
  </w:num>
  <w:num w:numId="5">
    <w:abstractNumId w:val="17"/>
  </w:num>
  <w:num w:numId="6">
    <w:abstractNumId w:val="16"/>
  </w:num>
  <w:num w:numId="7">
    <w:abstractNumId w:val="15"/>
  </w:num>
  <w:num w:numId="8">
    <w:abstractNumId w:val="18"/>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259/2013"/>
    <w:docVar w:name="dvlangue" w:val="EN"/>
    <w:docVar w:name="dvnumam" w:val="0"/>
    <w:docVar w:name="dvpe" w:val="508.045"/>
    <w:docVar w:name="dvrapporteur" w:val="Rapporteur: "/>
    <w:docVar w:name="dvtitre" w:val="European Parliament legislative resolution of xx Xxxx 2013 on the proposal for a regulation of the European Parliament and of the Council amending Council Regulation (EC) No 2187/2005 for the conservation of fishery through technical measures in the Baltic Sea, the Belts and the Sound(COM(2012)0591 – C7-0332/2012 – 2012/0285(COD))"/>
  </w:docVars>
  <w:rsids>
    <w:rsidRoot w:val="004E18D9"/>
    <w:rsid w:val="0003376F"/>
    <w:rsid w:val="00230FC8"/>
    <w:rsid w:val="00241864"/>
    <w:rsid w:val="002A239C"/>
    <w:rsid w:val="0035139A"/>
    <w:rsid w:val="00364F6F"/>
    <w:rsid w:val="003D7E26"/>
    <w:rsid w:val="00460345"/>
    <w:rsid w:val="004A66C4"/>
    <w:rsid w:val="004C1126"/>
    <w:rsid w:val="004C61CC"/>
    <w:rsid w:val="004E06E8"/>
    <w:rsid w:val="004E18D9"/>
    <w:rsid w:val="004F752E"/>
    <w:rsid w:val="00544E43"/>
    <w:rsid w:val="005F6B92"/>
    <w:rsid w:val="00667347"/>
    <w:rsid w:val="0068013F"/>
    <w:rsid w:val="006F6BEB"/>
    <w:rsid w:val="0071233B"/>
    <w:rsid w:val="007701F1"/>
    <w:rsid w:val="0083145A"/>
    <w:rsid w:val="008526C9"/>
    <w:rsid w:val="0087650E"/>
    <w:rsid w:val="00897578"/>
    <w:rsid w:val="00904710"/>
    <w:rsid w:val="00A66BC0"/>
    <w:rsid w:val="00A670B2"/>
    <w:rsid w:val="00AF438F"/>
    <w:rsid w:val="00AF691E"/>
    <w:rsid w:val="00B040F1"/>
    <w:rsid w:val="00BC6A81"/>
    <w:rsid w:val="00BD463F"/>
    <w:rsid w:val="00BD4A35"/>
    <w:rsid w:val="00C40795"/>
    <w:rsid w:val="00CE21EB"/>
    <w:rsid w:val="00CF05A9"/>
    <w:rsid w:val="00D06D7D"/>
    <w:rsid w:val="00D40769"/>
    <w:rsid w:val="00D94DCB"/>
    <w:rsid w:val="00DA296D"/>
    <w:rsid w:val="00DB7D0A"/>
    <w:rsid w:val="00E81A11"/>
    <w:rsid w:val="00EB6398"/>
    <w:rsid w:val="00F9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fr-FR"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fr-FR"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fr-FR"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fr-FR"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fr-FR" w:eastAsia="x-none"/>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locked/>
    <w:rPr>
      <w:rFonts w:cs="Times New Roman"/>
      <w:sz w:val="24"/>
      <w:lang w:val="fr-FR" w:eastAsia="x-none"/>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locked/>
    <w:rPr>
      <w:rFonts w:cs="Times New Roman"/>
      <w:lang w:val="fr-FR" w:eastAsia="x-none"/>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locked/>
    <w:rPr>
      <w:rFonts w:cs="Times New Roman"/>
      <w:sz w:val="24"/>
      <w:lang w:val="fr-FR" w:eastAsia="x-none"/>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E81A11"/>
    <w:pPr>
      <w:widowControl w:val="0"/>
      <w:spacing w:after="240"/>
    </w:pPr>
    <w:rPr>
      <w:lang w:val="en-GB"/>
    </w:rPr>
  </w:style>
  <w:style w:type="paragraph" w:customStyle="1" w:styleId="Normal6">
    <w:name w:val="Normal6"/>
    <w:basedOn w:val="Normal"/>
    <w:rsid w:val="00E81A11"/>
    <w:pPr>
      <w:widowControl w:val="0"/>
      <w:spacing w:after="120"/>
    </w:pPr>
    <w:rPr>
      <w:lang w:val="en-GB"/>
    </w:rPr>
  </w:style>
  <w:style w:type="paragraph" w:customStyle="1" w:styleId="NormalBold">
    <w:name w:val="NormalBold"/>
    <w:basedOn w:val="Normal"/>
    <w:rsid w:val="00E81A11"/>
    <w:pPr>
      <w:widowControl w:val="0"/>
    </w:pPr>
    <w:rPr>
      <w:b/>
      <w:lang w:val="en-GB"/>
    </w:rPr>
  </w:style>
  <w:style w:type="paragraph" w:customStyle="1" w:styleId="Normal12Bold">
    <w:name w:val="Normal12Bold"/>
    <w:basedOn w:val="Normal12"/>
    <w:rsid w:val="00E81A11"/>
    <w:rPr>
      <w:b/>
    </w:rPr>
  </w:style>
  <w:style w:type="paragraph" w:customStyle="1" w:styleId="Normal12Italic">
    <w:name w:val="Normal12Italic"/>
    <w:basedOn w:val="Normal"/>
    <w:rsid w:val="00E81A11"/>
    <w:pPr>
      <w:widowControl w:val="0"/>
      <w:spacing w:before="240"/>
    </w:pPr>
    <w:rPr>
      <w:i/>
      <w:lang w:val="en-GB"/>
    </w:rPr>
  </w:style>
  <w:style w:type="paragraph" w:customStyle="1" w:styleId="Normal12Hanging">
    <w:name w:val="Normal12Hanging"/>
    <w:basedOn w:val="Normal12"/>
    <w:rsid w:val="00E81A11"/>
    <w:pPr>
      <w:ind w:left="357" w:hanging="357"/>
    </w:pPr>
  </w:style>
  <w:style w:type="paragraph" w:customStyle="1" w:styleId="JustificationTitle">
    <w:name w:val="JustificationTitle"/>
    <w:basedOn w:val="Normal"/>
    <w:next w:val="Normal12"/>
    <w:rsid w:val="00E81A11"/>
    <w:pPr>
      <w:keepNext/>
      <w:widowControl w:val="0"/>
      <w:spacing w:before="240"/>
      <w:jc w:val="center"/>
    </w:pPr>
    <w:rPr>
      <w:i/>
      <w:lang w:val="en-GB"/>
    </w:rPr>
  </w:style>
  <w:style w:type="paragraph" w:customStyle="1" w:styleId="ColumnHeading">
    <w:name w:val="ColumnHeading"/>
    <w:basedOn w:val="Normal"/>
    <w:rsid w:val="00E81A11"/>
    <w:pPr>
      <w:widowControl w:val="0"/>
      <w:spacing w:after="240"/>
      <w:jc w:val="center"/>
    </w:pPr>
    <w:rPr>
      <w:i/>
      <w:lang w:val="en-GB"/>
    </w:rPr>
  </w:style>
  <w:style w:type="paragraph" w:customStyle="1" w:styleId="AMNumberTabs">
    <w:name w:val="AMNumberTabs"/>
    <w:basedOn w:val="Normal"/>
    <w:rsid w:val="00E81A11"/>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en-GB"/>
    </w:rPr>
  </w:style>
  <w:style w:type="paragraph" w:customStyle="1" w:styleId="NormalBold12b">
    <w:name w:val="NormalBold12b"/>
    <w:basedOn w:val="Normal"/>
    <w:rsid w:val="00E81A11"/>
    <w:pPr>
      <w:widowControl w:val="0"/>
      <w:spacing w:before="240"/>
    </w:pPr>
    <w:rPr>
      <w:b/>
      <w:lang w:val="en-GB"/>
    </w:rPr>
  </w:style>
  <w:style w:type="paragraph" w:customStyle="1" w:styleId="Typedudocument">
    <w:name w:val="Type du document"/>
    <w:basedOn w:val="Normal"/>
    <w:next w:val="Normal"/>
    <w:rsid w:val="004E06E8"/>
    <w:pPr>
      <w:autoSpaceDE w:val="0"/>
      <w:autoSpaceDN w:val="0"/>
      <w:adjustRightInd w:val="0"/>
      <w:spacing w:before="360"/>
      <w:jc w:val="center"/>
    </w:pPr>
    <w:rPr>
      <w:b/>
      <w:bCs/>
      <w:szCs w:val="24"/>
      <w:lang w:val="en-GB" w:eastAsia="fr-BE"/>
    </w:rPr>
  </w:style>
  <w:style w:type="paragraph" w:styleId="BalloonText">
    <w:name w:val="Balloon Text"/>
    <w:basedOn w:val="Normal"/>
    <w:link w:val="BalloonTextChar"/>
    <w:uiPriority w:val="99"/>
    <w:semiHidden/>
    <w:rsid w:val="006F6BE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fr-FR" w:eastAsia="x-none"/>
    </w:rPr>
  </w:style>
  <w:style w:type="paragraph" w:styleId="Index1">
    <w:name w:val="index 1"/>
    <w:basedOn w:val="Normal"/>
    <w:next w:val="Normal"/>
    <w:autoRedefine/>
    <w:uiPriority w:val="99"/>
    <w:semiHidden/>
    <w:rsid w:val="002A239C"/>
    <w:pPr>
      <w:ind w:left="240" w:hanging="240"/>
    </w:pPr>
  </w:style>
  <w:style w:type="paragraph" w:styleId="IndexHeading">
    <w:name w:val="index heading"/>
    <w:basedOn w:val="Normal"/>
    <w:next w:val="Index1"/>
    <w:uiPriority w:val="99"/>
    <w:semiHidden/>
    <w:rsid w:val="002A239C"/>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style>
  <w:style w:type="paragraph" w:customStyle="1" w:styleId="Titre2">
    <w:name w:val="Titre2"/>
    <w:basedOn w:val="Normal"/>
    <w:rsid w:val="002A239C"/>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rPr>
  </w:style>
  <w:style w:type="paragraph" w:styleId="BlockText">
    <w:name w:val="Block Text"/>
    <w:basedOn w:val="Normal"/>
    <w:uiPriority w:val="99"/>
    <w:rsid w:val="002A239C"/>
    <w:pPr>
      <w:tabs>
        <w:tab w:val="left" w:pos="-1134"/>
        <w:tab w:val="left" w:pos="-114"/>
        <w:tab w:val="left" w:pos="739"/>
        <w:tab w:val="left" w:pos="1021"/>
        <w:tab w:val="left" w:pos="1099"/>
        <w:tab w:val="left" w:pos="1418"/>
        <w:tab w:val="left" w:pos="1700"/>
        <w:tab w:val="left" w:pos="1786"/>
        <w:tab w:val="left" w:pos="2266"/>
        <w:tab w:val="left" w:pos="2381"/>
        <w:tab w:val="left" w:pos="2833"/>
        <w:tab w:val="left" w:pos="2948"/>
        <w:tab w:val="left" w:pos="3399"/>
        <w:tab w:val="left" w:pos="3572"/>
        <w:tab w:val="left" w:pos="3966"/>
        <w:tab w:val="left" w:pos="4139"/>
        <w:tab w:val="left" w:pos="4532"/>
        <w:tab w:val="left" w:pos="4763"/>
        <w:tab w:val="left" w:pos="5098"/>
        <w:tab w:val="left" w:pos="5387"/>
        <w:tab w:val="left" w:pos="5665"/>
        <w:tab w:val="left" w:pos="5954"/>
        <w:tab w:val="left" w:pos="6231"/>
        <w:tab w:val="left" w:pos="6577"/>
        <w:tab w:val="left" w:pos="6798"/>
        <w:tab w:val="left" w:pos="7144"/>
        <w:tab w:val="left" w:pos="7364"/>
        <w:tab w:val="left" w:pos="7930"/>
      </w:tabs>
      <w:ind w:left="1700" w:right="1700"/>
    </w:pPr>
  </w:style>
  <w:style w:type="paragraph" w:styleId="BodyTextIndent">
    <w:name w:val="Body Text Indent"/>
    <w:basedOn w:val="Normal"/>
    <w:link w:val="BodyTextIndentChar"/>
    <w:uiPriority w:val="99"/>
    <w:rsid w:val="002A239C"/>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rPr>
  </w:style>
  <w:style w:type="character" w:customStyle="1" w:styleId="BodyTextIndentChar">
    <w:name w:val="Body Text Indent Char"/>
    <w:basedOn w:val="DefaultParagraphFont"/>
    <w:link w:val="BodyTextIndent"/>
    <w:uiPriority w:val="99"/>
    <w:semiHidden/>
    <w:locked/>
    <w:rPr>
      <w:rFonts w:cs="Times New Roman"/>
      <w:sz w:val="24"/>
      <w:lang w:val="fr-FR" w:eastAsia="x-none"/>
    </w:rPr>
  </w:style>
  <w:style w:type="paragraph" w:customStyle="1" w:styleId="NormalBullet">
    <w:name w:val="Normal Bullet"/>
    <w:basedOn w:val="Normal"/>
    <w:rsid w:val="002A239C"/>
    <w:pPr>
      <w:numPr>
        <w:numId w:val="20"/>
      </w:numPr>
      <w:tabs>
        <w:tab w:val="clear" w:pos="360"/>
        <w:tab w:val="left" w:pos="284"/>
      </w:tabs>
      <w:spacing w:after="120"/>
      <w:ind w:left="284" w:hanging="284"/>
      <w:jc w:val="both"/>
    </w:pPr>
    <w:rPr>
      <w:lang w:val="en-US"/>
    </w:rPr>
  </w:style>
  <w:style w:type="table" w:styleId="TableGrid">
    <w:name w:val="Table Grid"/>
    <w:basedOn w:val="TableNormal"/>
    <w:link w:val="Normal120"/>
    <w:uiPriority w:val="59"/>
    <w:rsid w:val="002A239C"/>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0">
    <w:name w:val="Normal 12"/>
    <w:basedOn w:val="Normal"/>
    <w:link w:val="TableGrid"/>
    <w:rsid w:val="002A239C"/>
    <w:pPr>
      <w:tabs>
        <w:tab w:val="left" w:pos="-720"/>
      </w:tabs>
    </w:pPr>
    <w:rPr>
      <w:szCs w:val="24"/>
      <w:lang w:val="en-GB"/>
    </w:rPr>
  </w:style>
  <w:style w:type="character" w:customStyle="1" w:styleId="HideTWBExt">
    <w:name w:val="HideTWBExt"/>
    <w:rsid w:val="002A239C"/>
    <w:rPr>
      <w:rFonts w:ascii="Arial" w:hAnsi="Arial"/>
      <w:noProof/>
      <w:vanish/>
      <w:color w:val="000080"/>
      <w:sz w:val="20"/>
    </w:rPr>
  </w:style>
  <w:style w:type="paragraph" w:customStyle="1" w:styleId="ZCommittee">
    <w:name w:val="ZCommittee"/>
    <w:basedOn w:val="Normal"/>
    <w:next w:val="Normal"/>
    <w:rsid w:val="002A239C"/>
    <w:pPr>
      <w:widowControl w:val="0"/>
      <w:jc w:val="center"/>
    </w:pPr>
    <w:rPr>
      <w:rFonts w:ascii="Arial" w:hAnsi="Arial" w:cs="Arial"/>
      <w:i/>
      <w:sz w:val="22"/>
      <w:szCs w:val="22"/>
    </w:rPr>
  </w:style>
  <w:style w:type="paragraph" w:customStyle="1" w:styleId="LineTop">
    <w:name w:val="LineTop"/>
    <w:basedOn w:val="Normal"/>
    <w:next w:val="ZCommittee"/>
    <w:rsid w:val="002A239C"/>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2A239C"/>
    <w:pPr>
      <w:widowControl w:val="0"/>
      <w:pBdr>
        <w:bottom w:val="single" w:sz="4" w:space="1" w:color="auto"/>
      </w:pBdr>
      <w:spacing w:after="840"/>
      <w:jc w:val="center"/>
    </w:pPr>
    <w:rPr>
      <w:rFonts w:ascii="Arial" w:hAnsi="Arial"/>
      <w:sz w:val="16"/>
      <w:szCs w:val="16"/>
      <w:lang w:val="en-GB"/>
    </w:rPr>
  </w:style>
  <w:style w:type="paragraph" w:customStyle="1" w:styleId="PELeft">
    <w:name w:val="PELeft"/>
    <w:basedOn w:val="Normal"/>
    <w:rsid w:val="002A239C"/>
    <w:pPr>
      <w:widowControl w:val="0"/>
      <w:spacing w:before="40" w:after="40"/>
    </w:pPr>
    <w:rPr>
      <w:rFonts w:ascii="Arial" w:hAnsi="Arial" w:cs="Arial"/>
      <w:sz w:val="22"/>
      <w:szCs w:val="22"/>
    </w:rPr>
  </w:style>
  <w:style w:type="paragraph" w:customStyle="1" w:styleId="PERight">
    <w:name w:val="PERight"/>
    <w:basedOn w:val="Normal"/>
    <w:next w:val="Normal"/>
    <w:rsid w:val="002A239C"/>
    <w:pPr>
      <w:widowControl w:val="0"/>
      <w:jc w:val="right"/>
    </w:pPr>
    <w:rPr>
      <w:rFonts w:ascii="Arial" w:hAnsi="Arial" w:cs="Arial"/>
      <w:sz w:val="22"/>
      <w:szCs w:val="22"/>
    </w:rPr>
  </w:style>
  <w:style w:type="paragraph" w:customStyle="1" w:styleId="Text1">
    <w:name w:val="Text 1"/>
    <w:basedOn w:val="Normal"/>
    <w:link w:val="Text1Char"/>
    <w:rsid w:val="00904710"/>
    <w:pPr>
      <w:spacing w:before="120" w:after="120"/>
      <w:ind w:left="850"/>
      <w:jc w:val="both"/>
    </w:pPr>
    <w:rPr>
      <w:szCs w:val="24"/>
      <w:lang w:eastAsia="en-US"/>
    </w:rPr>
  </w:style>
  <w:style w:type="character" w:customStyle="1" w:styleId="Text1Char">
    <w:name w:val="Text 1 Char"/>
    <w:link w:val="Text1"/>
    <w:locked/>
    <w:rsid w:val="00904710"/>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LUX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0</TotalTime>
  <Pages>8</Pages>
  <Words>1235</Words>
  <Characters>6564</Characters>
  <Application>Microsoft Office Word</Application>
  <DocSecurity>0</DocSecurity>
  <Lines>54</Lines>
  <Paragraphs>15</Paragraphs>
  <ScaleCrop>false</ScaleCrop>
  <Company>European Parliament</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truff</dc:creator>
  <cp:keywords/>
  <dc:description/>
  <cp:lastModifiedBy>PETITDEMANGE Antoine</cp:lastModifiedBy>
  <cp:revision>2</cp:revision>
  <cp:lastPrinted>1999-02-24T08:24:00Z</cp:lastPrinted>
  <dcterms:created xsi:type="dcterms:W3CDTF">2014-11-25T15:05:00Z</dcterms:created>
  <dcterms:modified xsi:type="dcterms:W3CDTF">2014-11-25T15:05:00Z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P7_TA(2013)0343_</vt:lpwstr>
  </property>
  <property fmtid="{D5CDD505-2E9C-101B-9397-08002B2CF9AE}" pid="4" name="&lt;Type&gt;">
    <vt:lpwstr>RR</vt:lpwstr>
  </property>
</Properties>
</file>