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251EB" w:rsidRPr="005D1F3B" w:rsidTr="00F539E4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251EB" w:rsidRPr="005D1F3B" w:rsidRDefault="005D1F3B" w:rsidP="00F539E4">
            <w:pPr>
              <w:pStyle w:val="EPName"/>
              <w:rPr>
                <w:lang w:val="fi-FI"/>
              </w:rPr>
            </w:pPr>
            <w:bookmarkStart w:id="0" w:name="_GoBack"/>
            <w:bookmarkEnd w:id="0"/>
            <w:r w:rsidRPr="005D1F3B">
              <w:rPr>
                <w:lang w:val="fi-FI"/>
              </w:rPr>
              <w:t>Euroopan parlamentti</w:t>
            </w:r>
          </w:p>
          <w:p w:rsidR="004251EB" w:rsidRPr="00A86A3E" w:rsidRDefault="00A86A3E" w:rsidP="00A86A3E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fi-FI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4251EB" w:rsidRPr="005D1F3B" w:rsidRDefault="00055F95" w:rsidP="00F539E4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450D54" w:rsidRPr="005D1F3B" w:rsidRDefault="00450D54" w:rsidP="00450D54">
      <w:pPr>
        <w:pStyle w:val="LineTop"/>
        <w:rPr>
          <w:lang w:val="fi-FI"/>
        </w:rPr>
      </w:pPr>
    </w:p>
    <w:p w:rsidR="00450D54" w:rsidRPr="005D1F3B" w:rsidRDefault="005D1F3B" w:rsidP="00450D54">
      <w:pPr>
        <w:pStyle w:val="ZSessionDoc"/>
      </w:pPr>
      <w:r w:rsidRPr="005D1F3B">
        <w:t>Istuntoasiakirja</w:t>
      </w:r>
    </w:p>
    <w:p w:rsidR="00450D54" w:rsidRPr="005D1F3B" w:rsidRDefault="00450D54" w:rsidP="00450D54">
      <w:pPr>
        <w:pStyle w:val="LineBottom"/>
      </w:pPr>
    </w:p>
    <w:p w:rsidR="008B31F4" w:rsidRPr="005D1F3B" w:rsidRDefault="008B31F4" w:rsidP="008B31F4">
      <w:pPr>
        <w:pStyle w:val="ZDateAdd"/>
      </w:pPr>
      <w:r w:rsidRPr="005D1F3B">
        <w:rPr>
          <w:rStyle w:val="HideTWBExt"/>
          <w:noProof w:val="0"/>
        </w:rPr>
        <w:t>&lt;</w:t>
      </w:r>
      <w:proofErr w:type="spellStart"/>
      <w:r w:rsidRPr="005D1F3B">
        <w:rPr>
          <w:rStyle w:val="HideTWBExt"/>
          <w:noProof w:val="0"/>
        </w:rPr>
        <w:t>Date</w:t>
      </w:r>
      <w:proofErr w:type="spellEnd"/>
      <w:r w:rsidRPr="005D1F3B">
        <w:rPr>
          <w:rStyle w:val="HideTWBExt"/>
          <w:noProof w:val="0"/>
        </w:rPr>
        <w:t>&gt;</w:t>
      </w:r>
      <w:r w:rsidR="00A86A3E" w:rsidRPr="00A86A3E">
        <w:rPr>
          <w:rStyle w:val="HideTWBInt"/>
        </w:rPr>
        <w:t>{06/09/2016}</w:t>
      </w:r>
      <w:r w:rsidR="00A86A3E">
        <w:t>6.9.2016</w:t>
      </w:r>
      <w:r w:rsidRPr="005D1F3B">
        <w:rPr>
          <w:rStyle w:val="HideTWBExt"/>
          <w:noProof w:val="0"/>
        </w:rPr>
        <w:t>&lt;/</w:t>
      </w:r>
      <w:proofErr w:type="spellStart"/>
      <w:r w:rsidRPr="005D1F3B">
        <w:rPr>
          <w:rStyle w:val="HideTWBExt"/>
          <w:noProof w:val="0"/>
        </w:rPr>
        <w:t>Date</w:t>
      </w:r>
      <w:proofErr w:type="spellEnd"/>
      <w:r w:rsidRPr="005D1F3B">
        <w:rPr>
          <w:rStyle w:val="HideTWBExt"/>
          <w:noProof w:val="0"/>
        </w:rPr>
        <w:t>&gt;</w:t>
      </w:r>
      <w:r w:rsidR="00EE3C2C" w:rsidRPr="005D1F3B">
        <w:tab/>
      </w:r>
      <w:r w:rsidR="005D1F3B" w:rsidRPr="005D1F3B">
        <w:t>cor</w:t>
      </w:r>
      <w:r w:rsidR="00A86A3E" w:rsidRPr="00A86A3E">
        <w:t>01</w:t>
      </w:r>
    </w:p>
    <w:p w:rsidR="008B31F4" w:rsidRPr="005D1F3B" w:rsidRDefault="00FC7D10" w:rsidP="008B31F4">
      <w:pPr>
        <w:pStyle w:val="DocType"/>
      </w:pPr>
      <w:r w:rsidRPr="005D1F3B">
        <w:rPr>
          <w:rStyle w:val="HideTWBExt"/>
          <w:noProof w:val="0"/>
        </w:rPr>
        <w:t>&lt;</w:t>
      </w:r>
      <w:proofErr w:type="spellStart"/>
      <w:r w:rsidRPr="005D1F3B">
        <w:rPr>
          <w:rStyle w:val="HideTWBExt"/>
          <w:b w:val="0"/>
          <w:noProof w:val="0"/>
        </w:rPr>
        <w:t>TitreType</w:t>
      </w:r>
      <w:proofErr w:type="spellEnd"/>
      <w:r w:rsidRPr="005D1F3B">
        <w:rPr>
          <w:rStyle w:val="HideTWBExt"/>
          <w:noProof w:val="0"/>
        </w:rPr>
        <w:t>&gt;</w:t>
      </w:r>
      <w:r w:rsidR="005D1F3B" w:rsidRPr="005D1F3B">
        <w:t>OIKAISU</w:t>
      </w:r>
      <w:r w:rsidRPr="005D1F3B">
        <w:rPr>
          <w:rStyle w:val="HideTWBExt"/>
          <w:noProof w:val="0"/>
        </w:rPr>
        <w:t>&lt;/</w:t>
      </w:r>
      <w:proofErr w:type="spellStart"/>
      <w:r w:rsidRPr="005D1F3B">
        <w:rPr>
          <w:rStyle w:val="HideTWBExt"/>
          <w:b w:val="0"/>
          <w:noProof w:val="0"/>
        </w:rPr>
        <w:t>TitreType</w:t>
      </w:r>
      <w:proofErr w:type="spellEnd"/>
      <w:r w:rsidRPr="005D1F3B">
        <w:rPr>
          <w:rStyle w:val="HideTWBExt"/>
          <w:noProof w:val="0"/>
        </w:rPr>
        <w:t>&gt;</w:t>
      </w:r>
    </w:p>
    <w:p w:rsidR="009C551C" w:rsidRPr="005D1F3B" w:rsidRDefault="009C551C" w:rsidP="009C551C">
      <w:pPr>
        <w:pStyle w:val="NormalCentre"/>
      </w:pPr>
      <w:r w:rsidRPr="005D1F3B">
        <w:rPr>
          <w:rStyle w:val="HideTWBExt"/>
          <w:noProof w:val="0"/>
        </w:rPr>
        <w:t>&lt;</w:t>
      </w:r>
      <w:proofErr w:type="spellStart"/>
      <w:r w:rsidRPr="005D1F3B">
        <w:rPr>
          <w:rStyle w:val="HideTWBExt"/>
          <w:noProof w:val="0"/>
        </w:rPr>
        <w:t>Titre</w:t>
      </w:r>
      <w:proofErr w:type="spellEnd"/>
      <w:r w:rsidRPr="005D1F3B">
        <w:rPr>
          <w:rStyle w:val="HideTWBExt"/>
          <w:noProof w:val="0"/>
        </w:rPr>
        <w:t>&gt;</w:t>
      </w:r>
      <w:r w:rsidR="00A86A3E">
        <w:t>ensimmäisessä käsittelyssä 5. heinäkuuta 2016 vahvistettuun Euroopan parlamentin kantaan Euroopan parlamentin ja neuvoston asetuksen (EU) 2016/… antamiseksi liikkuviin työkoneisiin tarkoitettujen polttomoottoreiden kaasu- ja hiukkaspäästöjen raja-arvoihin ja tyyppihyväksyntään liittyvistä vaatimuksista, asetusten (EU) N:o 1024/2012 ja (EU) N:o 167/2013 muuttamisesta ja direktiivin 97/68/EY muuttamisesta ja kumoamisesta</w:t>
      </w:r>
      <w:r w:rsidRPr="005D1F3B">
        <w:rPr>
          <w:rStyle w:val="HideTWBExt"/>
          <w:noProof w:val="0"/>
        </w:rPr>
        <w:t>&lt;/</w:t>
      </w:r>
      <w:proofErr w:type="spellStart"/>
      <w:r w:rsidRPr="005D1F3B">
        <w:rPr>
          <w:rStyle w:val="HideTWBExt"/>
          <w:noProof w:val="0"/>
        </w:rPr>
        <w:t>Titre</w:t>
      </w:r>
      <w:proofErr w:type="spellEnd"/>
      <w:r w:rsidRPr="005D1F3B">
        <w:rPr>
          <w:rStyle w:val="HideTWBExt"/>
          <w:noProof w:val="0"/>
        </w:rPr>
        <w:t>&gt;</w:t>
      </w:r>
    </w:p>
    <w:p w:rsidR="009C551C" w:rsidRDefault="00A86A3E" w:rsidP="009C551C">
      <w:pPr>
        <w:pStyle w:val="NormalCentre"/>
        <w:rPr>
          <w:lang w:val="pt-PT"/>
        </w:rPr>
      </w:pPr>
      <w:r w:rsidRPr="00A86A3E">
        <w:rPr>
          <w:lang w:val="pt-PT"/>
        </w:rPr>
        <w:t xml:space="preserve">P8_TA-PROV(2016)0296 </w:t>
      </w:r>
    </w:p>
    <w:p w:rsidR="00A86A3E" w:rsidRPr="00A86A3E" w:rsidRDefault="00A86A3E" w:rsidP="00A86A3E">
      <w:pPr>
        <w:pStyle w:val="Normal12Centre"/>
        <w:rPr>
          <w:lang w:val="pt-PT"/>
        </w:rPr>
      </w:pPr>
    </w:p>
    <w:p w:rsidR="009C551C" w:rsidRPr="00A86A3E" w:rsidRDefault="009C551C" w:rsidP="009C551C">
      <w:pPr>
        <w:pStyle w:val="NormalCentre"/>
        <w:rPr>
          <w:lang w:val="pt-PT"/>
        </w:rPr>
      </w:pPr>
      <w:r w:rsidRPr="00A86A3E">
        <w:rPr>
          <w:rStyle w:val="HideTWBExt"/>
          <w:noProof w:val="0"/>
          <w:lang w:val="pt-PT"/>
        </w:rPr>
        <w:t>&lt;</w:t>
      </w:r>
      <w:proofErr w:type="spellStart"/>
      <w:r w:rsidRPr="00A86A3E">
        <w:rPr>
          <w:rStyle w:val="HideTWBExt"/>
          <w:noProof w:val="0"/>
          <w:lang w:val="pt-PT"/>
        </w:rPr>
        <w:t>DocRef</w:t>
      </w:r>
      <w:proofErr w:type="spellEnd"/>
      <w:r w:rsidRPr="00A86A3E">
        <w:rPr>
          <w:rStyle w:val="HideTWBExt"/>
          <w:noProof w:val="0"/>
          <w:lang w:val="pt-PT"/>
        </w:rPr>
        <w:t>&gt;</w:t>
      </w:r>
      <w:r w:rsidR="00A86A3E" w:rsidRPr="00A86A3E">
        <w:rPr>
          <w:lang w:val="pt-PT"/>
        </w:rPr>
        <w:t>(COM(2014)0581 – C8-0168/2014 – 2014/0268(COD))</w:t>
      </w:r>
      <w:r w:rsidRPr="00A86A3E">
        <w:rPr>
          <w:rStyle w:val="HideTWBExt"/>
          <w:noProof w:val="0"/>
          <w:lang w:val="pt-PT"/>
        </w:rPr>
        <w:t>&lt;/</w:t>
      </w:r>
      <w:proofErr w:type="spellStart"/>
      <w:r w:rsidRPr="00A86A3E">
        <w:rPr>
          <w:rStyle w:val="HideTWBExt"/>
          <w:noProof w:val="0"/>
          <w:lang w:val="pt-PT"/>
        </w:rPr>
        <w:t>DocRef</w:t>
      </w:r>
      <w:proofErr w:type="spellEnd"/>
      <w:r w:rsidRPr="00A86A3E">
        <w:rPr>
          <w:rStyle w:val="HideTWBExt"/>
          <w:noProof w:val="0"/>
          <w:lang w:val="pt-PT"/>
        </w:rPr>
        <w:t>&gt;</w:t>
      </w:r>
    </w:p>
    <w:p w:rsidR="009E4A8C" w:rsidRPr="00A86A3E" w:rsidRDefault="009E4A8C" w:rsidP="009E4A8C">
      <w:pPr>
        <w:pBdr>
          <w:bottom w:val="single" w:sz="4" w:space="1" w:color="auto"/>
        </w:pBdr>
        <w:rPr>
          <w:lang w:val="pt-PT"/>
        </w:rPr>
      </w:pPr>
    </w:p>
    <w:p w:rsidR="009E4A8C" w:rsidRPr="005D1F3B" w:rsidRDefault="005D1F3B" w:rsidP="00F30D89">
      <w:pPr>
        <w:pStyle w:val="Normal24a12b"/>
      </w:pPr>
      <w:r w:rsidRPr="005D1F3B">
        <w:t xml:space="preserve">Oikaistaan Euroopan parlamentin työjärjestyksen 231 artiklan mukaisesti edellä mainittu </w:t>
      </w:r>
      <w:bookmarkStart w:id="1" w:name="DocEPTmp"/>
      <w:bookmarkEnd w:id="1"/>
      <w:r w:rsidR="00A86A3E">
        <w:t>kanta</w:t>
      </w:r>
      <w:bookmarkStart w:id="2" w:name="DocEPTmp2"/>
      <w:bookmarkEnd w:id="2"/>
      <w:r w:rsidRPr="005D1F3B">
        <w:t xml:space="preserve"> seuraavasti:</w:t>
      </w:r>
    </w:p>
    <w:p w:rsidR="00A86A3E" w:rsidRPr="00CB6ECB" w:rsidRDefault="00A86A3E" w:rsidP="00A86A3E">
      <w:pPr>
        <w:pStyle w:val="Correctionpage"/>
        <w:spacing w:line="240" w:lineRule="auto"/>
        <w:rPr>
          <w:u w:val="none"/>
          <w:lang w:val="fi-FI"/>
        </w:rPr>
      </w:pPr>
      <w:r w:rsidRPr="00CB6ECB">
        <w:rPr>
          <w:u w:val="none"/>
          <w:lang w:val="fi-FI"/>
        </w:rPr>
        <w:t xml:space="preserve">Sivulla 137, 63 artiklan 2 kohdassa, asetuksen </w:t>
      </w:r>
      <w:r>
        <w:rPr>
          <w:u w:val="none"/>
          <w:lang w:val="fi-FI"/>
        </w:rPr>
        <w:t>(EU) N:o 167/2013 19 artiklan 6 </w:t>
      </w:r>
      <w:r w:rsidRPr="00CB6ECB">
        <w:rPr>
          <w:u w:val="none"/>
          <w:lang w:val="fi-FI"/>
        </w:rPr>
        <w:t>kohdan kolmannen alakohdan b alakohtaa</w:t>
      </w:r>
      <w:r>
        <w:rPr>
          <w:u w:val="none"/>
          <w:lang w:val="fi-FI"/>
        </w:rPr>
        <w:t xml:space="preserve"> koskien</w:t>
      </w:r>
      <w:r w:rsidRPr="00CB6ECB">
        <w:rPr>
          <w:u w:val="none"/>
          <w:lang w:val="fi-FI"/>
        </w:rPr>
        <w:t>:</w:t>
      </w:r>
    </w:p>
    <w:p w:rsidR="00A86A3E" w:rsidRPr="004A51C1" w:rsidRDefault="00A86A3E" w:rsidP="00A86A3E">
      <w:pPr>
        <w:pStyle w:val="Correctionfortitle"/>
        <w:spacing w:line="240" w:lineRule="auto"/>
        <w:rPr>
          <w:lang w:val="fi-FI"/>
        </w:rPr>
      </w:pPr>
      <w:r>
        <w:rPr>
          <w:i/>
          <w:iCs/>
          <w:lang w:val="fi-FI"/>
        </w:rPr>
        <w:t>on:</w:t>
      </w:r>
    </w:p>
    <w:p w:rsidR="00A86A3E" w:rsidRPr="004A51C1" w:rsidRDefault="00A86A3E" w:rsidP="00A86A3E">
      <w:pPr>
        <w:pStyle w:val="Correctionfortext"/>
        <w:spacing w:line="240" w:lineRule="auto"/>
        <w:ind w:left="720" w:hanging="720"/>
        <w:rPr>
          <w:lang w:val="fi-FI"/>
        </w:rPr>
      </w:pPr>
      <w:r>
        <w:rPr>
          <w:lang w:val="fi-FI"/>
        </w:rPr>
        <w:t>"</w:t>
      </w:r>
      <w:r w:rsidRPr="00CB6ECB">
        <w:rPr>
          <w:lang w:val="fi-FI"/>
        </w:rPr>
        <w:t>b)</w:t>
      </w:r>
      <w:r w:rsidRPr="00CB6ECB">
        <w:rPr>
          <w:lang w:val="fi-FI"/>
        </w:rPr>
        <w:tab/>
        <w:t>asetuksen (EU) 2015/96 14 artiklassa tarkoitetun joustojärjestelmän puitteissa tuon asetuksen liitteessä V olevan 1.1.1 kohdan mukaisesti sal</w:t>
      </w:r>
      <w:r>
        <w:rPr>
          <w:lang w:val="fi-FI"/>
        </w:rPr>
        <w:t>littu joustovara korotetaan 150 </w:t>
      </w:r>
      <w:r w:rsidRPr="00CB6ECB">
        <w:rPr>
          <w:lang w:val="fi-FI"/>
        </w:rPr>
        <w:t>prosenttiin.</w:t>
      </w:r>
      <w:r>
        <w:rPr>
          <w:lang w:val="fi-FI"/>
        </w:rPr>
        <w:t>"</w:t>
      </w:r>
    </w:p>
    <w:p w:rsidR="00A86A3E" w:rsidRPr="004A51C1" w:rsidRDefault="00A86A3E" w:rsidP="00A86A3E">
      <w:pPr>
        <w:pStyle w:val="Correctionreadtitle"/>
        <w:spacing w:line="240" w:lineRule="auto"/>
        <w:rPr>
          <w:lang w:val="fi-FI"/>
        </w:rPr>
      </w:pPr>
      <w:r>
        <w:rPr>
          <w:i/>
          <w:iCs/>
          <w:lang w:val="fi-FI"/>
        </w:rPr>
        <w:t>pitää olla:</w:t>
      </w:r>
    </w:p>
    <w:p w:rsidR="00A86A3E" w:rsidRPr="004A51C1" w:rsidRDefault="00A86A3E" w:rsidP="00A86A3E">
      <w:pPr>
        <w:pStyle w:val="Correctionreadtext"/>
        <w:spacing w:line="240" w:lineRule="auto"/>
        <w:ind w:left="720" w:hanging="720"/>
        <w:rPr>
          <w:lang w:val="fi-FI"/>
        </w:rPr>
      </w:pPr>
      <w:r>
        <w:rPr>
          <w:lang w:val="fi-FI"/>
        </w:rPr>
        <w:t>"</w:t>
      </w:r>
      <w:r w:rsidRPr="00CB6ECB">
        <w:rPr>
          <w:lang w:val="fi-FI"/>
        </w:rPr>
        <w:t>b)</w:t>
      </w:r>
      <w:r w:rsidRPr="00CB6ECB">
        <w:rPr>
          <w:lang w:val="fi-FI"/>
        </w:rPr>
        <w:tab/>
        <w:t>asetuksen (EU) 2015/96 14 artiklassa tarkoitetun joustojärjestelmän puitteissa tuon asetuksen liitteessä V olevan 1.1.1 kohdan mukaisesti sal</w:t>
      </w:r>
      <w:r>
        <w:rPr>
          <w:lang w:val="fi-FI"/>
        </w:rPr>
        <w:t>littu joustovara korotetaan 150 </w:t>
      </w:r>
      <w:r w:rsidRPr="00CB6ECB">
        <w:rPr>
          <w:lang w:val="fi-FI"/>
        </w:rPr>
        <w:t xml:space="preserve">prosenttiin </w:t>
      </w:r>
      <w:r w:rsidRPr="00CB6ECB">
        <w:rPr>
          <w:u w:val="single"/>
          <w:lang w:val="fi-FI"/>
        </w:rPr>
        <w:t>luokkien T2, T4.1 ja C2 traktoreiden osalta</w:t>
      </w:r>
      <w:r w:rsidRPr="00CB6ECB">
        <w:rPr>
          <w:lang w:val="fi-FI"/>
        </w:rPr>
        <w:t>.</w:t>
      </w:r>
      <w:r>
        <w:rPr>
          <w:lang w:val="fi-FI"/>
        </w:rPr>
        <w:t>".</w:t>
      </w:r>
    </w:p>
    <w:p w:rsidR="009E4A8C" w:rsidRPr="005D1F3B" w:rsidRDefault="009E4A8C" w:rsidP="00A86A3E">
      <w:pPr>
        <w:pStyle w:val="Normal12"/>
      </w:pPr>
    </w:p>
    <w:sectPr w:rsidR="009E4A8C" w:rsidRPr="005D1F3B" w:rsidSect="0051772A">
      <w:footerReference w:type="even" r:id="rId8"/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567" w:right="1418" w:bottom="1418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2A" w:rsidRPr="005D1F3B" w:rsidRDefault="0051772A">
      <w:r w:rsidRPr="005D1F3B">
        <w:separator/>
      </w:r>
    </w:p>
  </w:endnote>
  <w:endnote w:type="continuationSeparator" w:id="0">
    <w:p w:rsidR="0051772A" w:rsidRPr="005D1F3B" w:rsidRDefault="0051772A">
      <w:r w:rsidRPr="005D1F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5D1F3B" w:rsidRDefault="0020146C">
    <w:pPr>
      <w:pStyle w:val="Footer"/>
      <w:tabs>
        <w:tab w:val="right" w:pos="9356"/>
      </w:tabs>
    </w:pPr>
    <w:r w:rsidRPr="005D1F3B">
      <w:tab/>
    </w:r>
    <w:r w:rsidRPr="005D1F3B">
      <w:fldChar w:fldCharType="begin"/>
    </w:r>
    <w:r w:rsidRPr="005D1F3B">
      <w:instrText xml:space="preserve"> PAGE </w:instrText>
    </w:r>
    <w:r w:rsidRPr="005D1F3B">
      <w:fldChar w:fldCharType="separate"/>
    </w:r>
    <w:r w:rsidR="00A86A3E">
      <w:rPr>
        <w:noProof/>
      </w:rPr>
      <w:t>1</w:t>
    </w:r>
    <w:r w:rsidRPr="005D1F3B">
      <w:fldChar w:fldCharType="end"/>
    </w:r>
    <w:r w:rsidRPr="005D1F3B">
      <w:t>/</w:t>
    </w:r>
    <w:r w:rsidRPr="005D1F3B">
      <w:fldChar w:fldCharType="begin"/>
    </w:r>
    <w:r w:rsidRPr="005D1F3B">
      <w:instrText xml:space="preserve"> NUMPAGES </w:instrText>
    </w:r>
    <w:r w:rsidRPr="005D1F3B">
      <w:fldChar w:fldCharType="separate"/>
    </w:r>
    <w:r w:rsidR="00A86A3E">
      <w:rPr>
        <w:noProof/>
      </w:rPr>
      <w:t>1</w:t>
    </w:r>
    <w:r w:rsidRPr="005D1F3B">
      <w:fldChar w:fldCharType="end"/>
    </w:r>
    <w:r w:rsidRPr="005D1F3B">
      <w:tab/>
    </w:r>
  </w:p>
  <w:p w:rsidR="0020146C" w:rsidRPr="005D1F3B" w:rsidRDefault="0020146C">
    <w:pPr>
      <w:pStyle w:val="Footer2"/>
    </w:pPr>
    <w:r w:rsidRPr="005D1F3B">
      <w:fldChar w:fldCharType="begin"/>
    </w:r>
    <w:r w:rsidRPr="005D1F3B">
      <w:instrText xml:space="preserve"> DOCPROPERTY "&lt;Extension&gt;" </w:instrText>
    </w:r>
    <w:r w:rsidRPr="005D1F3B">
      <w:fldChar w:fldCharType="separate"/>
    </w:r>
    <w:r w:rsidR="00A86A3E">
      <w:t>FI</w:t>
    </w:r>
    <w:r w:rsidRPr="005D1F3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5D1F3B" w:rsidRDefault="0020146C">
    <w:pPr>
      <w:pStyle w:val="Footer"/>
      <w:tabs>
        <w:tab w:val="right" w:pos="9356"/>
      </w:tabs>
    </w:pPr>
    <w:r w:rsidRPr="005D1F3B">
      <w:tab/>
    </w:r>
    <w:r w:rsidRPr="005D1F3B">
      <w:fldChar w:fldCharType="begin"/>
    </w:r>
    <w:r w:rsidRPr="005D1F3B">
      <w:instrText xml:space="preserve"> PAGE </w:instrText>
    </w:r>
    <w:r w:rsidRPr="005D1F3B">
      <w:fldChar w:fldCharType="separate"/>
    </w:r>
    <w:r w:rsidR="00A86A3E">
      <w:rPr>
        <w:noProof/>
      </w:rPr>
      <w:t>1</w:t>
    </w:r>
    <w:r w:rsidRPr="005D1F3B">
      <w:fldChar w:fldCharType="end"/>
    </w:r>
    <w:r w:rsidRPr="005D1F3B">
      <w:t>/</w:t>
    </w:r>
    <w:r w:rsidRPr="005D1F3B">
      <w:fldChar w:fldCharType="begin"/>
    </w:r>
    <w:r w:rsidRPr="005D1F3B">
      <w:instrText xml:space="preserve"> NUMPAGES </w:instrText>
    </w:r>
    <w:r w:rsidRPr="005D1F3B">
      <w:fldChar w:fldCharType="separate"/>
    </w:r>
    <w:r w:rsidR="00A86A3E">
      <w:rPr>
        <w:noProof/>
      </w:rPr>
      <w:t>1</w:t>
    </w:r>
    <w:r w:rsidRPr="005D1F3B">
      <w:fldChar w:fldCharType="end"/>
    </w:r>
    <w:r w:rsidRPr="005D1F3B">
      <w:tab/>
    </w:r>
  </w:p>
  <w:p w:rsidR="0020146C" w:rsidRPr="005D1F3B" w:rsidRDefault="0020146C">
    <w:pPr>
      <w:pStyle w:val="Footer2"/>
    </w:pPr>
    <w:r w:rsidRPr="005D1F3B">
      <w:tab/>
    </w:r>
    <w:r w:rsidRPr="005D1F3B">
      <w:fldChar w:fldCharType="begin"/>
    </w:r>
    <w:r w:rsidRPr="005D1F3B">
      <w:instrText xml:space="preserve"> DOCPROPERTY "&lt;Extension&gt;" </w:instrText>
    </w:r>
    <w:r w:rsidRPr="005D1F3B">
      <w:fldChar w:fldCharType="separate"/>
    </w:r>
    <w:r w:rsidR="00A86A3E">
      <w:t>FI</w:t>
    </w:r>
    <w:r w:rsidRPr="005D1F3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C" w:rsidRPr="005D1F3B" w:rsidRDefault="0020146C" w:rsidP="003443D2">
    <w:pPr>
      <w:pStyle w:val="Footer2"/>
      <w:tabs>
        <w:tab w:val="center" w:pos="4536"/>
      </w:tabs>
    </w:pPr>
    <w:r w:rsidRPr="005D1F3B">
      <w:fldChar w:fldCharType="begin"/>
    </w:r>
    <w:r w:rsidRPr="005D1F3B">
      <w:instrText xml:space="preserve"> DOCPROPERTY "&lt;Extension&gt;" </w:instrText>
    </w:r>
    <w:r w:rsidRPr="005D1F3B">
      <w:fldChar w:fldCharType="separate"/>
    </w:r>
    <w:r w:rsidR="00A86A3E">
      <w:t>FI</w:t>
    </w:r>
    <w:r w:rsidRPr="005D1F3B">
      <w:fldChar w:fldCharType="end"/>
    </w:r>
    <w:r w:rsidRPr="005D1F3B">
      <w:rPr>
        <w:color w:val="C0C0C0"/>
      </w:rPr>
      <w:tab/>
    </w:r>
    <w:r w:rsidR="00A86A3E">
      <w:rPr>
        <w:i/>
        <w:color w:val="C0C0C0"/>
        <w:sz w:val="22"/>
        <w:szCs w:val="22"/>
      </w:rPr>
      <w:t>Moninaisuudessaan yhtenäinen</w:t>
    </w:r>
    <w:r w:rsidRPr="005D1F3B">
      <w:rPr>
        <w:color w:val="C0C0C0"/>
      </w:rPr>
      <w:tab/>
    </w:r>
    <w:r w:rsidRPr="005D1F3B">
      <w:fldChar w:fldCharType="begin"/>
    </w:r>
    <w:r w:rsidRPr="005D1F3B">
      <w:instrText xml:space="preserve"> DOCPROPERTY "&lt;Extension&gt;" </w:instrText>
    </w:r>
    <w:r w:rsidRPr="005D1F3B">
      <w:fldChar w:fldCharType="separate"/>
    </w:r>
    <w:r w:rsidR="00A86A3E">
      <w:t>FI</w:t>
    </w:r>
    <w:r w:rsidRPr="005D1F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2A" w:rsidRPr="005D1F3B" w:rsidRDefault="0051772A">
      <w:r w:rsidRPr="005D1F3B">
        <w:separator/>
      </w:r>
    </w:p>
  </w:footnote>
  <w:footnote w:type="continuationSeparator" w:id="0">
    <w:p w:rsidR="0051772A" w:rsidRPr="005D1F3B" w:rsidRDefault="0051772A">
      <w:r w:rsidRPr="005D1F3B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RDATE" w:val="06/09/2016"/>
    <w:docVar w:name="CORRDOCREF" w:val="4"/>
    <w:docVar w:name="CORRTA" w:val="1"/>
    <w:docVar w:name="CORRTAYYMMDD" w:val="201607-05"/>
    <w:docVar w:name="CORRVersion" w:val="01"/>
    <w:docVar w:name="DOCMNU" w:val=" 1"/>
    <w:docVar w:name="LastEditedSection" w:val=" 1"/>
    <w:docVar w:name="strDocTypeID" w:val="CO_TA"/>
    <w:docVar w:name="strSubDir" w:val="A8-"/>
    <w:docVar w:name="TA_Type" w:val="TA_Corr"/>
    <w:docVar w:name="TADATE" w:val="05/07/2016"/>
    <w:docVar w:name="TITLEMNU" w:val=" 1"/>
    <w:docVar w:name="TXTCALLFROMTA" w:val="1"/>
    <w:docVar w:name="TXTCORRNRP" w:val="8"/>
    <w:docVar w:name="TXTCORRNRTA" w:val="(2016)0296"/>
    <w:docVar w:name="TXTCORRVERSION" w:val="01"/>
    <w:docVar w:name="TXTDOCREF" w:val="COM(2014)0581 – C8-0168/2014 – 2014/0268(COD)"/>
    <w:docVar w:name="TXTLANGUE" w:val="FI"/>
    <w:docVar w:name="TXTLANGUEMIN" w:val="fi"/>
    <w:docVar w:name="TXTOJTA" w:val=" "/>
    <w:docVar w:name="TXTROUTE" w:val="RR\A8-0276_2015_FI_net_relfinal_AM FI.docx"/>
    <w:docVar w:name="TXTTITLE" w:val="Euroopan parlamentin kanta, vahvistettu ensimmäisessä käsittelyssä 5. heinäkuuta 2016, Euroopan parlamentin ja neuvoston asetuksen (EU) 2016/… antamiseksi liikkuviin työkoneisiin tarkoitettujen polttomoottoreiden kaasu- ja hiukkaspäästöjen raja-arvoihin ja tyyppihyväksyntään liittyvistä vaatimuksista, asetusten (EU) N:o 1024/2012 ja (EU) N:o 167/2013 muuttamisesta ja direktiivin 97/68/EY muuttamisesta ja kumoamisesta_x000d__x000a_"/>
  </w:docVars>
  <w:rsids>
    <w:rsidRoot w:val="0051772A"/>
    <w:rsid w:val="000235CE"/>
    <w:rsid w:val="000321AD"/>
    <w:rsid w:val="00040545"/>
    <w:rsid w:val="000410EE"/>
    <w:rsid w:val="00051161"/>
    <w:rsid w:val="00055703"/>
    <w:rsid w:val="00055F95"/>
    <w:rsid w:val="000B0781"/>
    <w:rsid w:val="000D3428"/>
    <w:rsid w:val="000E4C94"/>
    <w:rsid w:val="000F4CC5"/>
    <w:rsid w:val="00104F6D"/>
    <w:rsid w:val="00114213"/>
    <w:rsid w:val="001376BD"/>
    <w:rsid w:val="00182036"/>
    <w:rsid w:val="001D1728"/>
    <w:rsid w:val="001E3145"/>
    <w:rsid w:val="0020146C"/>
    <w:rsid w:val="00231EA7"/>
    <w:rsid w:val="0025650E"/>
    <w:rsid w:val="0026678F"/>
    <w:rsid w:val="00271CEC"/>
    <w:rsid w:val="00292ABE"/>
    <w:rsid w:val="002E4844"/>
    <w:rsid w:val="002E7C93"/>
    <w:rsid w:val="003443D2"/>
    <w:rsid w:val="00383DA2"/>
    <w:rsid w:val="003A7411"/>
    <w:rsid w:val="003A7D52"/>
    <w:rsid w:val="003C0341"/>
    <w:rsid w:val="00422BB2"/>
    <w:rsid w:val="00424E02"/>
    <w:rsid w:val="004251EB"/>
    <w:rsid w:val="00442BE6"/>
    <w:rsid w:val="00450D54"/>
    <w:rsid w:val="004662A2"/>
    <w:rsid w:val="00482B95"/>
    <w:rsid w:val="004E62EC"/>
    <w:rsid w:val="0051772A"/>
    <w:rsid w:val="00597F4B"/>
    <w:rsid w:val="005A4482"/>
    <w:rsid w:val="005D1F3B"/>
    <w:rsid w:val="00651728"/>
    <w:rsid w:val="006A1B6A"/>
    <w:rsid w:val="006A2838"/>
    <w:rsid w:val="006E0CC8"/>
    <w:rsid w:val="006E5D07"/>
    <w:rsid w:val="006F6AE2"/>
    <w:rsid w:val="00700887"/>
    <w:rsid w:val="00704AAE"/>
    <w:rsid w:val="007152AF"/>
    <w:rsid w:val="00774A6A"/>
    <w:rsid w:val="007760AF"/>
    <w:rsid w:val="007860FE"/>
    <w:rsid w:val="007B2638"/>
    <w:rsid w:val="007C2939"/>
    <w:rsid w:val="007E784A"/>
    <w:rsid w:val="0080553F"/>
    <w:rsid w:val="008059BA"/>
    <w:rsid w:val="008134CB"/>
    <w:rsid w:val="00833E94"/>
    <w:rsid w:val="00844296"/>
    <w:rsid w:val="00847EA1"/>
    <w:rsid w:val="008A50EF"/>
    <w:rsid w:val="008A7751"/>
    <w:rsid w:val="008B1D9E"/>
    <w:rsid w:val="008B31F4"/>
    <w:rsid w:val="008E4E5C"/>
    <w:rsid w:val="008F071B"/>
    <w:rsid w:val="00966E62"/>
    <w:rsid w:val="0097004E"/>
    <w:rsid w:val="009A005A"/>
    <w:rsid w:val="009A6622"/>
    <w:rsid w:val="009A77B7"/>
    <w:rsid w:val="009C551C"/>
    <w:rsid w:val="009D5A41"/>
    <w:rsid w:val="009E4A8C"/>
    <w:rsid w:val="00A631B9"/>
    <w:rsid w:val="00A86A3E"/>
    <w:rsid w:val="00AB57A8"/>
    <w:rsid w:val="00AB5B4D"/>
    <w:rsid w:val="00AD046D"/>
    <w:rsid w:val="00AD5B1A"/>
    <w:rsid w:val="00AF41A7"/>
    <w:rsid w:val="00B32CC7"/>
    <w:rsid w:val="00B71D43"/>
    <w:rsid w:val="00B81F78"/>
    <w:rsid w:val="00B85286"/>
    <w:rsid w:val="00B90B7F"/>
    <w:rsid w:val="00BA5522"/>
    <w:rsid w:val="00BD515B"/>
    <w:rsid w:val="00BD7239"/>
    <w:rsid w:val="00BE25A9"/>
    <w:rsid w:val="00BF01AD"/>
    <w:rsid w:val="00C32AC7"/>
    <w:rsid w:val="00C33CC9"/>
    <w:rsid w:val="00C37DE1"/>
    <w:rsid w:val="00C56150"/>
    <w:rsid w:val="00C73B88"/>
    <w:rsid w:val="00CE0AB7"/>
    <w:rsid w:val="00CE0C72"/>
    <w:rsid w:val="00CF7179"/>
    <w:rsid w:val="00D02C73"/>
    <w:rsid w:val="00D0510B"/>
    <w:rsid w:val="00D254C3"/>
    <w:rsid w:val="00D31746"/>
    <w:rsid w:val="00D45478"/>
    <w:rsid w:val="00DC2DDB"/>
    <w:rsid w:val="00DC4160"/>
    <w:rsid w:val="00DF611D"/>
    <w:rsid w:val="00E453E4"/>
    <w:rsid w:val="00E57F50"/>
    <w:rsid w:val="00E86928"/>
    <w:rsid w:val="00EA040B"/>
    <w:rsid w:val="00EA424F"/>
    <w:rsid w:val="00EC5E57"/>
    <w:rsid w:val="00EE3C2C"/>
    <w:rsid w:val="00EF03A3"/>
    <w:rsid w:val="00F255BD"/>
    <w:rsid w:val="00F27170"/>
    <w:rsid w:val="00F30D89"/>
    <w:rsid w:val="00F36373"/>
    <w:rsid w:val="00F36F33"/>
    <w:rsid w:val="00F539E4"/>
    <w:rsid w:val="00F964E9"/>
    <w:rsid w:val="00FB1987"/>
    <w:rsid w:val="00FB6D77"/>
    <w:rsid w:val="00FC7D10"/>
    <w:rsid w:val="00FE03B4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32D95B-3754-421D-A0F2-E1658FE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fi-F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4251E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45478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paragraph" w:customStyle="1" w:styleId="Normal24a12b">
    <w:name w:val="Normal24a12b"/>
    <w:basedOn w:val="Normal"/>
    <w:rsid w:val="00F30D89"/>
    <w:pPr>
      <w:spacing w:before="240" w:after="480"/>
    </w:pPr>
  </w:style>
  <w:style w:type="table" w:styleId="TableGrid">
    <w:name w:val="Table Grid"/>
    <w:basedOn w:val="TableNormal"/>
    <w:rsid w:val="004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450D54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450D54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AD5B1A"/>
    <w:pPr>
      <w:pBdr>
        <w:bottom w:val="single" w:sz="4" w:space="1" w:color="auto"/>
      </w:pBdr>
      <w:spacing w:after="48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4251E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4251EB"/>
    <w:pPr>
      <w:jc w:val="right"/>
    </w:pPr>
  </w:style>
  <w:style w:type="paragraph" w:customStyle="1" w:styleId="Correctionpage">
    <w:name w:val="Correction page"/>
    <w:basedOn w:val="Normal"/>
    <w:next w:val="Correctionfortitle"/>
    <w:rsid w:val="00A86A3E"/>
    <w:pPr>
      <w:keepNext/>
      <w:widowControl/>
      <w:spacing w:before="240" w:after="120" w:line="360" w:lineRule="auto"/>
    </w:pPr>
    <w:rPr>
      <w:szCs w:val="24"/>
      <w:u w:val="single"/>
      <w:lang w:val="en-GB" w:eastAsia="en-US"/>
    </w:rPr>
  </w:style>
  <w:style w:type="paragraph" w:customStyle="1" w:styleId="Correctionfortitle">
    <w:name w:val="Correction for title"/>
    <w:basedOn w:val="Normal"/>
    <w:next w:val="Correctionfortext"/>
    <w:rsid w:val="00A86A3E"/>
    <w:pPr>
      <w:keepNext/>
      <w:widowControl/>
      <w:spacing w:before="120" w:after="240" w:line="360" w:lineRule="auto"/>
    </w:pPr>
    <w:rPr>
      <w:szCs w:val="24"/>
      <w:lang w:val="en-GB" w:eastAsia="en-US"/>
    </w:rPr>
  </w:style>
  <w:style w:type="paragraph" w:customStyle="1" w:styleId="Correctionfortext">
    <w:name w:val="Correction for text"/>
    <w:basedOn w:val="Normal"/>
    <w:rsid w:val="00A86A3E"/>
    <w:pPr>
      <w:widowControl/>
      <w:spacing w:line="360" w:lineRule="auto"/>
    </w:pPr>
    <w:rPr>
      <w:szCs w:val="24"/>
      <w:lang w:val="en-GB" w:eastAsia="en-US"/>
    </w:rPr>
  </w:style>
  <w:style w:type="paragraph" w:customStyle="1" w:styleId="Correctionreadtitle">
    <w:name w:val="Correction read title"/>
    <w:basedOn w:val="Normal"/>
    <w:next w:val="Correctionreadtext"/>
    <w:rsid w:val="00A86A3E"/>
    <w:pPr>
      <w:keepNext/>
      <w:widowControl/>
      <w:spacing w:before="120" w:after="240" w:line="360" w:lineRule="auto"/>
    </w:pPr>
    <w:rPr>
      <w:szCs w:val="24"/>
      <w:lang w:val="en-GB" w:eastAsia="en-US"/>
    </w:rPr>
  </w:style>
  <w:style w:type="paragraph" w:customStyle="1" w:styleId="Correctionreadtext">
    <w:name w:val="Correction read text"/>
    <w:basedOn w:val="Normal"/>
    <w:rsid w:val="00A86A3E"/>
    <w:pPr>
      <w:widowControl/>
      <w:spacing w:line="360" w:lineRule="auto"/>
    </w:pPr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Corr_FinalAct</vt:lpstr>
    </vt:vector>
  </TitlesOfParts>
  <Company>European Parliament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Corr_FinalAct</dc:title>
  <dc:subject/>
  <dc:creator>HILDEN Riitta</dc:creator>
  <cp:keywords/>
  <cp:lastModifiedBy>REPO Taneli</cp:lastModifiedBy>
  <cp:revision>2</cp:revision>
  <cp:lastPrinted>2005-10-13T14:57:00Z</cp:lastPrinted>
  <dcterms:created xsi:type="dcterms:W3CDTF">2016-09-06T15:34:00Z</dcterms:created>
  <dcterms:modified xsi:type="dcterms:W3CDTF">2016-09-06T15:34:00Z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FI</vt:lpwstr>
  </property>
  <property fmtid="{D5CDD505-2E9C-101B-9397-08002B2CF9AE}" pid="3" name="&lt;Model&gt;">
    <vt:lpwstr>CO_TA</vt:lpwstr>
  </property>
  <property fmtid="{D5CDD505-2E9C-101B-9397-08002B2CF9AE}" pid="4" name="&lt;Type&gt;">
    <vt:lpwstr>RR</vt:lpwstr>
  </property>
  <property fmtid="{D5CDD505-2E9C-101B-9397-08002B2CF9AE}" pid="5" name="Created with">
    <vt:lpwstr>8.5.0 Build [20151002]</vt:lpwstr>
  </property>
  <property fmtid="{D5CDD505-2E9C-101B-9397-08002B2CF9AE}" pid="6" name="LastEdited with">
    <vt:lpwstr>8.5.0 Build [20151002]</vt:lpwstr>
  </property>
  <property fmtid="{D5CDD505-2E9C-101B-9397-08002B2CF9AE}" pid="7" name="&lt;FdR&gt;">
    <vt:lpwstr>A8-0276_2015_FI_net_relfinal_AM </vt:lpwstr>
  </property>
  <property fmtid="{D5CDD505-2E9C-101B-9397-08002B2CF9AE}" pid="8" name="&lt;ModelCod&gt;">
    <vt:lpwstr>NONE</vt:lpwstr>
  </property>
  <property fmtid="{D5CDD505-2E9C-101B-9397-08002B2CF9AE}" pid="9" name="&lt;ModelTra&gt;">
    <vt:lpwstr>NONE</vt:lpwstr>
  </property>
  <property fmtid="{D5CDD505-2E9C-101B-9397-08002B2CF9AE}" pid="10" name="FooterPath">
    <vt:lpwstr>RR\A8-0276_2015_FI_net_relfinal_AM FI.docx</vt:lpwstr>
  </property>
</Properties>
</file>