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E4FE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E4FE1" w:rsidRDefault="00BE4FE1" w:rsidP="0010095E">
            <w:pPr>
              <w:pStyle w:val="EPName"/>
              <w:rPr>
                <w:lang w:val="lt-LT"/>
              </w:rPr>
            </w:pPr>
            <w:r>
              <w:rPr>
                <w:lang w:val="lt-LT"/>
              </w:rPr>
              <w:t>Europos Parlamentas</w:t>
            </w:r>
          </w:p>
          <w:p w:rsidR="00751A4A" w:rsidRPr="00BE4FE1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lt-LT"/>
              </w:rPr>
            </w:pPr>
            <w:r w:rsidRPr="00BE4FE1">
              <w:rPr>
                <w:lang w:val="lt-LT"/>
              </w:rPr>
              <w:t>2014</w:t>
            </w:r>
            <w:r w:rsidR="00C941CB" w:rsidRPr="00BE4FE1">
              <w:rPr>
                <w:lang w:val="lt-L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BE4FE1" w:rsidRDefault="00B36E24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38175"/>
                  <wp:effectExtent l="0" t="0" r="0" b="9525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BE4FE1" w:rsidRDefault="00D058B8" w:rsidP="00D058B8">
      <w:pPr>
        <w:pStyle w:val="LineTop"/>
        <w:rPr>
          <w:lang w:val="lt-LT"/>
        </w:rPr>
      </w:pPr>
    </w:p>
    <w:p w:rsidR="00D058B8" w:rsidRPr="00860FCD" w:rsidRDefault="00BE4FE1" w:rsidP="00860FCD">
      <w:pPr>
        <w:pStyle w:val="ZSessionDoc"/>
        <w:rPr>
          <w:b/>
          <w:i w:val="0"/>
        </w:rPr>
      </w:pPr>
      <w:r>
        <w:rPr>
          <w:b/>
          <w:i w:val="0"/>
        </w:rPr>
        <w:t>PRIIMTI TEKSTAI</w:t>
      </w:r>
      <w:bookmarkStart w:id="0" w:name="_GoBack"/>
      <w:bookmarkEnd w:id="0"/>
    </w:p>
    <w:p w:rsidR="00D058B8" w:rsidRPr="00BE4FE1" w:rsidRDefault="00D058B8" w:rsidP="00D058B8">
      <w:pPr>
        <w:pStyle w:val="LineBottom"/>
      </w:pPr>
    </w:p>
    <w:p w:rsidR="00BE4FE1" w:rsidRPr="00FD6146" w:rsidRDefault="00860FCD" w:rsidP="00BE4FE1">
      <w:pPr>
        <w:pStyle w:val="ATHeading1"/>
        <w:rPr>
          <w:lang w:val="lt-LT"/>
        </w:rPr>
      </w:pPr>
      <w:bookmarkStart w:id="1" w:name="TANumber"/>
      <w:r>
        <w:rPr>
          <w:lang w:val="lt-LT"/>
        </w:rPr>
        <w:t>P8_TA</w:t>
      </w:r>
      <w:r w:rsidR="00BE4FE1" w:rsidRPr="00FD6146">
        <w:rPr>
          <w:lang w:val="lt-LT"/>
        </w:rPr>
        <w:t>(2016)0</w:t>
      </w:r>
      <w:r w:rsidR="00CF5B8D">
        <w:rPr>
          <w:lang w:val="lt-LT"/>
        </w:rPr>
        <w:t>34</w:t>
      </w:r>
      <w:r w:rsidR="00BE4FE1" w:rsidRPr="00FD6146">
        <w:rPr>
          <w:lang w:val="lt-LT"/>
        </w:rPr>
        <w:t>0</w:t>
      </w:r>
      <w:bookmarkEnd w:id="1"/>
    </w:p>
    <w:p w:rsidR="00BE4FE1" w:rsidRPr="00FD6146" w:rsidRDefault="00006441" w:rsidP="00BE4FE1">
      <w:pPr>
        <w:pStyle w:val="ATHeading2"/>
        <w:rPr>
          <w:lang w:val="lt-LT"/>
        </w:rPr>
      </w:pPr>
      <w:bookmarkStart w:id="2" w:name="title"/>
      <w:r w:rsidRPr="007E60C1">
        <w:rPr>
          <w:lang w:val="lt-LT"/>
        </w:rPr>
        <w:t>Trišalis socialinių reikalų aukščiausiojo lygio susitikimas ekonomikos augimo ir užimtumo klausimais</w:t>
      </w:r>
      <w:bookmarkStart w:id="3" w:name="Etoiles"/>
      <w:bookmarkEnd w:id="2"/>
      <w:r w:rsidR="00BE4FE1" w:rsidRPr="00CC278E">
        <w:rPr>
          <w:lang w:val="lt-LT"/>
        </w:rPr>
        <w:t>***</w:t>
      </w:r>
      <w:bookmarkEnd w:id="3"/>
    </w:p>
    <w:p w:rsidR="00BE4FE1" w:rsidRDefault="00BE4FE1" w:rsidP="00BE4FE1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4" w:name="DocNumber"/>
      <w:r>
        <w:rPr>
          <w:i/>
        </w:rPr>
        <w:instrText>A8-0252/2016</w:instrText>
      </w:r>
      <w:bookmarkEnd w:id="4"/>
      <w:r>
        <w:rPr>
          <w:i/>
        </w:rPr>
        <w:instrText xml:space="preserve"> - Pranešėjas: </w:instrText>
      </w:r>
      <w:proofErr w:type="spellStart"/>
      <w:r>
        <w:rPr>
          <w:i/>
        </w:rPr>
        <w:instrText>Csaba</w:instrText>
      </w:r>
      <w:proofErr w:type="spellEnd"/>
      <w:r>
        <w:rPr>
          <w:i/>
        </w:rPr>
        <w:instrText xml:space="preserve"> </w:instrText>
      </w:r>
      <w:proofErr w:type="spellStart"/>
      <w:r>
        <w:rPr>
          <w:i/>
        </w:rPr>
        <w:instrText>Sógor</w:instrText>
      </w:r>
      <w:proofErr w:type="spellEnd"/>
      <w:r>
        <w:rPr>
          <w:i/>
        </w:rPr>
        <w:instrText xml:space="preserve">)"\l3 \n&gt; \* MERGEFORMAT </w:instrText>
      </w:r>
      <w:r>
        <w:rPr>
          <w:i/>
        </w:rPr>
        <w:fldChar w:fldCharType="end"/>
      </w:r>
    </w:p>
    <w:p w:rsidR="00BE4FE1" w:rsidRDefault="00BE4FE1" w:rsidP="00BE4FE1">
      <w:pPr>
        <w:rPr>
          <w:vanish/>
        </w:rPr>
      </w:pPr>
      <w:bookmarkStart w:id="5" w:name="Commission"/>
      <w:r w:rsidRPr="00BE4FE1">
        <w:rPr>
          <w:vanish/>
        </w:rPr>
        <w:t>Užimtumo ir socialinių reikalų komitetas</w:t>
      </w:r>
      <w:bookmarkEnd w:id="5"/>
    </w:p>
    <w:p w:rsidR="00BE4FE1" w:rsidRDefault="00BE4FE1" w:rsidP="00BE4FE1">
      <w:pPr>
        <w:rPr>
          <w:vanish/>
        </w:rPr>
      </w:pPr>
      <w:bookmarkStart w:id="6" w:name="PE"/>
      <w:r w:rsidRPr="00BE4FE1">
        <w:rPr>
          <w:vanish/>
        </w:rPr>
        <w:t>PE584.237</w:t>
      </w:r>
      <w:bookmarkEnd w:id="6"/>
    </w:p>
    <w:p w:rsidR="00BE4FE1" w:rsidRPr="00FD6146" w:rsidRDefault="00FD6146" w:rsidP="00BE4FE1">
      <w:pPr>
        <w:pStyle w:val="ATHeading3"/>
        <w:rPr>
          <w:lang w:val="lt-LT"/>
        </w:rPr>
      </w:pPr>
      <w:bookmarkStart w:id="7" w:name="Sujet"/>
      <w:r w:rsidRPr="00FD6146">
        <w:rPr>
          <w:lang w:val="lt-LT"/>
        </w:rPr>
        <w:t>2016</w:t>
      </w:r>
      <w:r>
        <w:rPr>
          <w:lang w:val="lt-LT"/>
        </w:rPr>
        <w:t xml:space="preserve"> m. rugsėjo </w:t>
      </w:r>
      <w:r w:rsidR="00006441">
        <w:rPr>
          <w:lang w:val="lt-LT"/>
        </w:rPr>
        <w:t>14</w:t>
      </w:r>
      <w:r>
        <w:rPr>
          <w:lang w:val="lt-LT"/>
        </w:rPr>
        <w:t xml:space="preserve"> d. </w:t>
      </w:r>
      <w:r w:rsidR="00BE4FE1" w:rsidRPr="00FD6146">
        <w:rPr>
          <w:lang w:val="lt-LT"/>
        </w:rPr>
        <w:t>Europos Parlamento teisėkūros rezoliucija dėl Tarybos sprendimo dėl trišalio socialinių reikalų aukščiausiojo lygio susitikimo ekonomikos augimo ir užimtumo klausimais, kuriuo panaikinamas Sprendimas 2003/174/EB</w:t>
      </w:r>
      <w:bookmarkEnd w:id="7"/>
      <w:r w:rsidR="00741AB5">
        <w:rPr>
          <w:lang w:val="lt-LT"/>
        </w:rPr>
        <w:t>, projekto</w:t>
      </w:r>
      <w:r w:rsidR="00BE4FE1" w:rsidRPr="00FD6146">
        <w:rPr>
          <w:lang w:val="lt-LT"/>
        </w:rPr>
        <w:t xml:space="preserve"> </w:t>
      </w:r>
      <w:bookmarkStart w:id="8" w:name="References"/>
      <w:r w:rsidR="00BE4FE1" w:rsidRPr="00FD6146">
        <w:rPr>
          <w:lang w:val="lt-LT"/>
        </w:rPr>
        <w:t>(05820/2014 – C8-0164/2016 – 2013/0361(APP))</w:t>
      </w:r>
      <w:bookmarkEnd w:id="8"/>
    </w:p>
    <w:p w:rsidR="00BE4FE1" w:rsidRDefault="00BE4FE1" w:rsidP="00BE4FE1"/>
    <w:p w:rsidR="00A26334" w:rsidRPr="00565C23" w:rsidRDefault="00A26334" w:rsidP="00A26334">
      <w:pPr>
        <w:pStyle w:val="Normal12Bold"/>
      </w:pPr>
      <w:bookmarkStart w:id="9" w:name="TextBodyBegin"/>
      <w:bookmarkEnd w:id="9"/>
      <w:r>
        <w:t>(Speciali teisėkūros procedūra: pritarimas)</w:t>
      </w:r>
    </w:p>
    <w:p w:rsidR="00A26334" w:rsidRPr="00565C23" w:rsidRDefault="00A26334" w:rsidP="00A26334">
      <w:pPr>
        <w:pStyle w:val="Normal12"/>
      </w:pPr>
      <w:r>
        <w:rPr>
          <w:i/>
        </w:rPr>
        <w:t>Europos Parlamentas</w:t>
      </w:r>
      <w:r>
        <w:t>,</w:t>
      </w:r>
    </w:p>
    <w:p w:rsidR="00A26334" w:rsidRPr="00565C23" w:rsidRDefault="00A26334" w:rsidP="00A26334">
      <w:pPr>
        <w:pStyle w:val="Normal12Hanging"/>
      </w:pPr>
      <w:r>
        <w:t>–</w:t>
      </w:r>
      <w:r>
        <w:tab/>
        <w:t>atsižvelgdamas į Tarybos sprendimo projektą (05820/2014),</w:t>
      </w:r>
    </w:p>
    <w:p w:rsidR="00A26334" w:rsidRPr="00565C23" w:rsidRDefault="00A26334" w:rsidP="00A26334">
      <w:pPr>
        <w:pStyle w:val="Normal12Hanging"/>
      </w:pPr>
      <w:r>
        <w:t>–</w:t>
      </w:r>
      <w:r>
        <w:tab/>
        <w:t xml:space="preserve">atsižvelgdamas į prašymą </w:t>
      </w:r>
      <w:r w:rsidR="00741AB5">
        <w:t xml:space="preserve">dėl </w:t>
      </w:r>
      <w:r>
        <w:t>pritari</w:t>
      </w:r>
      <w:r w:rsidR="00741AB5">
        <w:t>mo</w:t>
      </w:r>
      <w:r>
        <w:t xml:space="preserve">, </w:t>
      </w:r>
      <w:r w:rsidR="00741AB5">
        <w:t xml:space="preserve">kurį Taryba </w:t>
      </w:r>
      <w:r>
        <w:t>pateik</w:t>
      </w:r>
      <w:r w:rsidR="00741AB5">
        <w:t>ė</w:t>
      </w:r>
      <w:r>
        <w:t xml:space="preserve"> pagal Sutarties dėl Europos Sąjungos veikimo 352 straipsnio 1 dalį (C8-0164/2016),</w:t>
      </w:r>
    </w:p>
    <w:p w:rsidR="00A26334" w:rsidRPr="00565C23" w:rsidRDefault="00A26334" w:rsidP="00A26334">
      <w:pPr>
        <w:pStyle w:val="Normal12Hanging"/>
        <w:rPr>
          <w:szCs w:val="24"/>
        </w:rPr>
      </w:pPr>
      <w:r>
        <w:t>–</w:t>
      </w:r>
      <w:r>
        <w:tab/>
        <w:t>atsižvelgdamas į 2014 m. balandžio 15 d. tarpinę rezoliuciją dėl pasiūlymo dėl Tarybos sprendimo dėl trišalio socialinių reikalų aukščiausiojo lygio susitikimo ekonomikos augimo ir užimtumo klausimais</w:t>
      </w:r>
      <w:r w:rsidR="004461F1">
        <w:rPr>
          <w:rStyle w:val="FootnoteReference"/>
        </w:rPr>
        <w:footnoteReference w:id="1"/>
      </w:r>
      <w:r>
        <w:t>,</w:t>
      </w:r>
    </w:p>
    <w:p w:rsidR="00A26334" w:rsidRPr="00565C23" w:rsidRDefault="00A26334" w:rsidP="00A26334">
      <w:pPr>
        <w:pStyle w:val="Normal12Hanging"/>
      </w:pPr>
      <w:r>
        <w:t>–</w:t>
      </w:r>
      <w:r>
        <w:tab/>
        <w:t>atsižvelgdamas į Darbo tvarkos taisyklių 99 straipsnio 1 dalies pirmą ir trečią pastraipas,</w:t>
      </w:r>
    </w:p>
    <w:p w:rsidR="00A26334" w:rsidRPr="00565C23" w:rsidRDefault="00A26334" w:rsidP="00A26334">
      <w:pPr>
        <w:pStyle w:val="Normal12Hanging"/>
      </w:pPr>
      <w:r>
        <w:t>–</w:t>
      </w:r>
      <w:r>
        <w:tab/>
        <w:t>atsižvelgdamas į Užimtumo ir socialinių reikalų komiteto rekomendaciją (A8-0252/2016),</w:t>
      </w:r>
    </w:p>
    <w:p w:rsidR="00A26334" w:rsidRPr="00565C23" w:rsidRDefault="00A26334" w:rsidP="00A26334">
      <w:pPr>
        <w:pStyle w:val="Normal12Hanging"/>
      </w:pPr>
      <w:r>
        <w:t>1.</w:t>
      </w:r>
      <w:r>
        <w:tab/>
        <w:t>pritaria Tarybos sprendimo projektui;</w:t>
      </w:r>
    </w:p>
    <w:p w:rsidR="00E365E1" w:rsidRPr="00BE4FE1" w:rsidRDefault="00A26334" w:rsidP="00FD6146">
      <w:pPr>
        <w:pStyle w:val="Normal12Hanging"/>
      </w:pPr>
      <w:r>
        <w:t>2.</w:t>
      </w:r>
      <w:r>
        <w:tab/>
        <w:t>paveda Pirmininkui perduoti Parlamento poziciją Tarybai, Komisijai ir nacionaliniams parlamentams.</w:t>
      </w:r>
      <w:bookmarkStart w:id="10" w:name="TextBodyEnd"/>
      <w:bookmarkEnd w:id="10"/>
    </w:p>
    <w:sectPr w:rsidR="00E365E1" w:rsidRPr="00BE4FE1" w:rsidSect="001C2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E1" w:rsidRPr="00BE4FE1" w:rsidRDefault="00BE4FE1">
      <w:r w:rsidRPr="00BE4FE1">
        <w:separator/>
      </w:r>
    </w:p>
  </w:endnote>
  <w:endnote w:type="continuationSeparator" w:id="0">
    <w:p w:rsidR="00BE4FE1" w:rsidRPr="00BE4FE1" w:rsidRDefault="00BE4FE1">
      <w:r w:rsidRPr="00BE4FE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5D" w:rsidRDefault="001C2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5D" w:rsidRDefault="001C29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5D" w:rsidRDefault="001C2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E1" w:rsidRPr="00BE4FE1" w:rsidRDefault="00BE4FE1">
      <w:r w:rsidRPr="00BE4FE1">
        <w:separator/>
      </w:r>
    </w:p>
  </w:footnote>
  <w:footnote w:type="continuationSeparator" w:id="0">
    <w:p w:rsidR="00BE4FE1" w:rsidRPr="00BE4FE1" w:rsidRDefault="00BE4FE1">
      <w:r w:rsidRPr="00BE4FE1">
        <w:continuationSeparator/>
      </w:r>
    </w:p>
  </w:footnote>
  <w:footnote w:id="1">
    <w:p w:rsidR="004461F1" w:rsidRPr="00FD6146" w:rsidRDefault="004461F1" w:rsidP="004461F1">
      <w:pPr>
        <w:ind w:left="567" w:hanging="567"/>
        <w:rPr>
          <w:lang w:val="fi-FI"/>
        </w:rPr>
      </w:pPr>
      <w:r>
        <w:rPr>
          <w:rStyle w:val="FootnoteReference"/>
        </w:rPr>
        <w:footnoteRef/>
      </w:r>
      <w:r>
        <w:t xml:space="preserve"> </w:t>
      </w:r>
      <w:r>
        <w:tab/>
        <w:t>Priimti tekstai, P7_TA(2014)0377.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5D" w:rsidRDefault="001C29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5D" w:rsidRDefault="001C29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5D" w:rsidRDefault="001C2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52/2016"/>
    <w:docVar w:name="dvlangue" w:val="LT"/>
    <w:docVar w:name="dvnumam" w:val="0"/>
    <w:docVar w:name="dvpe" w:val="584.237"/>
    <w:docVar w:name="dvrapporteur" w:val="Pranešėjas: "/>
    <w:docVar w:name="dvtitre" w:val="Europos Parlamento teisėkūros rezoliucija dėl pasiūlymo dėl Tarybos sprendimo dėl trišalio socialinių reikalų aukščiausiojo lygio susitikimo ekonomikos augimo ir užimtumo klausimais, kuriuo panaikinamas Sprendimas 2003/174/EB(05820/2014 – C8-0164/2016 – 2013/0361(APP))"/>
  </w:docVars>
  <w:rsids>
    <w:rsidRoot w:val="00BE4FE1"/>
    <w:rsid w:val="00002272"/>
    <w:rsid w:val="00006441"/>
    <w:rsid w:val="000677B9"/>
    <w:rsid w:val="000E7DD9"/>
    <w:rsid w:val="0010095E"/>
    <w:rsid w:val="00125B37"/>
    <w:rsid w:val="001C295D"/>
    <w:rsid w:val="002767FF"/>
    <w:rsid w:val="002B5493"/>
    <w:rsid w:val="00361C00"/>
    <w:rsid w:val="00395FA1"/>
    <w:rsid w:val="003E15D4"/>
    <w:rsid w:val="00411CCE"/>
    <w:rsid w:val="0041666E"/>
    <w:rsid w:val="00421060"/>
    <w:rsid w:val="004461F1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41AB5"/>
    <w:rsid w:val="00751A4A"/>
    <w:rsid w:val="00756632"/>
    <w:rsid w:val="007D1690"/>
    <w:rsid w:val="007E60C1"/>
    <w:rsid w:val="00860FCD"/>
    <w:rsid w:val="00865F67"/>
    <w:rsid w:val="00881A7B"/>
    <w:rsid w:val="008840E5"/>
    <w:rsid w:val="008C2AC6"/>
    <w:rsid w:val="009509D8"/>
    <w:rsid w:val="00981893"/>
    <w:rsid w:val="00A26334"/>
    <w:rsid w:val="00A4678D"/>
    <w:rsid w:val="00AF3B82"/>
    <w:rsid w:val="00B36E24"/>
    <w:rsid w:val="00B558F0"/>
    <w:rsid w:val="00BD7BD8"/>
    <w:rsid w:val="00BE4FE1"/>
    <w:rsid w:val="00C05BFE"/>
    <w:rsid w:val="00C23CD4"/>
    <w:rsid w:val="00C941CB"/>
    <w:rsid w:val="00CC2357"/>
    <w:rsid w:val="00CC278E"/>
    <w:rsid w:val="00CE78C3"/>
    <w:rsid w:val="00CF5B8D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EBF4-C7E8-45A6-8D4B-E1EB9D8D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lt-L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00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6441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35B7C132.dotm</Template>
  <TotalTime>0</TotalTime>
  <Pages>1</Pages>
  <Words>145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CERNEVICIENE Aurelija</dc:creator>
  <cp:keywords/>
  <cp:lastModifiedBy>JOCAITE Sonata</cp:lastModifiedBy>
  <cp:revision>2</cp:revision>
  <cp:lastPrinted>2004-11-19T14:42:00Z</cp:lastPrinted>
  <dcterms:created xsi:type="dcterms:W3CDTF">2016-10-28T08:10:00Z</dcterms:created>
  <dcterms:modified xsi:type="dcterms:W3CDTF">2016-10-28T08:10:00Z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A8-0252/2016</vt:lpwstr>
  </property>
  <property fmtid="{D5CDD505-2E9C-101B-9397-08002B2CF9AE}" pid="4" name="&lt;Type&gt;">
    <vt:lpwstr>RR</vt:lpwstr>
  </property>
</Properties>
</file>