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AD2104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AD2104" w:rsidRDefault="00743F29" w:rsidP="0010095E">
            <w:pPr>
              <w:pStyle w:val="EPName"/>
              <w:rPr>
                <w:lang w:val="pt-PT"/>
              </w:rPr>
            </w:pPr>
            <w:r w:rsidRPr="00AD2104">
              <w:rPr>
                <w:lang w:val="pt-PT"/>
              </w:rPr>
              <w:t>Parlamento Europeu</w:t>
            </w:r>
          </w:p>
          <w:p w:rsidR="00751A4A" w:rsidRPr="00AD2104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 w:rsidRPr="00AD2104">
              <w:rPr>
                <w:lang w:val="pt-PT"/>
              </w:rPr>
              <w:t>2014</w:t>
            </w:r>
            <w:r w:rsidR="00C941CB" w:rsidRPr="00AD2104">
              <w:rPr>
                <w:lang w:val="pt-P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AD2104" w:rsidRDefault="00E7491A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AD2104" w:rsidRDefault="00D058B8" w:rsidP="00D058B8">
      <w:pPr>
        <w:pStyle w:val="LineTop"/>
        <w:rPr>
          <w:lang w:val="pt-PT"/>
        </w:rPr>
      </w:pPr>
    </w:p>
    <w:p w:rsidR="00680577" w:rsidRPr="00AD2104" w:rsidRDefault="00743F29" w:rsidP="00680577">
      <w:pPr>
        <w:pStyle w:val="ZSessionDoc"/>
        <w:rPr>
          <w:b/>
          <w:i w:val="0"/>
        </w:rPr>
      </w:pPr>
      <w:r w:rsidRPr="00AD2104">
        <w:rPr>
          <w:b/>
          <w:i w:val="0"/>
        </w:rPr>
        <w:t>TEXTOS APROVADOS</w:t>
      </w:r>
    </w:p>
    <w:p w:rsidR="00D058B8" w:rsidRPr="00AD2104" w:rsidRDefault="00D058B8" w:rsidP="00D058B8">
      <w:pPr>
        <w:pStyle w:val="LineBottom"/>
      </w:pPr>
    </w:p>
    <w:p w:rsidR="00743F29" w:rsidRPr="00AD2104" w:rsidRDefault="00743F29" w:rsidP="00743F29">
      <w:pPr>
        <w:pStyle w:val="ATHeading1"/>
        <w:rPr>
          <w:lang w:val="pt-PT"/>
        </w:rPr>
      </w:pPr>
      <w:bookmarkStart w:id="0" w:name="TANumber"/>
      <w:r w:rsidRPr="00AD2104">
        <w:rPr>
          <w:lang w:val="pt-PT"/>
        </w:rPr>
        <w:t>P8_TA</w:t>
      </w:r>
      <w:bookmarkStart w:id="1" w:name="_GoBack"/>
      <w:bookmarkEnd w:id="1"/>
      <w:r w:rsidRPr="00AD2104">
        <w:rPr>
          <w:lang w:val="pt-PT"/>
        </w:rPr>
        <w:t>(2016)0</w:t>
      </w:r>
      <w:r w:rsidR="00342866" w:rsidRPr="00AD2104">
        <w:rPr>
          <w:lang w:val="pt-PT"/>
        </w:rPr>
        <w:t>380</w:t>
      </w:r>
      <w:bookmarkEnd w:id="0"/>
    </w:p>
    <w:p w:rsidR="00743F29" w:rsidRPr="00AD2104" w:rsidRDefault="00743F29" w:rsidP="00743F29">
      <w:pPr>
        <w:pStyle w:val="ATHeading2"/>
        <w:rPr>
          <w:lang w:val="pt-PT"/>
        </w:rPr>
      </w:pPr>
      <w:bookmarkStart w:id="2" w:name="title"/>
      <w:r w:rsidRPr="00AD2104">
        <w:rPr>
          <w:lang w:val="pt-PT"/>
        </w:rPr>
        <w:t>Tailândia, em particular o caso de Andy Hall</w:t>
      </w:r>
      <w:bookmarkEnd w:id="2"/>
      <w:r w:rsidRPr="00AD2104">
        <w:rPr>
          <w:lang w:val="pt-PT"/>
        </w:rPr>
        <w:t xml:space="preserve"> </w:t>
      </w:r>
      <w:bookmarkStart w:id="3" w:name="Etoiles"/>
      <w:bookmarkEnd w:id="3"/>
    </w:p>
    <w:p w:rsidR="00743F29" w:rsidRPr="00AD2104" w:rsidRDefault="00743F29" w:rsidP="00743F29">
      <w:pPr>
        <w:rPr>
          <w:i/>
          <w:vanish/>
        </w:rPr>
      </w:pPr>
      <w:r w:rsidRPr="00AD2104">
        <w:rPr>
          <w:i/>
        </w:rPr>
        <w:fldChar w:fldCharType="begin"/>
      </w:r>
      <w:r w:rsidRPr="00AD2104">
        <w:rPr>
          <w:i/>
        </w:rPr>
        <w:instrText xml:space="preserve"> TC"(</w:instrText>
      </w:r>
      <w:bookmarkStart w:id="4" w:name="DocNumber"/>
      <w:r w:rsidRPr="00AD2104">
        <w:rPr>
          <w:i/>
        </w:rPr>
        <w:instrText>B8-1068, 1069, 1072, 1077, 1079, 108</w:instrText>
      </w:r>
      <w:r w:rsidR="00E83171" w:rsidRPr="00AD2104">
        <w:rPr>
          <w:i/>
        </w:rPr>
        <w:instrText>1</w:instrText>
      </w:r>
      <w:r w:rsidRPr="00AD2104">
        <w:rPr>
          <w:i/>
        </w:rPr>
        <w:instrText xml:space="preserve"> e 108</w:instrText>
      </w:r>
      <w:r w:rsidR="00E83171" w:rsidRPr="00AD2104">
        <w:rPr>
          <w:i/>
        </w:rPr>
        <w:instrText>2</w:instrText>
      </w:r>
      <w:r w:rsidRPr="00AD2104">
        <w:rPr>
          <w:i/>
        </w:rPr>
        <w:instrText>/2016</w:instrText>
      </w:r>
      <w:bookmarkEnd w:id="4"/>
      <w:r w:rsidRPr="00AD2104">
        <w:rPr>
          <w:i/>
        </w:rPr>
        <w:instrText xml:space="preserve">)"\l3 \n&gt; \* MERGEFORMAT </w:instrText>
      </w:r>
      <w:r w:rsidRPr="00AD2104">
        <w:rPr>
          <w:i/>
        </w:rPr>
        <w:fldChar w:fldCharType="end"/>
      </w:r>
    </w:p>
    <w:p w:rsidR="00743F29" w:rsidRPr="00AD2104" w:rsidRDefault="00743F29" w:rsidP="00743F29">
      <w:pPr>
        <w:rPr>
          <w:vanish/>
        </w:rPr>
      </w:pPr>
      <w:bookmarkStart w:id="5" w:name="PE"/>
      <w:r w:rsidRPr="00AD2104">
        <w:rPr>
          <w:vanish/>
        </w:rPr>
        <w:t>PE589.657</w:t>
      </w:r>
      <w:bookmarkEnd w:id="5"/>
    </w:p>
    <w:p w:rsidR="00743F29" w:rsidRPr="00AD2104" w:rsidRDefault="00743F29" w:rsidP="00743F29">
      <w:pPr>
        <w:pStyle w:val="ATHeading3"/>
        <w:rPr>
          <w:lang w:val="pt-PT"/>
        </w:rPr>
      </w:pPr>
      <w:bookmarkStart w:id="6" w:name="Sujet"/>
      <w:r w:rsidRPr="00AD2104">
        <w:rPr>
          <w:lang w:val="pt-PT"/>
        </w:rPr>
        <w:t>Resolução do Parlamento Europeu, de 6 de outubro de 2016,</w:t>
      </w:r>
      <w:r w:rsidR="001D2AB7" w:rsidRPr="00AD2104">
        <w:rPr>
          <w:lang w:val="pt-PT"/>
        </w:rPr>
        <w:t xml:space="preserve"> </w:t>
      </w:r>
      <w:r w:rsidRPr="00AD2104">
        <w:rPr>
          <w:lang w:val="pt-PT"/>
        </w:rPr>
        <w:t>sobre a Tailândia, nomeadamente a situação de Andy Hall</w:t>
      </w:r>
      <w:bookmarkEnd w:id="6"/>
      <w:r w:rsidRPr="00AD2104">
        <w:rPr>
          <w:lang w:val="pt-PT"/>
        </w:rPr>
        <w:t xml:space="preserve"> </w:t>
      </w:r>
      <w:bookmarkStart w:id="7" w:name="References"/>
      <w:r w:rsidRPr="00AD2104">
        <w:rPr>
          <w:lang w:val="pt-PT"/>
        </w:rPr>
        <w:t>(2016/2912(RSP))</w:t>
      </w:r>
      <w:bookmarkEnd w:id="7"/>
    </w:p>
    <w:p w:rsidR="00743F29" w:rsidRPr="00AD2104" w:rsidRDefault="00743F29" w:rsidP="00743F29"/>
    <w:p w:rsidR="00651979" w:rsidRPr="00AD2104" w:rsidRDefault="00651979" w:rsidP="00651979">
      <w:pPr>
        <w:pStyle w:val="Normal12"/>
      </w:pPr>
      <w:bookmarkStart w:id="8" w:name="TextBodyBegin"/>
      <w:bookmarkEnd w:id="8"/>
      <w:r w:rsidRPr="00AD2104">
        <w:rPr>
          <w:i/>
        </w:rPr>
        <w:t>O Parlamento Europeu,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–</w:t>
      </w:r>
      <w:r w:rsidRPr="00AD2104">
        <w:tab/>
        <w:t>Tendo em conta as suas anteriores resoluções sobre a Tailândia, nomeadamente as de 20 de maio de 2010</w:t>
      </w:r>
      <w:r w:rsidRPr="00AD2104">
        <w:rPr>
          <w:rStyle w:val="FootnoteReference"/>
        </w:rPr>
        <w:footnoteReference w:id="1"/>
      </w:r>
      <w:r w:rsidRPr="00AD2104">
        <w:t>, de 6 de fevereiro de 2014</w:t>
      </w:r>
      <w:r w:rsidRPr="00AD2104">
        <w:rPr>
          <w:rStyle w:val="FootnoteReference"/>
        </w:rPr>
        <w:footnoteReference w:id="2"/>
      </w:r>
      <w:r w:rsidRPr="00AD2104">
        <w:t>, de 21 de maio de 2015</w:t>
      </w:r>
      <w:r w:rsidRPr="00AD2104">
        <w:rPr>
          <w:rStyle w:val="FootnoteReference"/>
        </w:rPr>
        <w:footnoteReference w:id="3"/>
      </w:r>
      <w:r w:rsidRPr="00AD2104">
        <w:t xml:space="preserve"> e de 8 de outubro de 2015</w:t>
      </w:r>
      <w:r w:rsidRPr="00AD2104">
        <w:rPr>
          <w:rStyle w:val="FootnoteReference"/>
        </w:rPr>
        <w:footnoteReference w:id="4"/>
      </w:r>
      <w:r w:rsidRPr="00AD2104">
        <w:t>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  <w:rPr>
          <w:color w:val="000000"/>
          <w:szCs w:val="24"/>
        </w:rPr>
      </w:pPr>
      <w:r w:rsidRPr="00AD2104">
        <w:t>–</w:t>
      </w:r>
      <w:r w:rsidRPr="00AD2104">
        <w:tab/>
      </w:r>
      <w:r w:rsidRPr="00AD2104">
        <w:rPr>
          <w:color w:val="000000"/>
        </w:rPr>
        <w:t xml:space="preserve">Tendo em conta a resposta da Vice-Presidente da Comissão Europeia/Alta Representante da União para os Negócios Estrangeiros e a Política de Segurança, </w:t>
      </w:r>
      <w:proofErr w:type="spellStart"/>
      <w:r w:rsidRPr="00AD2104">
        <w:rPr>
          <w:color w:val="000000"/>
        </w:rPr>
        <w:t>Federica</w:t>
      </w:r>
      <w:proofErr w:type="spellEnd"/>
      <w:r w:rsidRPr="00AD2104">
        <w:rPr>
          <w:color w:val="000000"/>
        </w:rPr>
        <w:t xml:space="preserve"> </w:t>
      </w:r>
      <w:proofErr w:type="spellStart"/>
      <w:r w:rsidRPr="00AD2104">
        <w:rPr>
          <w:color w:val="000000"/>
        </w:rPr>
        <w:t>Mogherini</w:t>
      </w:r>
      <w:proofErr w:type="spellEnd"/>
      <w:r w:rsidRPr="00AD2104">
        <w:rPr>
          <w:color w:val="000000"/>
        </w:rPr>
        <w:t>, de 19 de novembro de 2015, em nome da Comissão, sobre a situação de Andy Hall,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–</w:t>
      </w:r>
      <w:r w:rsidRPr="00AD2104">
        <w:tab/>
        <w:t>Tendo em conta as declarações da delegação da UE na Tailândia, em acordo com os chefes de missão da UE na Tailândia, de 14 de novembro de 2014,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–</w:t>
      </w:r>
      <w:r w:rsidRPr="00AD2104">
        <w:tab/>
        <w:t>Tendo em conta o comunicado de imprensa do Alto Comissariado das Nações Unidas para os Direitos Humanos de 20 de setembro de 2016,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–</w:t>
      </w:r>
      <w:r w:rsidRPr="00AD2104">
        <w:tab/>
        <w:t xml:space="preserve">Tendo em conta a declaração de </w:t>
      </w:r>
      <w:proofErr w:type="spellStart"/>
      <w:r w:rsidRPr="00AD2104">
        <w:t>Maurizio</w:t>
      </w:r>
      <w:proofErr w:type="spellEnd"/>
      <w:r w:rsidRPr="00AD2104">
        <w:t xml:space="preserve"> </w:t>
      </w:r>
      <w:proofErr w:type="spellStart"/>
      <w:r w:rsidRPr="00AD2104">
        <w:t>Bussi</w:t>
      </w:r>
      <w:proofErr w:type="spellEnd"/>
      <w:r w:rsidRPr="00AD2104">
        <w:t xml:space="preserve">, diretor da Organização Internacional do Trabalho para a Tailândia, o Camboja e a República Democrática Popular do Laos, de 21 de setembro de 2016, sobre a condenação do ativista dos direitos laborais, Andy Hall, na Tailândia, 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–</w:t>
      </w:r>
      <w:r w:rsidRPr="00AD2104">
        <w:tab/>
        <w:t xml:space="preserve">Tendo em conta a revisão periódica universal relativa à Tailândia perante o Conselho dos Direitos do Homem das Nações Unidas e as suas recomendações de 11 de maio de 2016, 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–</w:t>
      </w:r>
      <w:r w:rsidRPr="00AD2104">
        <w:tab/>
        <w:t>Tendo em conta a Declaração Universal dos Direitos do Homem, de 10 de dezembro de 1948,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lastRenderedPageBreak/>
        <w:t>–</w:t>
      </w:r>
      <w:r w:rsidRPr="00AD2104">
        <w:tab/>
        <w:t>Tendo em conta o relatório de 2014 sobre a migração na Tailândia do grupo de trabalho temático da ONU sobre migração,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–</w:t>
      </w:r>
      <w:r w:rsidRPr="00AD2104">
        <w:tab/>
        <w:t>Tendo em conta a Declaração das Nações Unidas sobre os defensores dos direitos humanos, de 1998, e a Resolução A/RES/70/161, de 17 de dezembro de 2015, da Assembleia Geral das Nações Unidas,</w:t>
      </w:r>
    </w:p>
    <w:p w:rsidR="001D2AB7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–</w:t>
      </w:r>
      <w:r w:rsidRPr="00AD2104">
        <w:tab/>
        <w:t>Tendo em conta o Pacto Internacional sobre os Direitos Civis e Políticos (PIDCP) de 1966, no qual a Tailândia é parte,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–</w:t>
      </w:r>
      <w:r w:rsidRPr="00AD2104">
        <w:tab/>
        <w:t>Tendo em conta a Convenção das Nações Unidas contra a Tortura e outras Penas ou Tratamentos Cruéis, Desumanos ou Degradantes, de 1984,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–</w:t>
      </w:r>
      <w:r w:rsidRPr="00AD2104">
        <w:tab/>
        <w:t>Tendo em conta a Declaração sobre os Direitos Humanos da Associação das Nações do Sudeste Asiático, de 18 de novembro de 2012,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−</w:t>
      </w:r>
      <w:r w:rsidRPr="00AD2104">
        <w:tab/>
        <w:t>Tendo em conta os princípios orientadores da ONU sobre empresas e direitos humanos,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–</w:t>
      </w:r>
      <w:r w:rsidRPr="00AD2104">
        <w:tab/>
        <w:t>Tendo em conta o artigo 135.º, n.º 5, e o artigo 123.º, n.º 4, do seu Regimento,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A.</w:t>
      </w:r>
      <w:r w:rsidRPr="00AD2104">
        <w:tab/>
        <w:t xml:space="preserve">Considerando que o defensor dos direitos dos trabalhadores, Andy Hall, cidadão da UE, foi condenado, em 20 de setembro de 2016, a três anos de prisão com pensa suspensa e a uma coima de 150 000 THB após ter contribuído para um relatório da ONG finlandesa </w:t>
      </w:r>
      <w:proofErr w:type="spellStart"/>
      <w:r w:rsidRPr="00AD2104">
        <w:t>Finnwatch</w:t>
      </w:r>
      <w:proofErr w:type="spellEnd"/>
      <w:r w:rsidRPr="00AD2104">
        <w:t xml:space="preserve"> e </w:t>
      </w:r>
      <w:proofErr w:type="gramStart"/>
      <w:r w:rsidRPr="00AD2104">
        <w:t>denunciado violações</w:t>
      </w:r>
      <w:proofErr w:type="gramEnd"/>
      <w:r w:rsidRPr="00AD2104">
        <w:t xml:space="preserve"> do direito laboral numa fábrica tailandesa de transformação de ananás, Natural </w:t>
      </w:r>
      <w:proofErr w:type="spellStart"/>
      <w:r w:rsidRPr="00AD2104">
        <w:t>Fruit</w:t>
      </w:r>
      <w:proofErr w:type="spellEnd"/>
      <w:r w:rsidRPr="00AD2104">
        <w:t xml:space="preserve"> </w:t>
      </w:r>
      <w:proofErr w:type="spellStart"/>
      <w:r w:rsidRPr="00AD2104">
        <w:t>Company</w:t>
      </w:r>
      <w:proofErr w:type="spellEnd"/>
      <w:r w:rsidRPr="00AD2104">
        <w:t xml:space="preserve"> </w:t>
      </w:r>
      <w:proofErr w:type="spellStart"/>
      <w:r w:rsidRPr="00AD2104">
        <w:t>Ltd</w:t>
      </w:r>
      <w:proofErr w:type="spellEnd"/>
      <w:r w:rsidRPr="00AD2104">
        <w:t>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B.</w:t>
      </w:r>
      <w:r w:rsidRPr="00AD2104">
        <w:tab/>
        <w:t>Considerando que Andy Hall foi formalmente acusado do crime de difamação e de crime informático pela publicação em linha do relatório e que os dois processos penais movidos contra Andy Hall puderam prosseguir as vias do sistema judicial tailandês;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C.</w:t>
      </w:r>
      <w:r w:rsidRPr="00AD2104">
        <w:tab/>
        <w:t xml:space="preserve">Considerando que algumas violações dos direitos </w:t>
      </w:r>
      <w:proofErr w:type="gramStart"/>
      <w:r w:rsidRPr="00AD2104">
        <w:t>dos trabalhadores cometidas</w:t>
      </w:r>
      <w:proofErr w:type="gramEnd"/>
      <w:r w:rsidRPr="00AD2104">
        <w:t xml:space="preserve"> pela empresa foram identificadas pelo Ministério do Trabalho tailandês, bem como por trabalhadores da empresa Natural </w:t>
      </w:r>
      <w:proofErr w:type="spellStart"/>
      <w:r w:rsidRPr="00AD2104">
        <w:t>Fruit</w:t>
      </w:r>
      <w:proofErr w:type="spellEnd"/>
      <w:r w:rsidRPr="00AD2104">
        <w:t xml:space="preserve"> </w:t>
      </w:r>
      <w:proofErr w:type="spellStart"/>
      <w:r w:rsidRPr="00AD2104">
        <w:t>Company</w:t>
      </w:r>
      <w:proofErr w:type="spellEnd"/>
      <w:r w:rsidRPr="00AD2104">
        <w:t xml:space="preserve"> </w:t>
      </w:r>
      <w:proofErr w:type="spellStart"/>
      <w:r w:rsidRPr="00AD2104">
        <w:t>Ltd</w:t>
      </w:r>
      <w:proofErr w:type="spellEnd"/>
      <w:r w:rsidRPr="00AD2104">
        <w:t xml:space="preserve"> durante anteriores audiências do Tribunal;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proofErr w:type="gramStart"/>
      <w:r w:rsidRPr="00AD2104">
        <w:t>D.</w:t>
      </w:r>
      <w:proofErr w:type="gramEnd"/>
      <w:r w:rsidRPr="00AD2104">
        <w:tab/>
        <w:t xml:space="preserve">Considerando que, em 18 de setembro de 2015, o Tribunal </w:t>
      </w:r>
      <w:proofErr w:type="spellStart"/>
      <w:r w:rsidRPr="00AD2104">
        <w:t>Prakanong</w:t>
      </w:r>
      <w:proofErr w:type="spellEnd"/>
      <w:r w:rsidRPr="00AD2104">
        <w:t xml:space="preserve"> em Banguecoque, num acórdão favorável a Andy Hall, confirmou a improcedência dos outros processos de difamação que lhe foram movidos, os quais foram objeto de recurso apresentado pela empresa Natural </w:t>
      </w:r>
      <w:proofErr w:type="spellStart"/>
      <w:r w:rsidRPr="00AD2104">
        <w:t>Fruit</w:t>
      </w:r>
      <w:proofErr w:type="spellEnd"/>
      <w:r w:rsidRPr="00AD2104">
        <w:t xml:space="preserve"> </w:t>
      </w:r>
      <w:proofErr w:type="spellStart"/>
      <w:r w:rsidRPr="00AD2104">
        <w:t>Company</w:t>
      </w:r>
      <w:proofErr w:type="spellEnd"/>
      <w:r w:rsidRPr="00AD2104">
        <w:t xml:space="preserve"> </w:t>
      </w:r>
      <w:proofErr w:type="spellStart"/>
      <w:r w:rsidRPr="00AD2104">
        <w:t>Ltd</w:t>
      </w:r>
      <w:proofErr w:type="spellEnd"/>
      <w:r w:rsidRPr="00AD2104">
        <w:t xml:space="preserve"> e pelo procurador-geral da Tailândia, que ainda correm no Supremo Tribunal; que os dois processos civis foram suspensos na pendência da resolução dos dois processos penais;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E.</w:t>
      </w:r>
      <w:r w:rsidRPr="00AD2104">
        <w:tab/>
        <w:t>Considerando que, segundo informações vindas a lume na comunicação social internacional e tailandesa, a rede dos direitos dos trabalhadores migrantes (MWRN), uma organização à qual Andy Hall presta aconselhamento, bem como o próprio Andy Hall e 14 trabalhadores de aviários originários de Mianmar, enfrentam a ameaça de instauração de processos penais análogos por crime informático e de difamação por parte de um fornecedor de aves de capoeira da Tailândia que abastece o mercado europeu;</w:t>
      </w:r>
    </w:p>
    <w:p w:rsidR="001D2AB7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F.</w:t>
      </w:r>
      <w:r w:rsidRPr="00AD2104">
        <w:tab/>
        <w:t xml:space="preserve">Considerando que, em 28 de setembro de 2016, as autoridades tailandesas impediram a apresentação pública e o lançamento, por alguns especialistas/investigadores </w:t>
      </w:r>
      <w:r w:rsidRPr="00AD2104">
        <w:lastRenderedPageBreak/>
        <w:t>estrangeiros no domínio dos direitos humanos, do mais recente relatório de investigação da Amnistia Internacional que atesta a prática regular de atos de tortura ou de maus tratos em bases militares, esquadras de polícia e centros de detenção de que são vítimas, entre outros, adversários políticos, trabalhadores migrantes e pessoas suspeitas de insurreição;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G.</w:t>
      </w:r>
      <w:r w:rsidRPr="00AD2104">
        <w:tab/>
        <w:t>Considerando que o uso desproporcionado de leis penais em matéria de difamação, que preveem penas de prisão, contra os defensores dos direitos humanos que denunciam alegadas violações dos humanos, limita a liberdade de expressão na Tailândia, em violação das obrigações deste país decorrentes do Pacto Internacional sobre os Direitos Civis e Políticos (PIDCP), de que é um Estado Parte;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H.</w:t>
      </w:r>
      <w:r w:rsidRPr="00AD2104">
        <w:tab/>
        <w:t xml:space="preserve">Considerando que existem cerca de 4 milhões de estrangeiros na Tailândia, 2,7 milhões dos quais são provenientes do Camboja, do Laos e de Mianmar; que os migrantes destes países podem obter autorizações de trabalho desde 2001, salientando, porém, que existem mais de um milhão de trabalhadores migrantes não registados no país; 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I.</w:t>
      </w:r>
      <w:r w:rsidRPr="00AD2104">
        <w:tab/>
        <w:t xml:space="preserve">Considerando que, segundo a organização </w:t>
      </w:r>
      <w:proofErr w:type="spellStart"/>
      <w:r w:rsidRPr="00AD2104">
        <w:t>Human</w:t>
      </w:r>
      <w:proofErr w:type="spellEnd"/>
      <w:r w:rsidRPr="00AD2104">
        <w:t xml:space="preserve"> </w:t>
      </w:r>
      <w:proofErr w:type="spellStart"/>
      <w:r w:rsidRPr="00AD2104">
        <w:t>Rights</w:t>
      </w:r>
      <w:proofErr w:type="spellEnd"/>
      <w:r w:rsidRPr="00AD2104">
        <w:t xml:space="preserve"> </w:t>
      </w:r>
      <w:proofErr w:type="spellStart"/>
      <w:r w:rsidRPr="00AD2104">
        <w:t>Watch</w:t>
      </w:r>
      <w:proofErr w:type="spellEnd"/>
      <w:r w:rsidRPr="00AD2104">
        <w:t xml:space="preserve">, na sua declaração de 18 de setembro de 2016, os direitos humanos e os direitos laborais dos trabalhadores migrantes na Tailândia provenientes de Mianmar, do Camboja e do Laos foram reiteradamente violados com impunidade ao longo dos anos e, não raro, os trabalhadores migrantes beneficiam de pouca ou nenhuma proteção ao abrigo da legislação laboral tailandesa, a despeito das afirmações do Governo tailandês de que todos os trabalhadores migrantes registados legalmente serão protegidos ao abrigo das referidas leis; 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J.</w:t>
      </w:r>
      <w:r w:rsidRPr="00AD2104">
        <w:tab/>
        <w:t>Considerando que a Tailândia começou a aplicar um Memorando de Entendimento relativo à cooperação no domínio do emprego de trabalhadores com o Camboja e o Laos em 2006 e com o Mianmar em 2009; que, em conformidade com sistema previsto no Memorando de Entendimento, os trabalhadores podem receber ofertas de trabalho e documentos de viagem antes de emigrarem para a Tailândia, mas apenas 5% dos trabalhadores destes países foram sujeitos a esse procedimento previsto no Memorando de Entendimento;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1.</w:t>
      </w:r>
      <w:r w:rsidRPr="00AD2104">
        <w:tab/>
        <w:t xml:space="preserve">Congratula-se com o forte empenho da UE a favor do povo tailandês, com o qual a UE tem sólidos laços políticos, económicos e culturais de longa data; 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2.</w:t>
      </w:r>
      <w:r w:rsidRPr="00AD2104">
        <w:tab/>
        <w:t xml:space="preserve">Lamenta a condenação de Andy Hall e manifesta a sua preocupação com o processo judicial e o seu eventual impacto na liberdade dos defensores dos direitos humanos no quadro do exercício da sua atividade; 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3.</w:t>
      </w:r>
      <w:r w:rsidRPr="00AD2104">
        <w:tab/>
        <w:t xml:space="preserve">Insta o Governo tailandês a tomar todas as medidas necessárias para garantir que os direitos, incluindo o direito a um julgamento justo, que assistem a Andy Hall e a outros defensores dos direitos humanos sejam respeitados e protegidos, e a criar um ambiente propício ao respeito pelos direitos humanos e, em particular, a garantir que a promoção e a proteção dos direitos humanos não sejam objeto de ação penal;  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4.</w:t>
      </w:r>
      <w:r w:rsidRPr="00AD2104">
        <w:tab/>
        <w:t xml:space="preserve">Solicita às autoridades tailandesas que garantam que a legislação em vigor no país em matéria de difamação seja consentânea com o Pacto Internacional sobre os Direitos Civis e Políticos (PIDCP), de que é um Estado Parte, e também que reveja o diploma legislativo relativo à criminalidade informática cuja formulação atual é demasiado vaga; 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lastRenderedPageBreak/>
        <w:t>5.</w:t>
      </w:r>
      <w:r w:rsidRPr="00AD2104">
        <w:tab/>
        <w:t>Louva o SEAE pelo trabalho que desenvolve em relação ao caso de Andy Hall, e apela a este serviço para que continue a acompanhar de perto a situação; convida a Vice</w:t>
      </w:r>
      <w:r w:rsidRPr="00AD2104">
        <w:noBreakHyphen/>
        <w:t>Presidente da Comissão/Alta Representante da União para os Negócios Estrangeiros e a Política de Segurança a abordar a questão com o Governo tailandês por ocasião da próxima reunião ministerial ASEAN/UE, a realizar em Banguecoque;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6.</w:t>
      </w:r>
      <w:r w:rsidRPr="00AD2104">
        <w:tab/>
        <w:t>Insta o Governo tailandês e as instituições do Estado a honrarem as suas obrigações constitucionais e internacionais no que se refere à independência do poder judicial, ao direito a um processo equitativo e a um julgamento justo e ao direito à liberdade de expressão, associação e reunião pacífica;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7.</w:t>
      </w:r>
      <w:r w:rsidRPr="00AD2104">
        <w:tab/>
        <w:t>Reconhece os progressos realizados pelo Governo tailandês no combate contra a exploração dos trabalhadores e a favor da proteção dos trabalhadores nacionais e migrantes, como evidenciado, nomeadamente, por um reforço da inspeção do trabalho, pela legislação em matéria de agências de emprego, pelas medidas para impedir a servidão por dívidas e o tráfico de seres humanos, pela criação de um regime de sanções mais dissuasivas para as violações do direito laboral, bem como pela ratificação da Convenção n.º 187 da OIT e pela assinatura, em março de 2016, da Convenção sobre o trabalho marítimo;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8.</w:t>
      </w:r>
      <w:r w:rsidRPr="00AD2104">
        <w:tab/>
        <w:t>Convida as autoridades tailandesas a adotarem e a aplicarem, na lei e na prática, uma política de imigração global e de longo prazo para trabalhadores migrantes pouco qualificados, em conformidade com os princípios dos direitos humanos e tendo em conta as necessidades do mercado de trabalho; neste contexto, propõe como primeiro passo a revisão do código de trabalho, com vista a garantir aos trabalhadores migrantes o mesmo direito à liberdade de associação como aos cidadãos tailandeses;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9.</w:t>
      </w:r>
      <w:r w:rsidRPr="00AD2104">
        <w:tab/>
        <w:t xml:space="preserve">Solicita que </w:t>
      </w:r>
      <w:proofErr w:type="gramStart"/>
      <w:r w:rsidRPr="00AD2104">
        <w:t>a</w:t>
      </w:r>
      <w:proofErr w:type="gramEnd"/>
      <w:r w:rsidRPr="00AD2104">
        <w:t xml:space="preserve"> proteção dos trabalhadores migrantes através da concessão de maiores incentivos aos empregadores para que participem ativamente no processo de regularização, a par da aplicação de elevadas coimas ou outras sanções contra os empregadores que não </w:t>
      </w:r>
      <w:proofErr w:type="gramStart"/>
      <w:r w:rsidRPr="00AD2104">
        <w:t>participem</w:t>
      </w:r>
      <w:proofErr w:type="gramEnd"/>
      <w:r w:rsidRPr="00AD2104">
        <w:t xml:space="preserve"> no processo de regularização ou que violem o direito laboral;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10.</w:t>
      </w:r>
      <w:r w:rsidRPr="00AD2104">
        <w:tab/>
        <w:t>Convida o Serviço Europeu para a Acão Externa (SEAE) e a delegação da UE em Banguecoque, bem como as delegações dos Estados-Membros, a continuarem a acompanhar a situação dos direitos humanos na Tailândia, a continuarem a colaborar com o Governo e a sociedade civil e a recorrerem a todos os instrumentos disponíveis para assegurar o respeito pelos direitos humanos, pelos defensores dos direitos humanos e pelo Estado de direito na Tailândia;</w:t>
      </w:r>
    </w:p>
    <w:p w:rsidR="00651979" w:rsidRPr="00AD2104" w:rsidRDefault="00651979" w:rsidP="001D2AB7">
      <w:pPr>
        <w:pStyle w:val="Hanging12"/>
        <w:tabs>
          <w:tab w:val="clear" w:pos="357"/>
        </w:tabs>
        <w:ind w:left="567" w:hanging="567"/>
      </w:pPr>
      <w:r w:rsidRPr="00AD2104">
        <w:t>11.</w:t>
      </w:r>
      <w:r w:rsidRPr="00AD2104">
        <w:tab/>
        <w:t xml:space="preserve">Insta a UE e os Estados-Membros a assegurarem que as empresas que estão sediadas nos seus territórios e que realizem atividades na Tailândia respeitem as normas internacionais em matéria de direitos humanos através de uma monitorização e de uma comunicação de informações com base no princípio da transparência, em cooperação com a sociedade civil, e congratula-se com o apoio que o grupo retalhista finlandês S </w:t>
      </w:r>
      <w:proofErr w:type="spellStart"/>
      <w:r w:rsidRPr="00AD2104">
        <w:t>Group</w:t>
      </w:r>
      <w:proofErr w:type="spellEnd"/>
      <w:r w:rsidRPr="00AD2104">
        <w:t xml:space="preserve"> deu a Andy Hall;</w:t>
      </w:r>
    </w:p>
    <w:p w:rsidR="00EA3E22" w:rsidRPr="00AD2104" w:rsidRDefault="00EA3E22" w:rsidP="00EA3E22">
      <w:pPr>
        <w:pStyle w:val="Hanging12"/>
        <w:tabs>
          <w:tab w:val="clear" w:pos="357"/>
        </w:tabs>
        <w:ind w:left="567" w:hanging="567"/>
      </w:pPr>
      <w:r w:rsidRPr="00AD2104">
        <w:t>12.</w:t>
      </w:r>
      <w:r w:rsidRPr="00AD2104">
        <w:tab/>
        <w:t xml:space="preserve">Está firmemente convicto de que as empresas deveriam prestar contas por qualquer dano ambiental e por quaisquer violações dos direitos humanos por que sejam responsáveis e que a UE e os Estados-Membros deveriam consagrar esta condição como princípio fundamental; </w:t>
      </w:r>
    </w:p>
    <w:p w:rsidR="00651979" w:rsidRPr="00AD2104" w:rsidRDefault="00EA3E22" w:rsidP="00EA3E22">
      <w:pPr>
        <w:pStyle w:val="Hanging12"/>
        <w:tabs>
          <w:tab w:val="clear" w:pos="357"/>
        </w:tabs>
        <w:ind w:left="567" w:hanging="567"/>
      </w:pPr>
      <w:r w:rsidRPr="00AD2104">
        <w:lastRenderedPageBreak/>
        <w:t>13</w:t>
      </w:r>
      <w:r w:rsidR="00651979" w:rsidRPr="00AD2104">
        <w:t>.</w:t>
      </w:r>
      <w:r w:rsidR="00651979" w:rsidRPr="00AD2104">
        <w:tab/>
        <w:t xml:space="preserve">Encarrega o seu Presidente de transmitir a presente resolução à Vice-Presidente da Comissão/Alta Representante da União para os Negócios Estrangeiros e a Política de Segurança, à Comissão, ao Governo e ao Parlamento da Tailândia, aos parlamentos e governos dos Estados-Membros, ao </w:t>
      </w:r>
      <w:proofErr w:type="gramStart"/>
      <w:r w:rsidR="00651979" w:rsidRPr="00AD2104">
        <w:t>Alto Comissário</w:t>
      </w:r>
      <w:proofErr w:type="gramEnd"/>
      <w:r w:rsidR="00651979" w:rsidRPr="00AD2104">
        <w:t xml:space="preserve"> das Nações Unidas para os Direitos Humanos e aos governos dos Estados membros da Associação das Nações do Sudeste Asiático.</w:t>
      </w:r>
    </w:p>
    <w:p w:rsidR="00E365E1" w:rsidRPr="00AD2104" w:rsidRDefault="00E365E1" w:rsidP="001D2AB7">
      <w:pPr>
        <w:ind w:left="567" w:hanging="567"/>
      </w:pPr>
      <w:bookmarkStart w:id="9" w:name="TextBodyEnd"/>
      <w:bookmarkEnd w:id="9"/>
    </w:p>
    <w:sectPr w:rsidR="00E365E1" w:rsidRPr="00AD2104" w:rsidSect="00585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29" w:rsidRPr="00743F29" w:rsidRDefault="00743F29">
      <w:r w:rsidRPr="00743F29">
        <w:separator/>
      </w:r>
    </w:p>
  </w:endnote>
  <w:endnote w:type="continuationSeparator" w:id="0">
    <w:p w:rsidR="00743F29" w:rsidRPr="00743F29" w:rsidRDefault="00743F29">
      <w:r w:rsidRPr="00743F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95" w:rsidRDefault="00585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95" w:rsidRDefault="005856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95" w:rsidRDefault="00585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29" w:rsidRPr="00743F29" w:rsidRDefault="00743F29">
      <w:r w:rsidRPr="00743F29">
        <w:separator/>
      </w:r>
    </w:p>
  </w:footnote>
  <w:footnote w:type="continuationSeparator" w:id="0">
    <w:p w:rsidR="00743F29" w:rsidRPr="00743F29" w:rsidRDefault="00743F29">
      <w:r w:rsidRPr="00743F29">
        <w:continuationSeparator/>
      </w:r>
    </w:p>
  </w:footnote>
  <w:footnote w:id="1">
    <w:p w:rsidR="00651979" w:rsidRPr="00B07C65" w:rsidRDefault="00651979" w:rsidP="001D2AB7">
      <w:pPr>
        <w:pStyle w:val="FootnoteText"/>
        <w:ind w:left="567" w:hanging="567"/>
        <w:rPr>
          <w:sz w:val="24"/>
          <w:szCs w:val="24"/>
          <w:lang w:val="pt-PT"/>
        </w:rPr>
      </w:pPr>
      <w:r w:rsidRPr="00B07C65">
        <w:rPr>
          <w:rStyle w:val="FootnoteReference"/>
          <w:sz w:val="24"/>
          <w:szCs w:val="24"/>
        </w:rPr>
        <w:footnoteRef/>
      </w:r>
      <w:r w:rsidRPr="00B07C65">
        <w:rPr>
          <w:sz w:val="24"/>
          <w:szCs w:val="24"/>
          <w:lang w:val="pt-PT"/>
        </w:rPr>
        <w:t xml:space="preserve"> </w:t>
      </w:r>
      <w:r w:rsidR="001D2AB7" w:rsidRPr="00B07C65">
        <w:rPr>
          <w:sz w:val="24"/>
          <w:szCs w:val="24"/>
          <w:lang w:val="pt-PT"/>
        </w:rPr>
        <w:tab/>
      </w:r>
      <w:r w:rsidRPr="00B07C65">
        <w:rPr>
          <w:sz w:val="24"/>
          <w:szCs w:val="24"/>
          <w:lang w:val="pt-PT"/>
        </w:rPr>
        <w:t>JO C 161</w:t>
      </w:r>
      <w:r w:rsidR="001D2AB7" w:rsidRPr="00B07C65">
        <w:rPr>
          <w:sz w:val="24"/>
          <w:szCs w:val="24"/>
          <w:lang w:val="pt-PT"/>
        </w:rPr>
        <w:t xml:space="preserve"> </w:t>
      </w:r>
      <w:r w:rsidRPr="00B07C65">
        <w:rPr>
          <w:sz w:val="24"/>
          <w:szCs w:val="24"/>
          <w:lang w:val="pt-PT"/>
        </w:rPr>
        <w:t>E de 31.5.2011, p. 152.</w:t>
      </w:r>
    </w:p>
  </w:footnote>
  <w:footnote w:id="2">
    <w:p w:rsidR="00651979" w:rsidRPr="00B07C65" w:rsidRDefault="00651979" w:rsidP="001D2AB7">
      <w:pPr>
        <w:pStyle w:val="FootnoteText"/>
        <w:ind w:left="567" w:hanging="567"/>
        <w:rPr>
          <w:sz w:val="24"/>
          <w:szCs w:val="24"/>
          <w:lang w:val="pt-PT"/>
        </w:rPr>
      </w:pPr>
      <w:r w:rsidRPr="00B07C65">
        <w:rPr>
          <w:rStyle w:val="FootnoteReference"/>
          <w:sz w:val="24"/>
          <w:szCs w:val="24"/>
        </w:rPr>
        <w:footnoteRef/>
      </w:r>
      <w:r w:rsidRPr="00B07C65">
        <w:rPr>
          <w:sz w:val="24"/>
          <w:szCs w:val="24"/>
          <w:lang w:val="pt-PT"/>
        </w:rPr>
        <w:t xml:space="preserve"> </w:t>
      </w:r>
      <w:r w:rsidR="001D2AB7" w:rsidRPr="00B07C65">
        <w:rPr>
          <w:sz w:val="24"/>
          <w:szCs w:val="24"/>
          <w:lang w:val="pt-PT"/>
        </w:rPr>
        <w:tab/>
        <w:t>Textos A</w:t>
      </w:r>
      <w:r w:rsidRPr="00B07C65">
        <w:rPr>
          <w:sz w:val="24"/>
          <w:szCs w:val="24"/>
          <w:lang w:val="pt-PT"/>
        </w:rPr>
        <w:t xml:space="preserve">provados, </w:t>
      </w:r>
      <w:proofErr w:type="gramStart"/>
      <w:r w:rsidRPr="00B07C65">
        <w:rPr>
          <w:sz w:val="24"/>
          <w:szCs w:val="24"/>
          <w:lang w:val="pt-PT"/>
        </w:rPr>
        <w:t>P7_TA(2014</w:t>
      </w:r>
      <w:proofErr w:type="gramEnd"/>
      <w:r w:rsidRPr="00B07C65">
        <w:rPr>
          <w:sz w:val="24"/>
          <w:szCs w:val="24"/>
          <w:lang w:val="pt-PT"/>
        </w:rPr>
        <w:t>)0107.</w:t>
      </w:r>
    </w:p>
  </w:footnote>
  <w:footnote w:id="3">
    <w:p w:rsidR="00651979" w:rsidRPr="00B07C65" w:rsidRDefault="00651979" w:rsidP="001D2AB7">
      <w:pPr>
        <w:pStyle w:val="FootnoteText"/>
        <w:ind w:left="567" w:hanging="567"/>
        <w:rPr>
          <w:sz w:val="24"/>
          <w:szCs w:val="24"/>
          <w:lang w:val="pt-PT"/>
        </w:rPr>
      </w:pPr>
      <w:r w:rsidRPr="00B07C65">
        <w:rPr>
          <w:rStyle w:val="FootnoteReference"/>
          <w:sz w:val="24"/>
          <w:szCs w:val="24"/>
        </w:rPr>
        <w:footnoteRef/>
      </w:r>
      <w:r w:rsidRPr="00B07C65">
        <w:rPr>
          <w:sz w:val="24"/>
          <w:szCs w:val="24"/>
          <w:lang w:val="pt-PT"/>
        </w:rPr>
        <w:t xml:space="preserve"> </w:t>
      </w:r>
      <w:r w:rsidR="001D2AB7" w:rsidRPr="00B07C65">
        <w:rPr>
          <w:sz w:val="24"/>
          <w:szCs w:val="24"/>
          <w:lang w:val="pt-PT"/>
        </w:rPr>
        <w:tab/>
      </w:r>
      <w:r w:rsidRPr="00B07C65">
        <w:rPr>
          <w:sz w:val="24"/>
          <w:szCs w:val="24"/>
          <w:lang w:val="pt-PT"/>
        </w:rPr>
        <w:t>JO C 353 de 27.9.2016, p. 52.</w:t>
      </w:r>
    </w:p>
  </w:footnote>
  <w:footnote w:id="4">
    <w:p w:rsidR="00651979" w:rsidRPr="00B07C65" w:rsidRDefault="00651979" w:rsidP="001D2AB7">
      <w:pPr>
        <w:pStyle w:val="FootnoteText"/>
        <w:ind w:left="567" w:hanging="567"/>
        <w:rPr>
          <w:sz w:val="24"/>
          <w:szCs w:val="24"/>
          <w:lang w:val="pt-PT"/>
        </w:rPr>
      </w:pPr>
      <w:r w:rsidRPr="00B07C65">
        <w:rPr>
          <w:rStyle w:val="FootnoteReference"/>
          <w:sz w:val="24"/>
          <w:szCs w:val="24"/>
        </w:rPr>
        <w:footnoteRef/>
      </w:r>
      <w:r w:rsidRPr="00B07C65">
        <w:rPr>
          <w:sz w:val="24"/>
          <w:szCs w:val="24"/>
          <w:lang w:val="pt-PT"/>
        </w:rPr>
        <w:t xml:space="preserve"> </w:t>
      </w:r>
      <w:r w:rsidR="001D2AB7" w:rsidRPr="00B07C65">
        <w:rPr>
          <w:sz w:val="24"/>
          <w:szCs w:val="24"/>
          <w:lang w:val="pt-PT"/>
        </w:rPr>
        <w:tab/>
      </w:r>
      <w:r w:rsidRPr="00B07C65">
        <w:rPr>
          <w:sz w:val="24"/>
          <w:szCs w:val="24"/>
          <w:lang w:val="pt-PT"/>
        </w:rPr>
        <w:t>Te</w:t>
      </w:r>
      <w:r w:rsidR="001D2AB7" w:rsidRPr="00B07C65">
        <w:rPr>
          <w:sz w:val="24"/>
          <w:szCs w:val="24"/>
          <w:lang w:val="pt-PT"/>
        </w:rPr>
        <w:t>xtos A</w:t>
      </w:r>
      <w:r w:rsidRPr="00B07C65">
        <w:rPr>
          <w:sz w:val="24"/>
          <w:szCs w:val="24"/>
          <w:lang w:val="pt-PT"/>
        </w:rPr>
        <w:t xml:space="preserve">provados, </w:t>
      </w:r>
      <w:proofErr w:type="gramStart"/>
      <w:r w:rsidRPr="00B07C65">
        <w:rPr>
          <w:sz w:val="24"/>
          <w:szCs w:val="24"/>
          <w:lang w:val="pt-PT"/>
        </w:rPr>
        <w:t>P8_TA(2015</w:t>
      </w:r>
      <w:proofErr w:type="gramEnd"/>
      <w:r w:rsidRPr="00B07C65">
        <w:rPr>
          <w:sz w:val="24"/>
          <w:szCs w:val="24"/>
          <w:lang w:val="pt-PT"/>
        </w:rPr>
        <w:t>)0343.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95" w:rsidRDefault="00585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95" w:rsidRDefault="005856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95" w:rsidRDefault="00585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8-1068, 1069, 1072, 1077, 1079, 1082 e 1081/2016"/>
    <w:docVar w:name="dvlangue" w:val="PT"/>
    <w:docVar w:name="dvnumam" w:val="0"/>
    <w:docVar w:name="dvpe" w:val="589.657"/>
    <w:docVar w:name="dvtitre" w:val="Resolução do Parlamento Europeu, de 6 de outubro de 2016,_x000d__x000a_ sobre a Tailândia, nomeadamente a situação de Andy Hall(2016/2912(RSP))"/>
  </w:docVars>
  <w:rsids>
    <w:rsidRoot w:val="00743F29"/>
    <w:rsid w:val="00002272"/>
    <w:rsid w:val="000677B9"/>
    <w:rsid w:val="000E7DD9"/>
    <w:rsid w:val="0010095E"/>
    <w:rsid w:val="00125B37"/>
    <w:rsid w:val="001D2AB7"/>
    <w:rsid w:val="002767FF"/>
    <w:rsid w:val="002B5493"/>
    <w:rsid w:val="00342866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85695"/>
    <w:rsid w:val="006037C0"/>
    <w:rsid w:val="00651979"/>
    <w:rsid w:val="00680577"/>
    <w:rsid w:val="006F74FA"/>
    <w:rsid w:val="00731ADD"/>
    <w:rsid w:val="00734777"/>
    <w:rsid w:val="00743F29"/>
    <w:rsid w:val="00751A4A"/>
    <w:rsid w:val="00756632"/>
    <w:rsid w:val="007D1690"/>
    <w:rsid w:val="0081543F"/>
    <w:rsid w:val="00865F67"/>
    <w:rsid w:val="00881A7B"/>
    <w:rsid w:val="008840E5"/>
    <w:rsid w:val="008C2AC6"/>
    <w:rsid w:val="009509D8"/>
    <w:rsid w:val="00981893"/>
    <w:rsid w:val="00A4678D"/>
    <w:rsid w:val="00AD2104"/>
    <w:rsid w:val="00AF3B82"/>
    <w:rsid w:val="00B07C65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7491A"/>
    <w:rsid w:val="00E83171"/>
    <w:rsid w:val="00EA3E22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154260-AD8E-4421-9D8F-467DFE12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Hanging12">
    <w:name w:val="Hanging12"/>
    <w:basedOn w:val="Normal12"/>
    <w:link w:val="Hanging12Char"/>
    <w:rsid w:val="00651979"/>
    <w:pPr>
      <w:tabs>
        <w:tab w:val="left" w:pos="357"/>
      </w:tabs>
      <w:ind w:left="357" w:hanging="357"/>
    </w:pPr>
    <w:rPr>
      <w:lang w:eastAsia="pt-PT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12Char">
    <w:name w:val="Normal12 Char"/>
    <w:link w:val="Normal12"/>
    <w:rsid w:val="00651979"/>
    <w:rPr>
      <w:sz w:val="24"/>
      <w:lang w:val="pt-PT"/>
    </w:rPr>
  </w:style>
  <w:style w:type="character" w:customStyle="1" w:styleId="Hanging12Char">
    <w:name w:val="Hanging12 Char"/>
    <w:link w:val="Hanging12"/>
    <w:rsid w:val="00651979"/>
    <w:rPr>
      <w:sz w:val="24"/>
      <w:lang w:val="pt-PT" w:eastAsia="pt-PT"/>
    </w:rPr>
  </w:style>
  <w:style w:type="paragraph" w:styleId="BalloonText">
    <w:name w:val="Balloon Text"/>
    <w:basedOn w:val="Normal"/>
    <w:link w:val="BalloonTextChar"/>
    <w:rsid w:val="00815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543F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ALVES DOS SANTOS Manuel Antonio</dc:creator>
  <cp:keywords/>
  <cp:lastModifiedBy>ALVES DOS SANTOS Manuel Antonio</cp:lastModifiedBy>
  <cp:revision>2</cp:revision>
  <cp:lastPrinted>2004-11-19T14:42:00Z</cp:lastPrinted>
  <dcterms:created xsi:type="dcterms:W3CDTF">2016-11-21T11:23:00Z</dcterms:created>
  <dcterms:modified xsi:type="dcterms:W3CDTF">2016-11-21T11:23:00Z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P8_TA(2016)0380_</vt:lpwstr>
  </property>
  <property fmtid="{D5CDD505-2E9C-101B-9397-08002B2CF9AE}" pid="4" name="&lt;Type&gt;">
    <vt:lpwstr>RR</vt:lpwstr>
  </property>
</Properties>
</file>