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4D5DD2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4D5DD2" w:rsidRDefault="004D5DD2" w:rsidP="0010095E">
            <w:pPr>
              <w:pStyle w:val="EPName"/>
              <w:rPr>
                <w:lang w:val="pt-PT"/>
              </w:rPr>
            </w:pPr>
            <w:r>
              <w:rPr>
                <w:lang w:val="pt-PT"/>
              </w:rPr>
              <w:t>Parlamento Europeu</w:t>
            </w:r>
          </w:p>
          <w:p w:rsidR="00751A4A" w:rsidRPr="004D5DD2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t-PT"/>
              </w:rPr>
            </w:pPr>
            <w:r w:rsidRPr="004D5DD2">
              <w:rPr>
                <w:lang w:val="pt-PT"/>
              </w:rPr>
              <w:t>2014</w:t>
            </w:r>
            <w:r w:rsidR="00C941CB" w:rsidRPr="004D5DD2">
              <w:rPr>
                <w:lang w:val="pt-P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4D5DD2" w:rsidRDefault="004B0413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05pt;height:50.7pt">
                  <v:imagedata r:id="rId7" o:title="EP logo RGB_Mute"/>
                </v:shape>
              </w:pict>
            </w:r>
          </w:p>
        </w:tc>
      </w:tr>
    </w:tbl>
    <w:p w:rsidR="00D058B8" w:rsidRPr="004D5DD2" w:rsidRDefault="00D058B8" w:rsidP="00D058B8">
      <w:pPr>
        <w:pStyle w:val="LineTop"/>
        <w:rPr>
          <w:lang w:val="pt-PT"/>
        </w:rPr>
      </w:pPr>
    </w:p>
    <w:p w:rsidR="00680577" w:rsidRPr="004D5DD2" w:rsidRDefault="004D5DD2" w:rsidP="00680577">
      <w:pPr>
        <w:pStyle w:val="ZSessionDoc"/>
        <w:rPr>
          <w:b/>
          <w:i w:val="0"/>
        </w:rPr>
      </w:pPr>
      <w:r>
        <w:rPr>
          <w:b/>
          <w:i w:val="0"/>
        </w:rPr>
        <w:t>TEXTOS APROVADOS</w:t>
      </w:r>
    </w:p>
    <w:p w:rsidR="00D058B8" w:rsidRPr="004D5DD2" w:rsidRDefault="00D058B8" w:rsidP="00D058B8">
      <w:pPr>
        <w:pStyle w:val="LineBottom"/>
      </w:pPr>
    </w:p>
    <w:p w:rsidR="004D5DD2" w:rsidRPr="00363B95" w:rsidRDefault="00241882" w:rsidP="004D5DD2">
      <w:pPr>
        <w:pStyle w:val="ATHeading1"/>
        <w:rPr>
          <w:lang w:val="pt-PT"/>
        </w:rPr>
      </w:pPr>
      <w:bookmarkStart w:id="0" w:name="TANumber"/>
      <w:r>
        <w:rPr>
          <w:lang w:val="pt-PT"/>
        </w:rPr>
        <w:t>P8_TA</w:t>
      </w:r>
      <w:r w:rsidR="004D5DD2" w:rsidRPr="00363B95">
        <w:rPr>
          <w:lang w:val="pt-PT"/>
        </w:rPr>
        <w:t>(2017)0</w:t>
      </w:r>
      <w:bookmarkEnd w:id="0"/>
      <w:r w:rsidR="0029529C">
        <w:rPr>
          <w:lang w:val="pt-PT"/>
        </w:rPr>
        <w:t>33</w:t>
      </w:r>
      <w:r w:rsidR="000D695C">
        <w:rPr>
          <w:lang w:val="pt-PT"/>
        </w:rPr>
        <w:t>5</w:t>
      </w:r>
    </w:p>
    <w:p w:rsidR="004D5DD2" w:rsidRPr="00363B95" w:rsidRDefault="004D5DD2" w:rsidP="004D5DD2">
      <w:pPr>
        <w:pStyle w:val="ATHeading2"/>
        <w:rPr>
          <w:lang w:val="pt-PT"/>
        </w:rPr>
      </w:pPr>
      <w:bookmarkStart w:id="1" w:name="title"/>
      <w:r w:rsidRPr="00363B95">
        <w:rPr>
          <w:lang w:val="pt-PT"/>
        </w:rPr>
        <w:t>Mobilização do Fundo de Solidariedade da União Europeia para prestar assistência à Itália</w:t>
      </w:r>
      <w:bookmarkEnd w:id="1"/>
      <w:r w:rsidRPr="00363B95">
        <w:rPr>
          <w:lang w:val="pt-PT"/>
        </w:rPr>
        <w:t xml:space="preserve"> </w:t>
      </w:r>
      <w:bookmarkStart w:id="2" w:name="Etoiles"/>
      <w:bookmarkEnd w:id="2"/>
    </w:p>
    <w:p w:rsidR="004D5DD2" w:rsidRDefault="004D5DD2" w:rsidP="004D5DD2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3" w:name="DocNumber"/>
      <w:r>
        <w:rPr>
          <w:i/>
        </w:rPr>
        <w:instrText>A8-0280/2017</w:instrText>
      </w:r>
      <w:bookmarkEnd w:id="3"/>
      <w:r>
        <w:rPr>
          <w:i/>
        </w:rPr>
        <w:instrText xml:space="preserve"> - Relator: Giovanni La Via)"\l3 \n&gt; \* MERGEFORMAT </w:instrText>
      </w:r>
      <w:r>
        <w:rPr>
          <w:i/>
        </w:rPr>
        <w:fldChar w:fldCharType="end"/>
      </w:r>
    </w:p>
    <w:p w:rsidR="004D5DD2" w:rsidRDefault="004D5DD2" w:rsidP="004D5DD2">
      <w:pPr>
        <w:rPr>
          <w:vanish/>
        </w:rPr>
      </w:pPr>
      <w:bookmarkStart w:id="4" w:name="Commission"/>
      <w:r w:rsidRPr="004D5DD2">
        <w:rPr>
          <w:vanish/>
        </w:rPr>
        <w:t>Comissão dos Orçamentos</w:t>
      </w:r>
      <w:bookmarkEnd w:id="4"/>
    </w:p>
    <w:p w:rsidR="004D5DD2" w:rsidRDefault="004D5DD2" w:rsidP="004D5DD2">
      <w:pPr>
        <w:rPr>
          <w:vanish/>
        </w:rPr>
      </w:pPr>
      <w:bookmarkStart w:id="5" w:name="PE"/>
      <w:r w:rsidRPr="004D5DD2">
        <w:rPr>
          <w:vanish/>
        </w:rPr>
        <w:t>PE607.953</w:t>
      </w:r>
      <w:bookmarkEnd w:id="5"/>
    </w:p>
    <w:p w:rsidR="004D5DD2" w:rsidRPr="00363B95" w:rsidRDefault="004D5DD2" w:rsidP="004D5DD2">
      <w:pPr>
        <w:pStyle w:val="ATHeading3"/>
        <w:rPr>
          <w:lang w:val="pt-PT"/>
        </w:rPr>
      </w:pPr>
      <w:bookmarkStart w:id="6" w:name="Sujet"/>
      <w:r w:rsidRPr="00363B95">
        <w:rPr>
          <w:lang w:val="pt-PT"/>
        </w:rPr>
        <w:t xml:space="preserve">Resolução do Parlamento Europeu, de </w:t>
      </w:r>
      <w:r w:rsidR="00363B95">
        <w:rPr>
          <w:lang w:val="pt-PT"/>
        </w:rPr>
        <w:t xml:space="preserve">13 </w:t>
      </w:r>
      <w:r w:rsidRPr="00363B95">
        <w:rPr>
          <w:lang w:val="pt-PT"/>
        </w:rPr>
        <w:t xml:space="preserve">de </w:t>
      </w:r>
      <w:r w:rsidR="00363B95">
        <w:rPr>
          <w:lang w:val="pt-PT"/>
        </w:rPr>
        <w:t>setembro</w:t>
      </w:r>
      <w:r w:rsidR="00363B95" w:rsidRPr="00363B95">
        <w:rPr>
          <w:lang w:val="pt-PT"/>
        </w:rPr>
        <w:t xml:space="preserve"> </w:t>
      </w:r>
      <w:r w:rsidRPr="00363B95">
        <w:rPr>
          <w:lang w:val="pt-PT"/>
        </w:rPr>
        <w:t>de 2017, sobre a proposta de decisão do Parlamento Europeu e do Conselho relativa à mobilização do Fundo de Solidariedade da União Europeia para prestar assistência à Itália</w:t>
      </w:r>
      <w:bookmarkEnd w:id="6"/>
      <w:r w:rsidRPr="00363B95">
        <w:rPr>
          <w:lang w:val="pt-PT"/>
        </w:rPr>
        <w:t xml:space="preserve"> </w:t>
      </w:r>
      <w:bookmarkStart w:id="7" w:name="References"/>
      <w:r w:rsidRPr="00363B95">
        <w:rPr>
          <w:lang w:val="pt-PT"/>
        </w:rPr>
        <w:t>(COM(2017)0540 – C8-0199/2017 – 2017/2101(BUD))</w:t>
      </w:r>
      <w:bookmarkEnd w:id="7"/>
    </w:p>
    <w:p w:rsidR="004D5DD2" w:rsidRDefault="004D5DD2" w:rsidP="004D5DD2"/>
    <w:p w:rsidR="00F56C79" w:rsidRPr="00F56C79" w:rsidRDefault="00F56C79" w:rsidP="00F56C79">
      <w:pPr>
        <w:pStyle w:val="Normal12"/>
      </w:pPr>
      <w:bookmarkStart w:id="8" w:name="TextBodyBegin"/>
      <w:bookmarkEnd w:id="8"/>
      <w:r w:rsidRPr="00F56C79">
        <w:rPr>
          <w:i/>
        </w:rPr>
        <w:t>O Parlamento Europeu</w:t>
      </w:r>
      <w:r w:rsidRPr="00F56C79">
        <w:t>,</w:t>
      </w:r>
    </w:p>
    <w:p w:rsidR="00F56C79" w:rsidRPr="00F56C79" w:rsidRDefault="00F56C79" w:rsidP="00F56C79">
      <w:pPr>
        <w:pStyle w:val="Normal12Hanging"/>
        <w:jc w:val="both"/>
        <w:rPr>
          <w:rFonts w:eastAsia="Arial Unicode MS" w:cs="Arial Unicode MS"/>
          <w:szCs w:val="24"/>
        </w:rPr>
      </w:pPr>
      <w:r w:rsidRPr="00F56C79">
        <w:t>–</w:t>
      </w:r>
      <w:r w:rsidRPr="00F56C79">
        <w:tab/>
        <w:t>Tendo em conta a proposta da Comissão ao Parlamento e ao Conselho (COM(2017)0540 – C8-0199/2017),</w:t>
      </w:r>
      <w:r w:rsidRPr="00F56C79">
        <w:rPr>
          <w:b/>
          <w:szCs w:val="24"/>
        </w:rPr>
        <w:t xml:space="preserve"> </w:t>
      </w:r>
    </w:p>
    <w:p w:rsidR="00F56C79" w:rsidRPr="00F56C79" w:rsidRDefault="00F56C79" w:rsidP="00F56C79">
      <w:pPr>
        <w:spacing w:after="240"/>
        <w:ind w:left="567" w:hanging="567"/>
        <w:jc w:val="both"/>
        <w:rPr>
          <w:rFonts w:eastAsia="Arial Unicode MS" w:cs="Arial Unicode MS"/>
          <w:szCs w:val="24"/>
        </w:rPr>
      </w:pPr>
      <w:r w:rsidRPr="00F56C79">
        <w:rPr>
          <w:szCs w:val="24"/>
        </w:rPr>
        <w:t>–</w:t>
      </w:r>
      <w:r w:rsidRPr="00F56C79">
        <w:rPr>
          <w:szCs w:val="24"/>
        </w:rPr>
        <w:tab/>
        <w:t>Tendo em conta o Regulamento (CE) n.º 2012/2002 do Conselho, de 11 de novembro de 2002, que institui o Fundo de Solidariedade da União Europeia</w:t>
      </w:r>
      <w:r w:rsidRPr="00F56C79">
        <w:rPr>
          <w:szCs w:val="24"/>
          <w:vertAlign w:val="superscript"/>
        </w:rPr>
        <w:footnoteReference w:id="1"/>
      </w:r>
      <w:r w:rsidRPr="00F56C79">
        <w:rPr>
          <w:szCs w:val="24"/>
        </w:rPr>
        <w:t>,</w:t>
      </w:r>
    </w:p>
    <w:p w:rsidR="00F56C79" w:rsidRPr="00F56C79" w:rsidRDefault="00F56C79" w:rsidP="00F56C79">
      <w:pPr>
        <w:spacing w:after="240"/>
        <w:ind w:left="567" w:hanging="567"/>
        <w:jc w:val="both"/>
        <w:rPr>
          <w:rFonts w:eastAsia="Arial Unicode MS" w:cs="Arial Unicode MS"/>
          <w:szCs w:val="24"/>
        </w:rPr>
      </w:pPr>
      <w:r w:rsidRPr="00F56C79">
        <w:rPr>
          <w:szCs w:val="24"/>
        </w:rPr>
        <w:t>–</w:t>
      </w:r>
      <w:r w:rsidRPr="00F56C79">
        <w:rPr>
          <w:szCs w:val="24"/>
        </w:rPr>
        <w:tab/>
        <w:t>Tendo em conta o Regulamento (UE, Euratom) n.º 1311/2013 do Conselho, de 2 de dezembro de 2013, que estabelece o quadro financeiro plurianual para o período 2014-2020</w:t>
      </w:r>
      <w:r w:rsidRPr="00F56C79">
        <w:rPr>
          <w:szCs w:val="24"/>
          <w:vertAlign w:val="superscript"/>
        </w:rPr>
        <w:footnoteReference w:id="2"/>
      </w:r>
      <w:r w:rsidRPr="00F56C79">
        <w:rPr>
          <w:szCs w:val="24"/>
        </w:rPr>
        <w:t>, nomeadamente o artigo 10.º,</w:t>
      </w:r>
    </w:p>
    <w:p w:rsidR="00F56C79" w:rsidRPr="00F56C79" w:rsidRDefault="00F56C79" w:rsidP="00F56C79">
      <w:pPr>
        <w:spacing w:after="240"/>
        <w:ind w:left="567" w:hanging="567"/>
        <w:jc w:val="both"/>
        <w:rPr>
          <w:rFonts w:eastAsia="Arial Unicode MS" w:cs="Arial Unicode MS"/>
          <w:szCs w:val="24"/>
        </w:rPr>
      </w:pPr>
      <w:r w:rsidRPr="00F56C79">
        <w:rPr>
          <w:szCs w:val="24"/>
        </w:rPr>
        <w:t>–</w:t>
      </w:r>
      <w:r w:rsidRPr="00F56C79">
        <w:rPr>
          <w:szCs w:val="24"/>
        </w:rPr>
        <w:tab/>
        <w:t>Tendo em conta o Acordo Interinstitucional de 2 de dezembro de 2013 entre o Parlamento Europeu, o Conselho e a Comissão sobre a disciplina orçamental, a cooperação em matéria orçamental e a boa gestão financeira</w:t>
      </w:r>
      <w:r w:rsidRPr="00F56C79">
        <w:rPr>
          <w:szCs w:val="24"/>
          <w:vertAlign w:val="superscript"/>
        </w:rPr>
        <w:footnoteReference w:id="3"/>
      </w:r>
      <w:r w:rsidRPr="00F56C79">
        <w:rPr>
          <w:szCs w:val="24"/>
        </w:rPr>
        <w:t>, nomeadamente o ponto 11,</w:t>
      </w:r>
    </w:p>
    <w:p w:rsidR="00F56C79" w:rsidRPr="00F56C79" w:rsidRDefault="00F56C79" w:rsidP="00F56C79">
      <w:pPr>
        <w:spacing w:after="240"/>
        <w:ind w:left="567" w:hanging="567"/>
        <w:jc w:val="both"/>
        <w:rPr>
          <w:rFonts w:eastAsia="Arial Unicode MS" w:cs="Arial Unicode MS"/>
          <w:szCs w:val="24"/>
        </w:rPr>
      </w:pPr>
      <w:r w:rsidRPr="00F56C79">
        <w:rPr>
          <w:szCs w:val="24"/>
        </w:rPr>
        <w:t>–</w:t>
      </w:r>
      <w:r w:rsidRPr="00F56C79">
        <w:rPr>
          <w:szCs w:val="24"/>
        </w:rPr>
        <w:tab/>
        <w:t>Tendo em conta a carta da Comissão do Desenvolvimento Regional,</w:t>
      </w:r>
    </w:p>
    <w:p w:rsidR="00F56C79" w:rsidRPr="00F56C79" w:rsidRDefault="00F56C79" w:rsidP="00F56C79">
      <w:pPr>
        <w:spacing w:after="240"/>
        <w:ind w:left="567" w:hanging="567"/>
        <w:jc w:val="both"/>
        <w:rPr>
          <w:rFonts w:eastAsia="Arial Unicode MS" w:cs="Arial Unicode MS"/>
          <w:szCs w:val="24"/>
        </w:rPr>
      </w:pPr>
      <w:r w:rsidRPr="00F56C79">
        <w:rPr>
          <w:szCs w:val="24"/>
        </w:rPr>
        <w:t>–</w:t>
      </w:r>
      <w:r w:rsidRPr="00F56C79">
        <w:rPr>
          <w:szCs w:val="24"/>
        </w:rPr>
        <w:tab/>
        <w:t>Tendo em conta o relatório da Comissão dos Orçamentos (A8-0280/2017),</w:t>
      </w:r>
    </w:p>
    <w:p w:rsidR="00F56C79" w:rsidRPr="00F56C79" w:rsidRDefault="00F56C79" w:rsidP="00F56C79">
      <w:pPr>
        <w:spacing w:after="240"/>
        <w:ind w:left="567" w:hanging="567"/>
        <w:jc w:val="both"/>
        <w:rPr>
          <w:rFonts w:eastAsia="Arial Unicode MS" w:cs="Arial Unicode MS"/>
          <w:szCs w:val="24"/>
        </w:rPr>
      </w:pPr>
      <w:r w:rsidRPr="00F56C79">
        <w:rPr>
          <w:szCs w:val="24"/>
        </w:rPr>
        <w:t>1.</w:t>
      </w:r>
      <w:r w:rsidRPr="00F56C79">
        <w:rPr>
          <w:szCs w:val="24"/>
        </w:rPr>
        <w:tab/>
        <w:t>Observa que a decisão constitui a maior mobilização do Fundo de Solidariedade da União Europeia de sempre;</w:t>
      </w:r>
    </w:p>
    <w:p w:rsidR="00F56C79" w:rsidRPr="00F56C79" w:rsidRDefault="00F56C79" w:rsidP="00F56C79">
      <w:pPr>
        <w:pStyle w:val="Normal12Hanging"/>
        <w:rPr>
          <w:szCs w:val="24"/>
        </w:rPr>
      </w:pPr>
      <w:r w:rsidRPr="00F56C79">
        <w:rPr>
          <w:szCs w:val="24"/>
        </w:rPr>
        <w:lastRenderedPageBreak/>
        <w:t>2.</w:t>
      </w:r>
      <w:r w:rsidRPr="00F56C79">
        <w:rPr>
          <w:szCs w:val="24"/>
        </w:rPr>
        <w:tab/>
      </w:r>
      <w:r w:rsidRPr="00F56C79">
        <w:t>Observa que o montante máximo do adiantamento previsto no artigo 4.º-A do Regulamento (CE) n.º 2012/</w:t>
      </w:r>
      <w:r w:rsidR="00363B95">
        <w:t>2</w:t>
      </w:r>
      <w:r w:rsidRPr="00F56C79">
        <w:t>002, tal como alterado pelo Regulamento (UE) n.º 661/2014 do Parlamento Europeu e do Conselho</w:t>
      </w:r>
      <w:r w:rsidRPr="00F56C79">
        <w:rPr>
          <w:rStyle w:val="FootnoteReference"/>
        </w:rPr>
        <w:footnoteReference w:id="4"/>
      </w:r>
      <w:r w:rsidRPr="00F56C79">
        <w:t>, poderá frequentemente constituir uma medida de auxílio insuficiente em caso de catástrofes classificadas como «catástrofes de grandes proporções»; salienta a necessidade de ter em conta um aumento do limiar previsto para as primeiras contribuições financeiras específicas, a fim de fazer face, de forma eficaz e célere, aos danos causados por este tipo de catástrofes;</w:t>
      </w:r>
    </w:p>
    <w:p w:rsidR="00F56C79" w:rsidRPr="00F56C79" w:rsidRDefault="00F56C79" w:rsidP="00F56C79">
      <w:pPr>
        <w:spacing w:after="240"/>
        <w:ind w:left="567" w:hanging="567"/>
        <w:jc w:val="both"/>
        <w:rPr>
          <w:rFonts w:eastAsia="Arial Unicode MS" w:cs="Arial Unicode MS"/>
          <w:szCs w:val="24"/>
        </w:rPr>
      </w:pPr>
      <w:r w:rsidRPr="00F56C79">
        <w:rPr>
          <w:szCs w:val="24"/>
        </w:rPr>
        <w:t>3.</w:t>
      </w:r>
      <w:r w:rsidRPr="00F56C79">
        <w:rPr>
          <w:szCs w:val="24"/>
        </w:rPr>
        <w:tab/>
        <w:t xml:space="preserve">Saúda a decisão por constituir um sinal de solidariedade da União com as regiões e os cidadãos da União atingidos por catástrofes naturais; </w:t>
      </w:r>
    </w:p>
    <w:p w:rsidR="00F56C79" w:rsidRPr="00F56C79" w:rsidRDefault="00F56C79" w:rsidP="00F56C79">
      <w:pPr>
        <w:spacing w:after="240"/>
        <w:ind w:left="567" w:hanging="567"/>
        <w:jc w:val="both"/>
        <w:rPr>
          <w:rFonts w:eastAsia="Arial Unicode MS" w:cs="Arial Unicode MS"/>
          <w:szCs w:val="24"/>
        </w:rPr>
      </w:pPr>
      <w:r w:rsidRPr="00F56C79">
        <w:rPr>
          <w:szCs w:val="24"/>
        </w:rPr>
        <w:t>4.</w:t>
      </w:r>
      <w:r w:rsidRPr="00F56C79">
        <w:rPr>
          <w:szCs w:val="24"/>
        </w:rPr>
        <w:tab/>
        <w:t>Aprova a decisão anexa à presente resolução;</w:t>
      </w:r>
    </w:p>
    <w:p w:rsidR="00F56C79" w:rsidRPr="00F56C79" w:rsidRDefault="00F56C79" w:rsidP="00F56C79">
      <w:pPr>
        <w:spacing w:after="240"/>
        <w:ind w:left="567" w:hanging="567"/>
        <w:jc w:val="both"/>
        <w:rPr>
          <w:rFonts w:eastAsia="Arial Unicode MS" w:cs="Arial Unicode MS"/>
          <w:szCs w:val="24"/>
        </w:rPr>
      </w:pPr>
      <w:r w:rsidRPr="00F56C79">
        <w:rPr>
          <w:szCs w:val="24"/>
        </w:rPr>
        <w:t>5.</w:t>
      </w:r>
      <w:r w:rsidRPr="00F56C79">
        <w:rPr>
          <w:szCs w:val="24"/>
        </w:rPr>
        <w:tab/>
        <w:t xml:space="preserve">Encarrega o seu Presidente de assinar a decisão em referência, juntamente com o Presidente do Conselho, e de prover à respetiva publicação no </w:t>
      </w:r>
      <w:r w:rsidRPr="00F56C79">
        <w:rPr>
          <w:i/>
          <w:iCs/>
          <w:szCs w:val="24"/>
        </w:rPr>
        <w:t>Jornal Oficial da União Europeia</w:t>
      </w:r>
      <w:r w:rsidRPr="00F56C79">
        <w:rPr>
          <w:szCs w:val="24"/>
        </w:rPr>
        <w:t>;</w:t>
      </w:r>
    </w:p>
    <w:p w:rsidR="00F56C79" w:rsidRPr="00F56C79" w:rsidRDefault="00F56C79" w:rsidP="00F56C79">
      <w:pPr>
        <w:spacing w:after="240"/>
        <w:ind w:left="567" w:hanging="567"/>
        <w:jc w:val="both"/>
        <w:rPr>
          <w:rFonts w:eastAsia="Arial Unicode MS" w:cs="Arial Unicode MS"/>
          <w:szCs w:val="24"/>
        </w:rPr>
      </w:pPr>
      <w:r w:rsidRPr="00F56C79">
        <w:rPr>
          <w:szCs w:val="24"/>
        </w:rPr>
        <w:t>6.</w:t>
      </w:r>
      <w:r w:rsidRPr="00F56C79">
        <w:rPr>
          <w:szCs w:val="24"/>
        </w:rPr>
        <w:tab/>
        <w:t>Encarrega o seu Presidente de transmitir a presente resolução e o respetivo anexo ao Conselho e à Comissão.</w:t>
      </w:r>
    </w:p>
    <w:p w:rsidR="004B0413" w:rsidRDefault="00F56C79" w:rsidP="00F56C79">
      <w:pPr>
        <w:pStyle w:val="PageHeading"/>
        <w:rPr>
          <w:rFonts w:ascii="Times New Roman" w:hAnsi="Times New Roman"/>
        </w:rPr>
      </w:pPr>
      <w:r w:rsidRPr="00F56C79">
        <w:br w:type="page"/>
      </w:r>
      <w:bookmarkStart w:id="9" w:name="_Toc474150406"/>
      <w:bookmarkStart w:id="10" w:name="_Toc1"/>
      <w:bookmarkStart w:id="11" w:name="_Toc461199349"/>
      <w:bookmarkStart w:id="12" w:name="_Toc492561593"/>
      <w:r w:rsidRPr="004B0413">
        <w:rPr>
          <w:rFonts w:ascii="Times New Roman" w:hAnsi="Times New Roman"/>
        </w:rPr>
        <w:lastRenderedPageBreak/>
        <w:t>ANEXO</w:t>
      </w:r>
      <w:bookmarkEnd w:id="9"/>
      <w:bookmarkEnd w:id="10"/>
      <w:bookmarkEnd w:id="11"/>
    </w:p>
    <w:p w:rsidR="00F56C79" w:rsidRPr="004B0413" w:rsidRDefault="00F56C79" w:rsidP="00F56C79">
      <w:pPr>
        <w:pStyle w:val="PageHeading"/>
        <w:rPr>
          <w:rFonts w:ascii="Times New Roman" w:eastAsia="Calibri" w:hAnsi="Times New Roman"/>
          <w:szCs w:val="22"/>
        </w:rPr>
      </w:pPr>
      <w:r w:rsidRPr="004B0413">
        <w:rPr>
          <w:rFonts w:ascii="Times New Roman" w:hAnsi="Times New Roman"/>
        </w:rPr>
        <w:t>DECISÃO DO PARLAMENTO EUROPEU E DO CONSELHO</w:t>
      </w:r>
      <w:bookmarkEnd w:id="12"/>
    </w:p>
    <w:p w:rsidR="00F56C79" w:rsidRDefault="00F56C79" w:rsidP="00F56C79">
      <w:pPr>
        <w:pStyle w:val="Titreobjet"/>
      </w:pPr>
      <w:r w:rsidRPr="004B0413">
        <w:t>relativa à mobilização do Fundo de Solidariedade da União Europeia para prestar assistência à Itália</w:t>
      </w:r>
    </w:p>
    <w:p w:rsidR="004B0413" w:rsidRPr="004B0413" w:rsidRDefault="004B0413" w:rsidP="004B0413">
      <w:pPr>
        <w:spacing w:before="240"/>
        <w:rPr>
          <w:i/>
          <w:lang w:eastAsia="en-US"/>
        </w:rPr>
      </w:pPr>
      <w:r w:rsidRPr="004B0413">
        <w:rPr>
          <w:i/>
          <w:lang w:eastAsia="en-US"/>
        </w:rPr>
        <w:t xml:space="preserve">(O texto deste anexo não é aqui reproduzido dado que corresponde ao ato final, </w:t>
      </w:r>
      <w:r>
        <w:rPr>
          <w:i/>
          <w:lang w:eastAsia="en-US"/>
        </w:rPr>
        <w:t xml:space="preserve">Decisão </w:t>
      </w:r>
      <w:r w:rsidRPr="004B0413">
        <w:rPr>
          <w:i/>
          <w:lang w:eastAsia="en-US"/>
        </w:rPr>
        <w:t>(UE)</w:t>
      </w:r>
      <w:r>
        <w:rPr>
          <w:i/>
          <w:lang w:eastAsia="en-US"/>
        </w:rPr>
        <w:t xml:space="preserve"> 2017/1599.)</w:t>
      </w:r>
      <w:bookmarkStart w:id="13" w:name="_GoBack"/>
      <w:bookmarkEnd w:id="13"/>
    </w:p>
    <w:sectPr w:rsidR="004B0413" w:rsidRPr="004B0413" w:rsidSect="00EA3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D2" w:rsidRPr="004D5DD2" w:rsidRDefault="004D5DD2">
      <w:r w:rsidRPr="004D5DD2">
        <w:separator/>
      </w:r>
    </w:p>
  </w:endnote>
  <w:endnote w:type="continuationSeparator" w:id="0">
    <w:p w:rsidR="004D5DD2" w:rsidRPr="004D5DD2" w:rsidRDefault="004D5DD2">
      <w:r w:rsidRPr="004D5DD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94" w:rsidRDefault="00EA32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94" w:rsidRDefault="00EA32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94" w:rsidRDefault="00EA3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D2" w:rsidRPr="004D5DD2" w:rsidRDefault="004D5DD2">
      <w:r w:rsidRPr="004D5DD2">
        <w:separator/>
      </w:r>
    </w:p>
  </w:footnote>
  <w:footnote w:type="continuationSeparator" w:id="0">
    <w:p w:rsidR="004D5DD2" w:rsidRPr="004D5DD2" w:rsidRDefault="004D5DD2">
      <w:r w:rsidRPr="004D5DD2">
        <w:continuationSeparator/>
      </w:r>
    </w:p>
  </w:footnote>
  <w:footnote w:id="1">
    <w:p w:rsidR="00F56C79" w:rsidRPr="0029529C" w:rsidRDefault="00F56C79" w:rsidP="0029529C">
      <w:pPr>
        <w:pStyle w:val="FootnoteText"/>
        <w:ind w:left="567" w:hanging="567"/>
        <w:rPr>
          <w:sz w:val="24"/>
          <w:szCs w:val="24"/>
          <w:lang w:val="da-DK"/>
        </w:rPr>
      </w:pPr>
      <w:r w:rsidRPr="0029529C">
        <w:rPr>
          <w:rStyle w:val="FootnoteReference"/>
          <w:sz w:val="24"/>
          <w:szCs w:val="24"/>
        </w:rPr>
        <w:footnoteRef/>
      </w:r>
      <w:r w:rsidRPr="0029529C">
        <w:rPr>
          <w:sz w:val="24"/>
          <w:szCs w:val="24"/>
          <w:lang w:val="da-DK"/>
        </w:rPr>
        <w:t xml:space="preserve"> </w:t>
      </w:r>
      <w:r w:rsidR="00363B95" w:rsidRPr="00253E24">
        <w:rPr>
          <w:sz w:val="24"/>
          <w:szCs w:val="24"/>
          <w:lang w:val="da-DK"/>
        </w:rPr>
        <w:tab/>
      </w:r>
      <w:r w:rsidRPr="0029529C">
        <w:rPr>
          <w:sz w:val="24"/>
          <w:szCs w:val="24"/>
          <w:lang w:val="da-DK"/>
        </w:rPr>
        <w:t>JO L 311 de 14.11.2002, p. 3.</w:t>
      </w:r>
    </w:p>
  </w:footnote>
  <w:footnote w:id="2">
    <w:p w:rsidR="00F56C79" w:rsidRPr="0029529C" w:rsidRDefault="00F56C79" w:rsidP="0029529C">
      <w:pPr>
        <w:pStyle w:val="FootnoteText"/>
        <w:ind w:left="567" w:hanging="567"/>
        <w:rPr>
          <w:sz w:val="24"/>
          <w:szCs w:val="24"/>
          <w:lang w:val="da-DK"/>
        </w:rPr>
      </w:pPr>
      <w:r w:rsidRPr="0029529C">
        <w:rPr>
          <w:rStyle w:val="FootnoteReference"/>
          <w:sz w:val="24"/>
          <w:szCs w:val="24"/>
        </w:rPr>
        <w:footnoteRef/>
      </w:r>
      <w:r w:rsidRPr="0029529C">
        <w:rPr>
          <w:sz w:val="24"/>
          <w:szCs w:val="24"/>
          <w:lang w:val="da-DK"/>
        </w:rPr>
        <w:t xml:space="preserve"> </w:t>
      </w:r>
      <w:r w:rsidR="00363B95" w:rsidRPr="00253E24">
        <w:rPr>
          <w:sz w:val="24"/>
          <w:szCs w:val="24"/>
          <w:lang w:val="da-DK"/>
        </w:rPr>
        <w:tab/>
      </w:r>
      <w:r w:rsidRPr="0029529C">
        <w:rPr>
          <w:sz w:val="24"/>
          <w:szCs w:val="24"/>
          <w:lang w:val="da-DK"/>
        </w:rPr>
        <w:t>JO L 347 de 20.12.2013, p. 884.</w:t>
      </w:r>
    </w:p>
  </w:footnote>
  <w:footnote w:id="3">
    <w:p w:rsidR="00F56C79" w:rsidRPr="00363B95" w:rsidRDefault="00F56C79" w:rsidP="0029529C">
      <w:pPr>
        <w:pStyle w:val="FootnoteText"/>
        <w:ind w:left="567" w:hanging="567"/>
        <w:rPr>
          <w:lang w:val="pt-PT"/>
        </w:rPr>
      </w:pPr>
      <w:r w:rsidRPr="0029529C">
        <w:rPr>
          <w:rStyle w:val="FootnoteReference"/>
          <w:sz w:val="24"/>
          <w:szCs w:val="24"/>
        </w:rPr>
        <w:footnoteRef/>
      </w:r>
      <w:r w:rsidRPr="0029529C">
        <w:rPr>
          <w:sz w:val="24"/>
          <w:szCs w:val="24"/>
          <w:lang w:val="pt-PT"/>
        </w:rPr>
        <w:t xml:space="preserve"> </w:t>
      </w:r>
      <w:r w:rsidR="00363B95">
        <w:rPr>
          <w:sz w:val="24"/>
          <w:szCs w:val="24"/>
          <w:lang w:val="pt-PT"/>
        </w:rPr>
        <w:tab/>
      </w:r>
      <w:r w:rsidRPr="0029529C">
        <w:rPr>
          <w:sz w:val="24"/>
          <w:szCs w:val="24"/>
          <w:lang w:val="pt-PT"/>
        </w:rPr>
        <w:t>JO C 373 de 20.12.2013, p. 1.</w:t>
      </w:r>
    </w:p>
  </w:footnote>
  <w:footnote w:id="4">
    <w:p w:rsidR="00F56C79" w:rsidRPr="0029529C" w:rsidRDefault="00F56C79" w:rsidP="0029529C">
      <w:pPr>
        <w:pStyle w:val="FootnoteText"/>
        <w:ind w:left="567" w:hanging="567"/>
        <w:rPr>
          <w:sz w:val="24"/>
          <w:szCs w:val="24"/>
          <w:lang w:val="pt-PT"/>
        </w:rPr>
      </w:pPr>
      <w:r w:rsidRPr="0029529C">
        <w:rPr>
          <w:rStyle w:val="FootnoteReference"/>
          <w:sz w:val="24"/>
          <w:szCs w:val="24"/>
        </w:rPr>
        <w:footnoteRef/>
      </w:r>
      <w:r w:rsidRPr="0029529C">
        <w:rPr>
          <w:sz w:val="24"/>
          <w:szCs w:val="24"/>
          <w:lang w:val="pt-PT"/>
        </w:rPr>
        <w:t xml:space="preserve"> </w:t>
      </w:r>
      <w:r w:rsidR="00363B95">
        <w:rPr>
          <w:sz w:val="24"/>
          <w:szCs w:val="24"/>
          <w:lang w:val="pt-PT"/>
        </w:rPr>
        <w:tab/>
      </w:r>
      <w:r w:rsidRPr="0029529C">
        <w:rPr>
          <w:sz w:val="24"/>
          <w:szCs w:val="24"/>
          <w:lang w:val="pt-PT"/>
        </w:rPr>
        <w:t>Regulamento (UE) n.° 661/2014 do Parlamento Europeu e do Conselho, de 15 de maio de 2014, que altera o Regulamento (CE) n.° 2012/2002 do Conselho, que institui o Fundo de Solidariedade da União Europeia (JO L 189 de 27.6.2014, p. 143).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94" w:rsidRDefault="00EA32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94" w:rsidRDefault="00EA32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94" w:rsidRDefault="00EA3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bordersDoNotSurroundHeader/>
  <w:bordersDoNotSurroundFooter/>
  <w:activeWritingStyle w:appName="MSWord" w:lang="da-DK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280/2017"/>
    <w:docVar w:name="dvlangue" w:val="PT"/>
    <w:docVar w:name="dvnumam" w:val="0"/>
    <w:docVar w:name="dvpe" w:val="607.953"/>
    <w:docVar w:name="dvrapporteur" w:val="Relator: "/>
    <w:docVar w:name="dvtitre" w:val="Resolução do Parlamento Europeu, de ... de ... de 2017,_x000d__x000a_ sobre a proposta de decisão do Parlamento Europeu e do Conselho relativa à mobilização do Fundo de Solidariedade da União Europeia para prestar assistência à Itália(COM(2017)0540 – C8-0199/2017 – 2017/2101(BUD))"/>
  </w:docVars>
  <w:rsids>
    <w:rsidRoot w:val="004D5DD2"/>
    <w:rsid w:val="00002272"/>
    <w:rsid w:val="000677B9"/>
    <w:rsid w:val="000D695C"/>
    <w:rsid w:val="000E7DD9"/>
    <w:rsid w:val="0010095E"/>
    <w:rsid w:val="00125B37"/>
    <w:rsid w:val="00241882"/>
    <w:rsid w:val="00253E24"/>
    <w:rsid w:val="002767FF"/>
    <w:rsid w:val="0029529C"/>
    <w:rsid w:val="002B5493"/>
    <w:rsid w:val="00361C00"/>
    <w:rsid w:val="00363B95"/>
    <w:rsid w:val="00395FA1"/>
    <w:rsid w:val="003E15D4"/>
    <w:rsid w:val="00411CCE"/>
    <w:rsid w:val="0041666E"/>
    <w:rsid w:val="00421060"/>
    <w:rsid w:val="00494A28"/>
    <w:rsid w:val="004B0413"/>
    <w:rsid w:val="004D5DD2"/>
    <w:rsid w:val="0050519A"/>
    <w:rsid w:val="005072A1"/>
    <w:rsid w:val="00514517"/>
    <w:rsid w:val="006037C0"/>
    <w:rsid w:val="00680577"/>
    <w:rsid w:val="006F74FA"/>
    <w:rsid w:val="00702514"/>
    <w:rsid w:val="00731ADD"/>
    <w:rsid w:val="00734777"/>
    <w:rsid w:val="00751A4A"/>
    <w:rsid w:val="00756632"/>
    <w:rsid w:val="007D1690"/>
    <w:rsid w:val="00865F67"/>
    <w:rsid w:val="00881A7B"/>
    <w:rsid w:val="008840E5"/>
    <w:rsid w:val="00894478"/>
    <w:rsid w:val="008C2AC6"/>
    <w:rsid w:val="009509D8"/>
    <w:rsid w:val="00981893"/>
    <w:rsid w:val="00A4678D"/>
    <w:rsid w:val="00AF3B82"/>
    <w:rsid w:val="00B558F0"/>
    <w:rsid w:val="00BD7BD8"/>
    <w:rsid w:val="00C05BFE"/>
    <w:rsid w:val="00C23CD4"/>
    <w:rsid w:val="00C941CB"/>
    <w:rsid w:val="00CC2357"/>
    <w:rsid w:val="00D058B8"/>
    <w:rsid w:val="00D834A0"/>
    <w:rsid w:val="00D91E21"/>
    <w:rsid w:val="00E365E1"/>
    <w:rsid w:val="00EA3294"/>
    <w:rsid w:val="00ED4235"/>
    <w:rsid w:val="00F04346"/>
    <w:rsid w:val="00F075DC"/>
    <w:rsid w:val="00F5134D"/>
    <w:rsid w:val="00F56C79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EE9BDB-30C0-4A87-B5B9-280D6E3F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Institutionquisigne">
    <w:name w:val="Institution qui signe"/>
    <w:basedOn w:val="Normal"/>
    <w:next w:val="Normal"/>
    <w:rsid w:val="00F56C79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en-US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Footnote Reference Superscript,Footnote symbol,Footnote,stylish,BVI fnr,Footnote symboFußnotenzeichen,Footnote sign,Footnote Reference Number,E FNZ,-E Fußnotenzeichen,Footnote#,Times 10 Point,Exposant 3 Point,Ref,de nota al pie,SUPER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Fait">
    <w:name w:val="Fait à"/>
    <w:basedOn w:val="Normal"/>
    <w:next w:val="Institutionquisigne"/>
    <w:rsid w:val="00F56C79"/>
    <w:pPr>
      <w:keepNext/>
      <w:widowControl/>
      <w:spacing w:before="120"/>
      <w:jc w:val="both"/>
    </w:pPr>
    <w:rPr>
      <w:rFonts w:eastAsia="Calibri"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F56C79"/>
    <w:pPr>
      <w:keepNext/>
      <w:widowControl/>
      <w:spacing w:before="360" w:after="120"/>
      <w:jc w:val="center"/>
    </w:pPr>
    <w:rPr>
      <w:rFonts w:eastAsia="Calibri"/>
      <w:i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F56C79"/>
    <w:pPr>
      <w:keepNext/>
      <w:widowControl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F56C79"/>
    <w:pPr>
      <w:keepNext/>
      <w:widowControl/>
      <w:spacing w:before="600" w:after="120"/>
      <w:jc w:val="both"/>
    </w:pPr>
    <w:rPr>
      <w:rFonts w:eastAsia="Calibri"/>
      <w:szCs w:val="22"/>
      <w:lang w:eastAsia="en-US"/>
    </w:rPr>
  </w:style>
  <w:style w:type="paragraph" w:customStyle="1" w:styleId="ManualConsidrant">
    <w:name w:val="Manual Considérant"/>
    <w:basedOn w:val="Normal"/>
    <w:rsid w:val="00F56C79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paragraph" w:customStyle="1" w:styleId="Titreobjet">
    <w:name w:val="Titre objet"/>
    <w:basedOn w:val="Normal"/>
    <w:next w:val="Normal"/>
    <w:rsid w:val="00F56C79"/>
    <w:pPr>
      <w:widowControl/>
      <w:spacing w:before="360" w:after="360"/>
      <w:jc w:val="center"/>
    </w:pPr>
    <w:rPr>
      <w:rFonts w:eastAsia="Calibri"/>
      <w:b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F56C79"/>
    <w:pPr>
      <w:widowControl/>
      <w:tabs>
        <w:tab w:val="left" w:pos="4252"/>
      </w:tabs>
    </w:pPr>
    <w:rPr>
      <w:i/>
      <w:szCs w:val="22"/>
    </w:rPr>
  </w:style>
  <w:style w:type="paragraph" w:styleId="BalloonText">
    <w:name w:val="Balloon Text"/>
    <w:basedOn w:val="Normal"/>
    <w:link w:val="BalloonTextChar"/>
    <w:rsid w:val="00363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3B95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E4F1748F</Template>
  <TotalTime>0</TotalTime>
  <Pages>3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Margarida</dc:creator>
  <cp:keywords/>
  <cp:lastModifiedBy>MARTINS Isabel Alexandra</cp:lastModifiedBy>
  <cp:revision>2</cp:revision>
  <cp:lastPrinted>2004-11-19T14:42:00Z</cp:lastPrinted>
  <dcterms:created xsi:type="dcterms:W3CDTF">2018-06-21T14:16:00Z</dcterms:created>
  <dcterms:modified xsi:type="dcterms:W3CDTF">2018-06-21T14:16:00Z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A8-0280/2017</vt:lpwstr>
  </property>
  <property fmtid="{D5CDD505-2E9C-101B-9397-08002B2CF9AE}" pid="4" name="&lt;Type&gt;">
    <vt:lpwstr>RR</vt:lpwstr>
  </property>
</Properties>
</file>