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76923" w:rsidTr="0010095E">
        <w:trPr>
          <w:trHeight w:hRule="exact" w:val="1418"/>
        </w:trPr>
        <w:tc>
          <w:tcPr>
            <w:tcW w:w="6804" w:type="dxa"/>
            <w:shd w:val="clear" w:color="auto" w:fill="auto"/>
            <w:vAlign w:val="center"/>
          </w:tcPr>
          <w:p w:rsidR="00751A4A" w:rsidRPr="00F76923" w:rsidRDefault="00746C87" w:rsidP="0010095E">
            <w:pPr>
              <w:pStyle w:val="EPName"/>
              <w:rPr>
                <w:lang w:val="et-EE"/>
              </w:rPr>
            </w:pPr>
            <w:r w:rsidRPr="00F76923">
              <w:rPr>
                <w:lang w:val="et-EE"/>
              </w:rPr>
              <w:t>Euroopa Parlament</w:t>
            </w:r>
          </w:p>
          <w:p w:rsidR="00751A4A" w:rsidRPr="00F76923" w:rsidRDefault="00756632" w:rsidP="00756632">
            <w:pPr>
              <w:pStyle w:val="EPTerm"/>
              <w:rPr>
                <w:rStyle w:val="HideTWBExt"/>
                <w:noProof w:val="0"/>
                <w:vanish w:val="0"/>
                <w:color w:val="auto"/>
                <w:lang w:val="et-EE"/>
              </w:rPr>
            </w:pPr>
            <w:r w:rsidRPr="00F76923">
              <w:rPr>
                <w:lang w:val="et-EE"/>
              </w:rPr>
              <w:t>2014</w:t>
            </w:r>
            <w:r w:rsidR="00C941CB" w:rsidRPr="00F76923">
              <w:rPr>
                <w:lang w:val="et-EE"/>
              </w:rPr>
              <w:t>-2019</w:t>
            </w:r>
          </w:p>
        </w:tc>
        <w:tc>
          <w:tcPr>
            <w:tcW w:w="2268" w:type="dxa"/>
            <w:shd w:val="clear" w:color="auto" w:fill="auto"/>
          </w:tcPr>
          <w:p w:rsidR="00751A4A" w:rsidRPr="00F76923" w:rsidRDefault="00B27214" w:rsidP="0010095E">
            <w:pPr>
              <w:pStyle w:val="EPLogo"/>
            </w:pPr>
            <w:r w:rsidRPr="00F76923">
              <w:rPr>
                <w:noProof/>
                <w:lang w:val="en-GB"/>
              </w:rPr>
              <w:drawing>
                <wp:inline distT="0" distB="0" distL="0" distR="0">
                  <wp:extent cx="1164590" cy="647065"/>
                  <wp:effectExtent l="0" t="0" r="0" b="63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rsidR="00D058B8" w:rsidRPr="00F76923" w:rsidRDefault="00D058B8" w:rsidP="00D058B8">
      <w:pPr>
        <w:pStyle w:val="LineTop"/>
        <w:rPr>
          <w:lang w:val="et-EE"/>
        </w:rPr>
      </w:pPr>
    </w:p>
    <w:p w:rsidR="00680577" w:rsidRPr="00F76923" w:rsidRDefault="00746C87" w:rsidP="00680577">
      <w:pPr>
        <w:pStyle w:val="ZSessionDoc"/>
        <w:rPr>
          <w:b/>
          <w:i w:val="0"/>
        </w:rPr>
      </w:pPr>
      <w:r w:rsidRPr="00F76923">
        <w:rPr>
          <w:b/>
          <w:i w:val="0"/>
        </w:rPr>
        <w:t>VASTUVÕETUD TEKSTID</w:t>
      </w:r>
    </w:p>
    <w:p w:rsidR="00D058B8" w:rsidRPr="00F76923" w:rsidRDefault="00D058B8" w:rsidP="00D058B8">
      <w:pPr>
        <w:pStyle w:val="LineBottom"/>
      </w:pPr>
    </w:p>
    <w:p w:rsidR="00746C87" w:rsidRPr="00F76923" w:rsidRDefault="00D83AB1" w:rsidP="00746C87">
      <w:pPr>
        <w:pStyle w:val="ATHeading1"/>
        <w:rPr>
          <w:lang w:val="et-EE"/>
        </w:rPr>
      </w:pPr>
      <w:bookmarkStart w:id="0" w:name="TANumber"/>
      <w:r>
        <w:rPr>
          <w:lang w:val="et-EE"/>
        </w:rPr>
        <w:t>P8_TA</w:t>
      </w:r>
      <w:r w:rsidR="00746C87" w:rsidRPr="00F76923">
        <w:rPr>
          <w:lang w:val="et-EE"/>
        </w:rPr>
        <w:t>(2017)0</w:t>
      </w:r>
      <w:r w:rsidR="00807FC4" w:rsidRPr="00F76923">
        <w:rPr>
          <w:lang w:val="et-EE"/>
        </w:rPr>
        <w:t>357</w:t>
      </w:r>
      <w:bookmarkEnd w:id="0"/>
    </w:p>
    <w:p w:rsidR="00746C87" w:rsidRPr="00F76923" w:rsidRDefault="00746C87" w:rsidP="00746C87">
      <w:pPr>
        <w:pStyle w:val="ATHeading2"/>
        <w:rPr>
          <w:lang w:val="et-EE"/>
        </w:rPr>
      </w:pPr>
      <w:bookmarkStart w:id="1" w:name="title"/>
      <w:r w:rsidRPr="00F76923">
        <w:rPr>
          <w:lang w:val="et-EE"/>
        </w:rPr>
        <w:t>Põhjamere põhjalähedaste kalavarude ja nende varude püügi mitmeaastane kava</w:t>
      </w:r>
      <w:bookmarkEnd w:id="1"/>
      <w:r w:rsidRPr="00F76923">
        <w:rPr>
          <w:lang w:val="et-EE"/>
        </w:rPr>
        <w:t xml:space="preserve"> </w:t>
      </w:r>
      <w:bookmarkStart w:id="2" w:name="Etoiles"/>
      <w:r w:rsidRPr="00F76923">
        <w:rPr>
          <w:lang w:val="et-EE"/>
        </w:rPr>
        <w:t>***I</w:t>
      </w:r>
      <w:bookmarkEnd w:id="2"/>
    </w:p>
    <w:p w:rsidR="00746C87" w:rsidRPr="00F76923" w:rsidRDefault="00746C87" w:rsidP="00746C87">
      <w:pPr>
        <w:rPr>
          <w:i/>
          <w:vanish/>
        </w:rPr>
      </w:pPr>
      <w:r w:rsidRPr="00F76923">
        <w:rPr>
          <w:i/>
        </w:rPr>
        <w:fldChar w:fldCharType="begin"/>
      </w:r>
      <w:r w:rsidRPr="00F76923">
        <w:rPr>
          <w:i/>
        </w:rPr>
        <w:instrText xml:space="preserve"> TC"(</w:instrText>
      </w:r>
      <w:bookmarkStart w:id="3" w:name="DocNumber"/>
      <w:r w:rsidRPr="00F76923">
        <w:rPr>
          <w:i/>
        </w:rPr>
        <w:instrText>A8-0263/2017</w:instrText>
      </w:r>
      <w:bookmarkEnd w:id="3"/>
      <w:r w:rsidRPr="00F76923">
        <w:rPr>
          <w:i/>
        </w:rPr>
        <w:instrText xml:space="preserve"> - Raportöör: </w:instrText>
      </w:r>
      <w:proofErr w:type="spellStart"/>
      <w:r w:rsidRPr="00F76923">
        <w:rPr>
          <w:i/>
        </w:rPr>
        <w:instrText>Ulrike</w:instrText>
      </w:r>
      <w:proofErr w:type="spellEnd"/>
      <w:r w:rsidRPr="00F76923">
        <w:rPr>
          <w:i/>
        </w:rPr>
        <w:instrText xml:space="preserve"> Rodust)"\l3 \n&gt; \* MERGEFORMAT </w:instrText>
      </w:r>
      <w:r w:rsidRPr="00F76923">
        <w:rPr>
          <w:i/>
        </w:rPr>
        <w:fldChar w:fldCharType="end"/>
      </w:r>
    </w:p>
    <w:p w:rsidR="00746C87" w:rsidRPr="00F76923" w:rsidRDefault="00746C87" w:rsidP="00746C87">
      <w:pPr>
        <w:rPr>
          <w:vanish/>
        </w:rPr>
      </w:pPr>
      <w:bookmarkStart w:id="4" w:name="Commission"/>
      <w:r w:rsidRPr="00F76923">
        <w:rPr>
          <w:vanish/>
        </w:rPr>
        <w:t>Kalanduskomisjon</w:t>
      </w:r>
      <w:bookmarkEnd w:id="4"/>
    </w:p>
    <w:p w:rsidR="00746C87" w:rsidRPr="00F76923" w:rsidRDefault="00746C87" w:rsidP="00746C87">
      <w:pPr>
        <w:rPr>
          <w:vanish/>
        </w:rPr>
      </w:pPr>
      <w:bookmarkStart w:id="5" w:name="PE"/>
      <w:r w:rsidRPr="00F76923">
        <w:rPr>
          <w:vanish/>
        </w:rPr>
        <w:t>PE594.033</w:t>
      </w:r>
      <w:bookmarkEnd w:id="5"/>
    </w:p>
    <w:p w:rsidR="00746C87" w:rsidRPr="00F76923" w:rsidRDefault="00CB0D37" w:rsidP="00CB0D37">
      <w:pPr>
        <w:pStyle w:val="ATHeading3"/>
        <w:rPr>
          <w:lang w:val="et-EE"/>
        </w:rPr>
      </w:pPr>
      <w:bookmarkStart w:id="6" w:name="Sujet"/>
      <w:r w:rsidRPr="00F76923">
        <w:rPr>
          <w:lang w:val="et-EE"/>
        </w:rPr>
        <w:t>Euroopa Parlamendi 14</w:t>
      </w:r>
      <w:r w:rsidR="00746C87" w:rsidRPr="00F76923">
        <w:rPr>
          <w:lang w:val="et-EE"/>
        </w:rPr>
        <w:t>.</w:t>
      </w:r>
      <w:r w:rsidRPr="00F76923">
        <w:rPr>
          <w:lang w:val="et-EE"/>
        </w:rPr>
        <w:t> septembri</w:t>
      </w:r>
      <w:r w:rsidR="00F76923" w:rsidRPr="00F76923">
        <w:rPr>
          <w:lang w:val="et-EE"/>
        </w:rPr>
        <w:t>l</w:t>
      </w:r>
      <w:r w:rsidRPr="00F76923">
        <w:rPr>
          <w:lang w:val="et-EE"/>
        </w:rPr>
        <w:t xml:space="preserve"> 2017. </w:t>
      </w:r>
      <w:r w:rsidR="00746C87" w:rsidRPr="00F76923">
        <w:rPr>
          <w:lang w:val="et-EE"/>
        </w:rPr>
        <w:t>aasta</w:t>
      </w:r>
      <w:r w:rsidR="00840508" w:rsidRPr="00F76923">
        <w:rPr>
          <w:lang w:val="et-EE"/>
        </w:rPr>
        <w:t>l vastuvõetud muudatusettepanekud</w:t>
      </w:r>
      <w:r w:rsidR="00746C87" w:rsidRPr="00F76923">
        <w:rPr>
          <w:lang w:val="et-EE"/>
        </w:rPr>
        <w:t xml:space="preserve"> ettepaneku</w:t>
      </w:r>
      <w:r w:rsidR="00840508" w:rsidRPr="00F76923">
        <w:rPr>
          <w:lang w:val="et-EE"/>
        </w:rPr>
        <w:t>le</w:t>
      </w:r>
      <w:r w:rsidR="00746C87" w:rsidRPr="00F76923">
        <w:rPr>
          <w:lang w:val="et-EE"/>
        </w:rPr>
        <w:t xml:space="preserve"> võtta vastu Euroopa Parlamendi ja nõukogu määrus, millega kehtestatakse Põhjamere põhjalähedaste kalavarude ja nende varude püügi mitmeaastane kava ning tunnistatakse kehtetuks </w:t>
      </w:r>
      <w:r w:rsidRPr="00F76923">
        <w:rPr>
          <w:lang w:val="et-EE"/>
        </w:rPr>
        <w:t xml:space="preserve">nõukogu määrused (EÜ) </w:t>
      </w:r>
      <w:r w:rsidR="00F76923" w:rsidRPr="00F76923">
        <w:rPr>
          <w:lang w:val="et-EE"/>
        </w:rPr>
        <w:t xml:space="preserve">nr 676/2007 ja (EÜ) </w:t>
      </w:r>
      <w:r w:rsidR="00746C87" w:rsidRPr="00F76923">
        <w:rPr>
          <w:lang w:val="et-EE"/>
        </w:rPr>
        <w:t xml:space="preserve">nr 1342/2008 </w:t>
      </w:r>
      <w:bookmarkStart w:id="7" w:name="References"/>
      <w:bookmarkEnd w:id="6"/>
      <w:r w:rsidRPr="00F76923">
        <w:rPr>
          <w:lang w:val="et-EE"/>
        </w:rPr>
        <w:t>(COM(2016)0493 – C8</w:t>
      </w:r>
      <w:r w:rsidRPr="00F76923">
        <w:rPr>
          <w:lang w:val="et-EE"/>
        </w:rPr>
        <w:noBreakHyphen/>
      </w:r>
      <w:r w:rsidR="00746C87" w:rsidRPr="00F76923">
        <w:rPr>
          <w:lang w:val="et-EE"/>
        </w:rPr>
        <w:t>0336/2016 – 2016/0238(COD))</w:t>
      </w:r>
      <w:bookmarkEnd w:id="7"/>
      <w:r w:rsidR="00840508" w:rsidRPr="00F76923">
        <w:rPr>
          <w:rStyle w:val="FootnoteReference"/>
          <w:lang w:val="et-EE"/>
        </w:rPr>
        <w:footnoteReference w:id="1"/>
      </w:r>
    </w:p>
    <w:p w:rsidR="00F42706" w:rsidRPr="00F76923" w:rsidRDefault="00F42706" w:rsidP="00F42706">
      <w:pPr>
        <w:pStyle w:val="Normal12Bold"/>
      </w:pPr>
      <w:bookmarkStart w:id="8" w:name="TextBodyBegin"/>
      <w:bookmarkEnd w:id="8"/>
      <w:r w:rsidRPr="00F76923">
        <w:t>(Seadusandlik tavamenetlus: esimene lugemine)</w:t>
      </w:r>
    </w:p>
    <w:p w:rsidR="00F42706" w:rsidRPr="00F76923" w:rsidRDefault="00F42706" w:rsidP="00B53A69">
      <w:pPr>
        <w:pStyle w:val="AMNumberTabs"/>
        <w:spacing w:before="360"/>
      </w:pPr>
      <w:r w:rsidRPr="00F76923">
        <w:t>Muudatusettepanek</w:t>
      </w:r>
      <w:r w:rsidRPr="00F76923">
        <w:tab/>
      </w:r>
      <w:r w:rsidRPr="00F76923">
        <w:tab/>
        <w:t>2</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Põhjendus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(4)</w:t>
            </w:r>
            <w:r w:rsidRPr="00F76923">
              <w:tab/>
              <w:t>Ühise kalanduspoliitika eesmärgid on muu hulgas tagada, et kalapüük ja vesiviljelus on pikaajaliselt keskkonnasäästlik, kohaldada kalavarude majandamise suhtes ettevaatusprintsiipi ja rakendada kalavarude majandamisel ökosüsteemipõhist lähenemisviisi.</w:t>
            </w:r>
          </w:p>
        </w:tc>
        <w:tc>
          <w:tcPr>
            <w:tcW w:w="4876" w:type="dxa"/>
            <w:hideMark/>
          </w:tcPr>
          <w:p w:rsidR="00F42706" w:rsidRPr="00F76923" w:rsidRDefault="00F42706" w:rsidP="00CB0D37">
            <w:pPr>
              <w:pStyle w:val="Normal6"/>
            </w:pPr>
            <w:r w:rsidRPr="00F76923">
              <w:t>(4)</w:t>
            </w:r>
            <w:r w:rsidRPr="00F76923">
              <w:tab/>
              <w:t>Ühise kalanduspoliitika eesmärgid on muu hulgas tagada, et kalapüük ja vesiviljelus on pikaajaliselt keskkonnasäästlik, kohaldada kalavarude majandamise suhtes ettevaatusprintsiipi</w:t>
            </w:r>
            <w:r w:rsidRPr="00F76923">
              <w:rPr>
                <w:b/>
                <w:i/>
              </w:rPr>
              <w:t>, tagada, et püütavate liikide kalavarud taastatakse maksimaalse jätkusuutliku saagikuse tagamiseks vajalikust kõrgemale tasemele ja need säilitatakse sellisel tasemel,</w:t>
            </w:r>
            <w:r w:rsidRPr="00F76923">
              <w:t xml:space="preserve"> ja rakendada kalavarude majandamisel ökosüsteemipõhist lähenemisviisi.</w:t>
            </w: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3</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Põhjendus 4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B0D37" w:rsidP="00CB0D37">
            <w:pPr>
              <w:pStyle w:val="Normal6"/>
            </w:pPr>
            <w:r w:rsidRPr="00F76923">
              <w:rPr>
                <w:b/>
                <w:i/>
              </w:rPr>
              <w:t>(4</w:t>
            </w:r>
            <w:r w:rsidR="00F42706" w:rsidRPr="00F76923">
              <w:rPr>
                <w:b/>
                <w:i/>
              </w:rPr>
              <w:t>a)</w:t>
            </w:r>
            <w:r w:rsidR="00F42706" w:rsidRPr="00F76923">
              <w:rPr>
                <w:b/>
                <w:i/>
              </w:rPr>
              <w:tab/>
              <w:t>Mere bioloogiliste elusressursside kasuta</w:t>
            </w:r>
            <w:r w:rsidRPr="00F76923">
              <w:rPr>
                <w:b/>
                <w:i/>
              </w:rPr>
              <w:t>misel seatakse määruses (EL) nr </w:t>
            </w:r>
            <w:r w:rsidR="00F42706" w:rsidRPr="00F76923">
              <w:rPr>
                <w:b/>
                <w:i/>
              </w:rPr>
              <w:t>1380/2013 sõnaselgelt eesmärgiks taastada ja säilitada püütavate liikide populatsioonid maksimaalse jätkusuutliku saagikuse tagamiseks vajalikust kõrgemal tasemel. Seetõttu tuleb koos</w:t>
            </w:r>
            <w:r w:rsidRPr="00F76923">
              <w:rPr>
                <w:b/>
                <w:i/>
              </w:rPr>
              <w:t>kõlas asjaomase määruse artikli 2 lõikega </w:t>
            </w:r>
            <w:r w:rsidR="00F42706" w:rsidRPr="00F76923">
              <w:rPr>
                <w:b/>
                <w:i/>
              </w:rPr>
              <w:t>2 vastav kasutamise määr saavutada võimaluse korral 2015. aastaks ning järk-järgult tõusvalt kõikidele varude puhul hiljemalt 2020. aastaks, misjärel tuleks see säilitada.</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4</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Põhjendus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(5)</w:t>
            </w:r>
            <w:r w:rsidRPr="00F76923">
              <w:tab/>
              <w:t>Selleks et saavutada ühise kalanduspoliitika eesmärgid, tuleb vastu võtta mitmed kaitsemeetmed, nagu mitmeaastased kavad, tehnilised meetmed, kalapüügivõimaluste kindlaksmääramine ja eraldamine, ning vastavalt vajadusele neid omavahel kombineerida.</w:t>
            </w:r>
          </w:p>
        </w:tc>
        <w:tc>
          <w:tcPr>
            <w:tcW w:w="4876" w:type="dxa"/>
          </w:tcPr>
          <w:p w:rsidR="00F42706" w:rsidRPr="00F76923" w:rsidRDefault="00F42706" w:rsidP="00CB0D37">
            <w:pPr>
              <w:pStyle w:val="Normal6"/>
            </w:pPr>
            <w:r w:rsidRPr="00F76923">
              <w:t>(5)</w:t>
            </w:r>
            <w:r w:rsidRPr="00F76923">
              <w:tab/>
              <w:t xml:space="preserve">Selleks et saavutada ühise kalanduspoliitika eesmärgid, tuleb </w:t>
            </w:r>
            <w:r w:rsidRPr="00F76923">
              <w:rPr>
                <w:b/>
                <w:i/>
              </w:rPr>
              <w:t xml:space="preserve">täielikus kooskõlas parimate kättesaadavate teaduslike nõuannetega </w:t>
            </w:r>
            <w:r w:rsidRPr="00F76923">
              <w:t>vastu võtta mitmed kaitsemeetmed, nagu mitmeaastased kavad, tehnilised meetmed, kalapüügivõimaluste kindlaksmääramine ja eraldamine, ning vastavalt vajadusele neid omavahel kombineerida.</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Põhjendus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(6)</w:t>
            </w:r>
            <w:r w:rsidRPr="00F76923">
              <w:tab/>
              <w:t xml:space="preserve">Vastavalt määruse (EL) nr 1380/2013 artiklitele 9 ja 10 peavad mitmeaastased kavad põhinema teadus-, </w:t>
            </w:r>
            <w:r w:rsidRPr="00F76923">
              <w:lastRenderedPageBreak/>
              <w:t>tehnika- ja majandusnõuannetel ning sisaldama eesmärke ja mõõdetavaid sihttasemeid koos selgete ajakavade, kaitse piirväärtuste ja kaitseabinõudega.</w:t>
            </w:r>
          </w:p>
        </w:tc>
        <w:tc>
          <w:tcPr>
            <w:tcW w:w="4876" w:type="dxa"/>
          </w:tcPr>
          <w:p w:rsidR="00F42706" w:rsidRPr="00F76923" w:rsidRDefault="00CB0D37" w:rsidP="00CB0D37">
            <w:pPr>
              <w:pStyle w:val="Normal6"/>
            </w:pPr>
            <w:r w:rsidRPr="00F76923">
              <w:lastRenderedPageBreak/>
              <w:t>(6)</w:t>
            </w:r>
            <w:r w:rsidRPr="00F76923">
              <w:tab/>
              <w:t>Vastavalt määruse (EL) nr 1380/2013 artiklitele 9 ja </w:t>
            </w:r>
            <w:r w:rsidR="00F42706" w:rsidRPr="00F76923">
              <w:t xml:space="preserve">10 peavad mitmeaastased kavad põhinema teadus-, </w:t>
            </w:r>
            <w:r w:rsidR="00F42706" w:rsidRPr="00F76923">
              <w:lastRenderedPageBreak/>
              <w:t>tehnika- ja majandusnõuannetel ning sisaldama eesmärke ja mõõdetavaid sihttasemeid koos selgete ajakavade, kaitse piirväärtuste</w:t>
            </w:r>
            <w:r w:rsidR="00F42706" w:rsidRPr="00F76923">
              <w:rPr>
                <w:b/>
                <w:i/>
              </w:rPr>
              <w:t>, eesmärkide</w:t>
            </w:r>
            <w:r w:rsidR="00F42706" w:rsidRPr="00F76923">
              <w:t xml:space="preserve"> ja kaitseabinõudega</w:t>
            </w:r>
            <w:r w:rsidRPr="00F76923">
              <w:rPr>
                <w:b/>
                <w:i/>
              </w:rPr>
              <w:t>, asjaomase määruse artiklis </w:t>
            </w:r>
            <w:r w:rsidR="00F42706" w:rsidRPr="00F76923">
              <w:rPr>
                <w:b/>
                <w:i/>
              </w:rPr>
              <w:t>15 sätestatud kalavarude kaitse eesmärkide ja soovimatu saagi võimalikult suurel määral vältimise või vähendamise eesmärkide saavutamiseks võetavate tehniliste meetmetega</w:t>
            </w:r>
            <w:r w:rsidR="00F42706"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6</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6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CB0D37">
            <w:pPr>
              <w:pStyle w:val="Normal6"/>
            </w:pPr>
            <w:r w:rsidRPr="00F76923">
              <w:rPr>
                <w:b/>
                <w:i/>
              </w:rPr>
              <w:t>(6</w:t>
            </w:r>
            <w:r w:rsidR="00F42706" w:rsidRPr="00F76923">
              <w:rPr>
                <w:b/>
                <w:i/>
              </w:rPr>
              <w:t>a)</w:t>
            </w:r>
            <w:r w:rsidR="00F42706" w:rsidRPr="00F76923">
              <w:tab/>
            </w:r>
            <w:r w:rsidR="00F42706" w:rsidRPr="00F76923">
              <w:rPr>
                <w:b/>
                <w:i/>
              </w:rPr>
              <w:t>Lisaks võib komisjonil olla õigus rajada mitmeaast</w:t>
            </w:r>
            <w:r w:rsidRPr="00F76923">
              <w:rPr>
                <w:b/>
                <w:i/>
              </w:rPr>
              <w:t>ase kava raames määruse (EL) nr 1380/2013 artikli 8 lõike </w:t>
            </w:r>
            <w:r w:rsidR="00F42706" w:rsidRPr="00F76923">
              <w:rPr>
                <w:b/>
                <w:i/>
              </w:rPr>
              <w:t>3 kohaselt kalavarude taastamise alasid.</w:t>
            </w:r>
          </w:p>
        </w:tc>
      </w:tr>
    </w:tbl>
    <w:p w:rsidR="00F42706" w:rsidRPr="00F76923" w:rsidRDefault="00F42706" w:rsidP="00F42706"/>
    <w:p w:rsidR="00F42706" w:rsidRPr="00F76923" w:rsidRDefault="00F42706" w:rsidP="00F42706">
      <w:pPr>
        <w:pStyle w:val="AMNumberTabs"/>
      </w:pPr>
      <w:r w:rsidRPr="00F76923">
        <w:t>Muudatusettepanek</w:t>
      </w:r>
      <w:r w:rsidRPr="00F76923">
        <w:tab/>
      </w:r>
      <w:r w:rsidRPr="00F76923">
        <w:tab/>
        <w:t>7</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Põhjendus 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CB0D37">
            <w:pPr>
              <w:pStyle w:val="Normal6"/>
            </w:pPr>
            <w:r w:rsidRPr="00F76923">
              <w:rPr>
                <w:b/>
                <w:i/>
              </w:rPr>
              <w:t>(9</w:t>
            </w:r>
            <w:r w:rsidR="00F42706" w:rsidRPr="00F76923">
              <w:rPr>
                <w:b/>
                <w:i/>
              </w:rPr>
              <w:t>a)</w:t>
            </w:r>
            <w:r w:rsidR="00F42706" w:rsidRPr="00F76923">
              <w:tab/>
            </w:r>
            <w:r w:rsidR="00F42706" w:rsidRPr="00F76923">
              <w:rPr>
                <w:b/>
                <w:i/>
              </w:rPr>
              <w:t>Teatavaid ühist huvi pakkuvaid kalavarusid kasutavad ka kolmandad riigid, mistõttu on väga oluline, et liit konsulteeriks asjaomaste kolmandate riikidega, et tagada vastavate kalavarude säästev majandamine. Ametliku kokkuleppe puudumise korral peaks liit tegema kõik endast oleneva, et leppida kokku nende kalavarude püügi ühtne kord eesmärgiga hõlbustada säästvat majandamist, kusjuures liidu turuosalistele tuleks tagada võrdsed tingimused, need jõustada ja neid edendada.</w:t>
            </w: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Põhjendus 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(10)</w:t>
            </w:r>
            <w:r w:rsidRPr="00F76923">
              <w:tab/>
              <w:t xml:space="preserve">Kõnealuse kava eesmärk peaks olema aidata täita ühise kalanduspoliitika eesmärke, eelkõige </w:t>
            </w:r>
            <w:r w:rsidRPr="00F76923">
              <w:rPr>
                <w:b/>
                <w:i/>
              </w:rPr>
              <w:t>saavutada</w:t>
            </w:r>
            <w:r w:rsidRPr="00F76923">
              <w:t xml:space="preserve"> ja säilitada</w:t>
            </w:r>
            <w:r w:rsidRPr="00F76923">
              <w:rPr>
                <w:b/>
                <w:i/>
              </w:rPr>
              <w:t xml:space="preserve"> asjaomaste</w:t>
            </w:r>
            <w:r w:rsidRPr="00F76923">
              <w:t xml:space="preserve"> kalavarude </w:t>
            </w:r>
            <w:r w:rsidRPr="00F76923">
              <w:rPr>
                <w:b/>
                <w:i/>
              </w:rPr>
              <w:t>maksimaalne jätkusuutlik saagikus</w:t>
            </w:r>
            <w:r w:rsidRPr="00F76923">
              <w:t xml:space="preserve"> (MSY) ning toetada püügi piirnormidega hõlmatud põhjalähedaste liikide lossimise kohustuse rakendamist ja kalavarude majandamise suhtes ökosüsteemipõhise lähenemisviisi rakendamist.</w:t>
            </w:r>
          </w:p>
        </w:tc>
        <w:tc>
          <w:tcPr>
            <w:tcW w:w="4876" w:type="dxa"/>
          </w:tcPr>
          <w:p w:rsidR="00F42706" w:rsidRPr="00F76923" w:rsidRDefault="00F42706" w:rsidP="00CB0D37">
            <w:pPr>
              <w:pStyle w:val="Normal6"/>
            </w:pPr>
            <w:r w:rsidRPr="00F76923">
              <w:t>(10)</w:t>
            </w:r>
            <w:r w:rsidRPr="00F76923">
              <w:tab/>
              <w:t xml:space="preserve">Kõnealuse kava eesmärk peaks olema aidata täita ühise kalanduspoliitika eesmärke, eelkõige </w:t>
            </w:r>
            <w:r w:rsidRPr="00F76923">
              <w:rPr>
                <w:b/>
                <w:i/>
              </w:rPr>
              <w:t>taastada</w:t>
            </w:r>
            <w:r w:rsidRPr="00F76923">
              <w:t xml:space="preserve"> ja säilitada kalavarude </w:t>
            </w:r>
            <w:proofErr w:type="spellStart"/>
            <w:r w:rsidRPr="00F76923">
              <w:rPr>
                <w:b/>
                <w:i/>
              </w:rPr>
              <w:t>biomass</w:t>
            </w:r>
            <w:proofErr w:type="spellEnd"/>
            <w:r w:rsidRPr="00F76923">
              <w:rPr>
                <w:b/>
                <w:i/>
              </w:rPr>
              <w:t xml:space="preserve"> maksimaalse jätkusuutliku saagikuse</w:t>
            </w:r>
            <w:r w:rsidRPr="00F76923">
              <w:t xml:space="preserve"> (MSY) </w:t>
            </w:r>
            <w:r w:rsidRPr="00F76923">
              <w:rPr>
                <w:b/>
                <w:i/>
              </w:rPr>
              <w:t xml:space="preserve">tagamiseks vajalikust kõrgemal tasemel </w:t>
            </w:r>
            <w:r w:rsidRPr="00F76923">
              <w:t>ning toetada püügi piirnormidega hõlmatud põhjalähedaste liikide lossimise kohustuse rakendamist</w:t>
            </w:r>
            <w:r w:rsidRPr="00F76923">
              <w:rPr>
                <w:b/>
                <w:i/>
              </w:rPr>
              <w:t xml:space="preserve">, ühise kalanduspoliitika </w:t>
            </w:r>
            <w:proofErr w:type="spellStart"/>
            <w:r w:rsidRPr="00F76923">
              <w:rPr>
                <w:b/>
                <w:i/>
              </w:rPr>
              <w:t>sotsiaal-majanduslike</w:t>
            </w:r>
            <w:proofErr w:type="spellEnd"/>
            <w:r w:rsidRPr="00F76923">
              <w:rPr>
                <w:b/>
                <w:i/>
              </w:rPr>
              <w:t xml:space="preserve"> aspektide elluviimist</w:t>
            </w:r>
            <w:r w:rsidRPr="00F76923">
              <w:t xml:space="preserve"> ja </w:t>
            </w:r>
            <w:r w:rsidRPr="00F76923">
              <w:rPr>
                <w:b/>
                <w:i/>
              </w:rPr>
              <w:t xml:space="preserve">saavutamist ning </w:t>
            </w:r>
            <w:r w:rsidRPr="00F76923">
              <w:t>kalavarude majandamise suhtes ökosüsteemipõhise lähenemisviisi rakendamist</w:t>
            </w:r>
            <w:r w:rsidRPr="00F76923">
              <w:rPr>
                <w:b/>
                <w:i/>
              </w:rPr>
              <w:t>, mille puhul viiakse püügitegevuse negatiivne mõju mere ökosüsteemile miinimumini</w:t>
            </w:r>
            <w:r w:rsidRPr="00F76923">
              <w:t>.</w:t>
            </w:r>
          </w:p>
        </w:tc>
      </w:tr>
    </w:tbl>
    <w:p w:rsidR="00F42706" w:rsidRPr="00F76923" w:rsidRDefault="00F42706" w:rsidP="00F42706"/>
    <w:p w:rsidR="00F42706" w:rsidRPr="00F76923" w:rsidRDefault="00F42706" w:rsidP="00F42706">
      <w:pPr>
        <w:pStyle w:val="AMNumberTabs"/>
      </w:pPr>
      <w:r w:rsidRPr="00F76923">
        <w:t>Muudatusettepanek</w:t>
      </w:r>
      <w:r w:rsidRPr="00F76923">
        <w:tab/>
      </w:r>
      <w:r w:rsidRPr="00F76923">
        <w:tab/>
        <w:t>9</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Põhjendus 10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CB0D37">
            <w:pPr>
              <w:pStyle w:val="Normal6"/>
            </w:pPr>
            <w:r w:rsidRPr="00F76923">
              <w:rPr>
                <w:b/>
                <w:i/>
              </w:rPr>
              <w:t>(10</w:t>
            </w:r>
            <w:r w:rsidR="00F42706" w:rsidRPr="00F76923">
              <w:rPr>
                <w:b/>
                <w:i/>
              </w:rPr>
              <w:t>a)</w:t>
            </w:r>
            <w:r w:rsidR="00F42706" w:rsidRPr="00F76923">
              <w:tab/>
            </w:r>
            <w:r w:rsidR="00F42706" w:rsidRPr="00F76923">
              <w:rPr>
                <w:b/>
                <w:i/>
              </w:rPr>
              <w:t xml:space="preserve">Samuti peaks kava aitama kaasa hea keskkonnaseisundi saavutamisele, nagu on </w:t>
            </w:r>
            <w:r w:rsidRPr="00F76923">
              <w:rPr>
                <w:b/>
                <w:i/>
              </w:rPr>
              <w:t>sätestatud direktiivis </w:t>
            </w:r>
            <w:r w:rsidR="00F42706" w:rsidRPr="00F76923">
              <w:rPr>
                <w:b/>
                <w:i/>
              </w:rPr>
              <w:t>2008/56/EÜ, ning elupaikade ja liikide soodsa kaitsestaatuse saavutamisele, nagu on ette nähtud vastavalt Euroopa Pa</w:t>
            </w:r>
            <w:r w:rsidRPr="00F76923">
              <w:rPr>
                <w:b/>
                <w:i/>
              </w:rPr>
              <w:t>rlamendi ja nõukogu direktiivis </w:t>
            </w:r>
            <w:r w:rsidR="00F42706" w:rsidRPr="00F76923">
              <w:rPr>
                <w:b/>
                <w:i/>
              </w:rPr>
              <w:t>2009/147/EÜ</w:t>
            </w:r>
            <w:r w:rsidR="00F42706" w:rsidRPr="00F76923">
              <w:rPr>
                <w:b/>
                <w:i/>
                <w:vertAlign w:val="superscript"/>
              </w:rPr>
              <w:t>1 a</w:t>
            </w:r>
            <w:r w:rsidRPr="00F76923">
              <w:rPr>
                <w:b/>
                <w:i/>
              </w:rPr>
              <w:t xml:space="preserve"> ja nõukogu direktiivis </w:t>
            </w:r>
            <w:r w:rsidR="00F42706" w:rsidRPr="00F76923">
              <w:rPr>
                <w:b/>
                <w:i/>
              </w:rPr>
              <w:t>92/43/EMÜ</w:t>
            </w:r>
            <w:r w:rsidR="00F42706" w:rsidRPr="00F76923">
              <w:rPr>
                <w:b/>
                <w:i/>
                <w:vertAlign w:val="superscript"/>
              </w:rPr>
              <w:t>1 b</w:t>
            </w:r>
            <w:r w:rsidR="00F42706" w:rsidRPr="00F76923">
              <w:rPr>
                <w:b/>
                <w:i/>
              </w:rPr>
              <w:t>.</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rPr>
                <w:b/>
                <w:i/>
              </w:rPr>
            </w:pPr>
            <w:r w:rsidRPr="00F76923">
              <w:rPr>
                <w:b/>
                <w:i/>
              </w:rPr>
              <w:t>_____________</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rPr>
                <w:b/>
                <w:i/>
              </w:rPr>
            </w:pPr>
            <w:r w:rsidRPr="00F76923">
              <w:rPr>
                <w:b/>
                <w:i/>
                <w:vertAlign w:val="superscript"/>
              </w:rPr>
              <w:t xml:space="preserve">1 a </w:t>
            </w:r>
            <w:r w:rsidRPr="00F76923">
              <w:rPr>
                <w:b/>
                <w:i/>
              </w:rPr>
              <w:t>Euroopa Par</w:t>
            </w:r>
            <w:r w:rsidR="00CB0D37" w:rsidRPr="00F76923">
              <w:rPr>
                <w:b/>
                <w:i/>
              </w:rPr>
              <w:t>lamendi ja nõukogu 30. novembri 2009. aasta direktiiv </w:t>
            </w:r>
            <w:r w:rsidRPr="00F76923">
              <w:rPr>
                <w:b/>
                <w:i/>
              </w:rPr>
              <w:t xml:space="preserve">2009/147/EÜ loodusliku </w:t>
            </w:r>
            <w:r w:rsidR="00CB0D37" w:rsidRPr="00F76923">
              <w:rPr>
                <w:b/>
                <w:i/>
              </w:rPr>
              <w:t>linnustiku kaitse kohta (ELT </w:t>
            </w:r>
            <w:r w:rsidRPr="00F76923">
              <w:rPr>
                <w:b/>
                <w:i/>
              </w:rPr>
              <w:t>L 20, 26.1.2010, lk 7).</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rPr>
                <w:b/>
                <w:i/>
              </w:rPr>
            </w:pPr>
            <w:r w:rsidRPr="00F76923">
              <w:rPr>
                <w:b/>
                <w:i/>
                <w:vertAlign w:val="superscript"/>
              </w:rPr>
              <w:t xml:space="preserve">1 b </w:t>
            </w:r>
            <w:r w:rsidR="00CB0D37" w:rsidRPr="00F76923">
              <w:rPr>
                <w:b/>
                <w:i/>
              </w:rPr>
              <w:t>Nõukogu 21. mai 1992. aasta direktiiv </w:t>
            </w:r>
            <w:r w:rsidRPr="00F76923">
              <w:rPr>
                <w:b/>
                <w:i/>
              </w:rPr>
              <w:t xml:space="preserve">92/43/EMÜ looduslike elupaikade ning loodusliku loomastiku ja </w:t>
            </w:r>
            <w:r w:rsidRPr="00F76923">
              <w:rPr>
                <w:b/>
                <w:i/>
              </w:rPr>
              <w:lastRenderedPageBreak/>
              <w:t xml:space="preserve">taimestiku kaitse </w:t>
            </w:r>
            <w:r w:rsidR="00CB0D37" w:rsidRPr="00F76923">
              <w:rPr>
                <w:b/>
                <w:i/>
              </w:rPr>
              <w:t>kohta (EÜT </w:t>
            </w:r>
            <w:r w:rsidRPr="00F76923">
              <w:rPr>
                <w:b/>
                <w:i/>
              </w:rPr>
              <w:t>L 206, 22.7.1992, lk 7).</w:t>
            </w:r>
          </w:p>
        </w:tc>
      </w:tr>
    </w:tbl>
    <w:p w:rsidR="00F42706" w:rsidRPr="00F76923" w:rsidRDefault="00F42706" w:rsidP="00F42706"/>
    <w:p w:rsidR="00F42706" w:rsidRPr="00F76923" w:rsidRDefault="00F42706" w:rsidP="00F42706">
      <w:pPr>
        <w:pStyle w:val="AMNumberTabs"/>
      </w:pPr>
      <w:r w:rsidRPr="00F76923">
        <w:t>Muudatusettepanek</w:t>
      </w:r>
      <w:r w:rsidRPr="00F76923">
        <w:tab/>
      </w:r>
      <w:r w:rsidRPr="00F76923">
        <w:tab/>
        <w:t>10</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Põhjendus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(11)</w:t>
            </w:r>
            <w:r w:rsidRPr="00F76923">
              <w:tab/>
              <w:t xml:space="preserve">Määruse (EL) nr 1380/2013 artikli 16 lõike 4 kohaselt tuleb kalapüügivõimalused määrata kindlaks kooskõlas mitmeaastastes kavades </w:t>
            </w:r>
            <w:r w:rsidRPr="00F76923">
              <w:rPr>
                <w:b/>
                <w:i/>
              </w:rPr>
              <w:t>sätestatud sihttasemetega</w:t>
            </w:r>
            <w:r w:rsidRPr="00F76923">
              <w:t>.</w:t>
            </w:r>
          </w:p>
        </w:tc>
        <w:tc>
          <w:tcPr>
            <w:tcW w:w="4876" w:type="dxa"/>
            <w:hideMark/>
          </w:tcPr>
          <w:p w:rsidR="00F42706" w:rsidRPr="00F76923" w:rsidRDefault="00CB0D37" w:rsidP="00CB0D37">
            <w:pPr>
              <w:pStyle w:val="Normal6"/>
            </w:pPr>
            <w:r w:rsidRPr="00F76923">
              <w:t>(11)</w:t>
            </w:r>
            <w:r w:rsidRPr="00F76923">
              <w:tab/>
              <w:t>Määruse (EL) nr 1380/2013 artikli 16 lõike </w:t>
            </w:r>
            <w:r w:rsidR="00F42706" w:rsidRPr="00F76923">
              <w:t xml:space="preserve">4 kohaselt tuleb kalapüügivõimalused määrata kindlaks kooskõlas </w:t>
            </w:r>
            <w:r w:rsidRPr="00F76923">
              <w:rPr>
                <w:b/>
                <w:i/>
              </w:rPr>
              <w:t>määruse (EL) nr 1380/2013 artikli 2 lõikes </w:t>
            </w:r>
            <w:r w:rsidR="00F42706" w:rsidRPr="00F76923">
              <w:rPr>
                <w:b/>
                <w:i/>
              </w:rPr>
              <w:t xml:space="preserve">2 sätestatud eesmärkidega ja need peavad järgima </w:t>
            </w:r>
            <w:r w:rsidR="00F42706" w:rsidRPr="00F76923">
              <w:t xml:space="preserve">mitmeaastastes kavades </w:t>
            </w:r>
            <w:r w:rsidR="00F42706" w:rsidRPr="00F76923">
              <w:rPr>
                <w:b/>
                <w:i/>
              </w:rPr>
              <w:t>kehtestatud eesmärke, ajaraamistikku ja marginaale</w:t>
            </w:r>
            <w:r w:rsidR="00F42706"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11</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Põhjendus 11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B0D37" w:rsidP="00CB0D37">
            <w:pPr>
              <w:pStyle w:val="Normal6"/>
            </w:pPr>
            <w:r w:rsidRPr="00F76923">
              <w:rPr>
                <w:b/>
                <w:i/>
              </w:rPr>
              <w:t>(11</w:t>
            </w:r>
            <w:r w:rsidR="00F42706" w:rsidRPr="00F76923">
              <w:rPr>
                <w:b/>
                <w:i/>
              </w:rPr>
              <w:t>a)</w:t>
            </w:r>
            <w:r w:rsidR="00F42706" w:rsidRPr="00F76923">
              <w:tab/>
            </w:r>
            <w:r w:rsidRPr="00F76923">
              <w:rPr>
                <w:b/>
                <w:i/>
              </w:rPr>
              <w:t>Määruse (EL) nr 1380/2013 artikli 33 lõike </w:t>
            </w:r>
            <w:r w:rsidR="00F42706" w:rsidRPr="00F76923">
              <w:rPr>
                <w:b/>
                <w:i/>
              </w:rPr>
              <w:t>1 kohaselt tuleb juhul, kui kalavarusid majandatakse koos kolmandate riikidega, saavutada võimaluse korral ühine kokkulepe selliste varude majandamiseks vast</w:t>
            </w:r>
            <w:r w:rsidRPr="00F76923">
              <w:rPr>
                <w:b/>
                <w:i/>
              </w:rPr>
              <w:t>avalt asjaomase määruse artikli 2 lõikes </w:t>
            </w:r>
            <w:r w:rsidR="00F42706" w:rsidRPr="00F76923">
              <w:rPr>
                <w:b/>
                <w:i/>
              </w:rPr>
              <w:t>2 sätestatud eesmärkidele. Lisaks tuleks selliste kokkulepete s</w:t>
            </w:r>
            <w:r w:rsidRPr="00F76923">
              <w:rPr>
                <w:b/>
                <w:i/>
              </w:rPr>
              <w:t>uhtes kohaldada määruse (EL) nr 1380/2013 artiklites 1 ja </w:t>
            </w:r>
            <w:r w:rsidR="00F42706" w:rsidRPr="00F76923">
              <w:rPr>
                <w:b/>
                <w:i/>
              </w:rPr>
              <w:t xml:space="preserve">2 sätestatud eesmärke ning </w:t>
            </w:r>
            <w:r w:rsidRPr="00F76923">
              <w:rPr>
                <w:b/>
                <w:i/>
              </w:rPr>
              <w:t>asjaomase määruse artiklis </w:t>
            </w:r>
            <w:r w:rsidR="00F42706" w:rsidRPr="00F76923">
              <w:rPr>
                <w:b/>
                <w:i/>
              </w:rPr>
              <w:t>4 sätestatud mõisteid.</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12</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(14)</w:t>
            </w:r>
            <w:r w:rsidRPr="00F76923">
              <w:tab/>
              <w:t xml:space="preserve">Kui maksimaalse jätkusuutliku </w:t>
            </w:r>
            <w:r w:rsidRPr="00F76923">
              <w:lastRenderedPageBreak/>
              <w:t xml:space="preserve">saagikuse sihttasemed ei ole kättesaadavad, tuleks </w:t>
            </w:r>
            <w:r w:rsidRPr="00F76923">
              <w:rPr>
                <w:b/>
                <w:i/>
              </w:rPr>
              <w:t>kohaldada ettevaatusprintsiipi</w:t>
            </w:r>
            <w:r w:rsidRPr="00F76923">
              <w:t>.</w:t>
            </w:r>
          </w:p>
        </w:tc>
        <w:tc>
          <w:tcPr>
            <w:tcW w:w="4876" w:type="dxa"/>
            <w:hideMark/>
          </w:tcPr>
          <w:p w:rsidR="00F42706" w:rsidRPr="00F76923" w:rsidRDefault="00F42706" w:rsidP="00CB0D37">
            <w:pPr>
              <w:pStyle w:val="Normal6"/>
            </w:pPr>
            <w:r w:rsidRPr="00F76923">
              <w:lastRenderedPageBreak/>
              <w:t>(14)</w:t>
            </w:r>
            <w:r w:rsidRPr="00F76923">
              <w:tab/>
              <w:t xml:space="preserve">Kui maksimaalse jätkusuutliku </w:t>
            </w:r>
            <w:r w:rsidRPr="00F76923">
              <w:lastRenderedPageBreak/>
              <w:t xml:space="preserve">saagikuse sihttasemed ei ole kättesaadavad, tuleks </w:t>
            </w:r>
            <w:r w:rsidRPr="00F76923">
              <w:rPr>
                <w:b/>
                <w:i/>
              </w:rPr>
              <w:t>mitmeaastases kavas ette näha kalavarude majandamise suhtes kohaldataval ettevaatusprintsiibil põhinevad me</w:t>
            </w:r>
            <w:r w:rsidR="00CB0D37" w:rsidRPr="00F76923">
              <w:rPr>
                <w:b/>
                <w:i/>
              </w:rPr>
              <w:t>etmed vastavalt määruse (EL) nr 1380/2013 artikli 4 lõike 1 punktile </w:t>
            </w:r>
            <w:r w:rsidRPr="00F76923">
              <w:rPr>
                <w:b/>
                <w:i/>
              </w:rPr>
              <w:t>8. Nimetatud</w:t>
            </w:r>
            <w:r w:rsidR="00CB0D37" w:rsidRPr="00F76923">
              <w:rPr>
                <w:b/>
                <w:i/>
              </w:rPr>
              <w:t xml:space="preserve"> meetmed peavad määruse (EL) nr 1380/2013 artikli 9 lõike </w:t>
            </w:r>
            <w:r w:rsidRPr="00F76923">
              <w:rPr>
                <w:b/>
                <w:i/>
              </w:rPr>
              <w:t>2 kohaselt tagama asjaomaste varude kaitse vähemalt samaväärsel tasemel nagu maksimaalset jätkusuutlikku saagikust tagavate kasutusmäärade puhul</w:t>
            </w:r>
            <w:r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13</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Põhjendus 14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B0D37" w:rsidP="00CB0D37">
            <w:pPr>
              <w:pStyle w:val="Normal6"/>
            </w:pPr>
            <w:r w:rsidRPr="00F76923">
              <w:rPr>
                <w:b/>
                <w:i/>
              </w:rPr>
              <w:t>(14</w:t>
            </w:r>
            <w:r w:rsidR="00F42706" w:rsidRPr="00F76923">
              <w:rPr>
                <w:b/>
                <w:i/>
              </w:rPr>
              <w:t>a)</w:t>
            </w:r>
            <w:r w:rsidR="00F42706" w:rsidRPr="00F76923">
              <w:rPr>
                <w:b/>
                <w:i/>
              </w:rPr>
              <w:tab/>
              <w:t>Harrastuskalapüügil võib olla kalavarudele suur mõju. Liikmesriigid peavad koguma püügiandmeid harrastuskalapüügi kohta kooskõlas andmete kogumise õiguslike nõuetega. Kui asjaomasel püügil on varudele märkimisväärne negatiivne mõju, tuleks kavas ette näha võimalus otsustada konkreetsete majandamismeetmete üle vastavalt proportsionaalsuse põhimõttele. Kõik majandamis- ja tehnilised meetmed, mis käsitlevad harrastuskalapüüki liidu tasandil, peaksid olema proportsionaalsed taotletavate eesmärkidega.</w:t>
            </w:r>
          </w:p>
        </w:tc>
      </w:tr>
    </w:tbl>
    <w:p w:rsidR="00F42706" w:rsidRPr="00F76923" w:rsidRDefault="00F42706" w:rsidP="00F42706"/>
    <w:p w:rsidR="00F42706" w:rsidRPr="00F76923" w:rsidRDefault="00F42706" w:rsidP="00F42706">
      <w:pPr>
        <w:pStyle w:val="AMNumberTabs"/>
      </w:pPr>
      <w:r w:rsidRPr="00F76923">
        <w:t>Muudatusettepanek</w:t>
      </w:r>
      <w:r w:rsidRPr="00F76923">
        <w:tab/>
      </w:r>
      <w:r w:rsidRPr="00F76923">
        <w:tab/>
        <w:t>14</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Põhjendus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(16)</w:t>
            </w:r>
            <w:r w:rsidRPr="00F76923">
              <w:tab/>
              <w:t xml:space="preserve">Norra salehomaari funktsionaalse üksuse puhul on asjakohane kasutada </w:t>
            </w:r>
            <w:r w:rsidRPr="00F76923">
              <w:rPr>
                <w:b/>
                <w:i/>
              </w:rPr>
              <w:t xml:space="preserve">järgmisi </w:t>
            </w:r>
            <w:r w:rsidRPr="00F76923">
              <w:t xml:space="preserve">arvukuse </w:t>
            </w:r>
            <w:r w:rsidRPr="00F76923">
              <w:rPr>
                <w:b/>
                <w:i/>
              </w:rPr>
              <w:t>miinimumtasemeid (kui need on kättesaadavad):</w:t>
            </w:r>
            <w:r w:rsidRPr="00F76923">
              <w:t xml:space="preserve"> </w:t>
            </w:r>
            <w:r w:rsidRPr="00F76923">
              <w:rPr>
                <w:b/>
                <w:i/>
              </w:rPr>
              <w:t>minimaalne arvukus</w:t>
            </w:r>
            <w:r w:rsidRPr="00F76923">
              <w:t xml:space="preserve"> (</w:t>
            </w:r>
            <w:proofErr w:type="spellStart"/>
            <w:r w:rsidRPr="00F76923">
              <w:t>Abundance</w:t>
            </w:r>
            <w:r w:rsidRPr="00F76923">
              <w:rPr>
                <w:vertAlign w:val="subscript"/>
              </w:rPr>
              <w:t>buffer</w:t>
            </w:r>
            <w:proofErr w:type="spellEnd"/>
            <w:r w:rsidRPr="00F76923">
              <w:t>)</w:t>
            </w:r>
            <w:r w:rsidRPr="00F76923">
              <w:rPr>
                <w:b/>
                <w:i/>
              </w:rPr>
              <w:t xml:space="preserve">, mis vastab </w:t>
            </w:r>
            <w:r w:rsidRPr="00F76923">
              <w:rPr>
                <w:b/>
                <w:i/>
              </w:rPr>
              <w:lastRenderedPageBreak/>
              <w:t xml:space="preserve">Põhjamere piirkondliku nõuandekomisjoni42 kehtestatud Põhjamere norra salehomaari pikaajalises majandamiskavas määratletud piirväärtusele </w:t>
            </w:r>
            <w:proofErr w:type="spellStart"/>
            <w:r w:rsidRPr="00F76923">
              <w:rPr>
                <w:b/>
                <w:i/>
              </w:rPr>
              <w:t>B</w:t>
            </w:r>
            <w:r w:rsidRPr="00F76923">
              <w:rPr>
                <w:b/>
                <w:i/>
                <w:vertAlign w:val="subscript"/>
              </w:rPr>
              <w:t>buffer</w:t>
            </w:r>
            <w:proofErr w:type="spellEnd"/>
            <w:r w:rsidRPr="00F76923">
              <w:rPr>
                <w:b/>
                <w:i/>
              </w:rPr>
              <w:t>, ning</w:t>
            </w:r>
            <w:r w:rsidRPr="00F76923">
              <w:t xml:space="preserve"> arvukuse </w:t>
            </w:r>
            <w:r w:rsidRPr="00F76923">
              <w:rPr>
                <w:b/>
                <w:i/>
              </w:rPr>
              <w:t>piirväärtus</w:t>
            </w:r>
            <w:r w:rsidRPr="00F76923">
              <w:t xml:space="preserve"> (</w:t>
            </w:r>
            <w:proofErr w:type="spellStart"/>
            <w:r w:rsidRPr="00F76923">
              <w:t>Abundance</w:t>
            </w:r>
            <w:r w:rsidRPr="00F76923">
              <w:rPr>
                <w:vertAlign w:val="subscript"/>
              </w:rPr>
              <w:t>limit</w:t>
            </w:r>
            <w:proofErr w:type="spellEnd"/>
            <w:r w:rsidRPr="00F76923">
              <w:t>)</w:t>
            </w:r>
            <w:r w:rsidRPr="00F76923">
              <w:rPr>
                <w:b/>
                <w:i/>
              </w:rPr>
              <w:t xml:space="preserve">, mis vastab kudekarja </w:t>
            </w:r>
            <w:proofErr w:type="spellStart"/>
            <w:r w:rsidRPr="00F76923">
              <w:rPr>
                <w:b/>
                <w:i/>
              </w:rPr>
              <w:t>biomassi</w:t>
            </w:r>
            <w:proofErr w:type="spellEnd"/>
            <w:r w:rsidRPr="00F76923">
              <w:rPr>
                <w:b/>
                <w:i/>
              </w:rPr>
              <w:t xml:space="preserve"> piirväärtuse miinimumtasemele MSY </w:t>
            </w:r>
            <w:proofErr w:type="spellStart"/>
            <w:r w:rsidRPr="00F76923">
              <w:rPr>
                <w:b/>
                <w:i/>
              </w:rPr>
              <w:t>B</w:t>
            </w:r>
            <w:r w:rsidRPr="00F76923">
              <w:rPr>
                <w:b/>
                <w:i/>
                <w:vertAlign w:val="subscript"/>
              </w:rPr>
              <w:t>trigger</w:t>
            </w:r>
            <w:proofErr w:type="spellEnd"/>
            <w:r w:rsidRPr="00F76923">
              <w:t xml:space="preserve"> (</w:t>
            </w:r>
            <w:r w:rsidRPr="00F76923">
              <w:rPr>
                <w:b/>
                <w:i/>
              </w:rPr>
              <w:t xml:space="preserve">samaväärne näitajaga </w:t>
            </w:r>
            <w:proofErr w:type="spellStart"/>
            <w:r w:rsidRPr="00F76923">
              <w:rPr>
                <w:b/>
                <w:i/>
              </w:rPr>
              <w:t>B</w:t>
            </w:r>
            <w:r w:rsidRPr="00F76923">
              <w:rPr>
                <w:b/>
                <w:i/>
                <w:vertAlign w:val="subscript"/>
              </w:rPr>
              <w:t>lim</w:t>
            </w:r>
            <w:proofErr w:type="spellEnd"/>
            <w:r w:rsidRPr="00F76923">
              <w:rPr>
                <w:b/>
                <w:i/>
              </w:rPr>
              <w:t>), mille</w:t>
            </w:r>
            <w:r w:rsidRPr="00F76923">
              <w:t xml:space="preserve"> on </w:t>
            </w:r>
            <w:r w:rsidRPr="00F76923">
              <w:rPr>
                <w:b/>
                <w:i/>
              </w:rPr>
              <w:t>määratlenud ICES</w:t>
            </w:r>
            <w:r w:rsidRPr="00F76923">
              <w:rPr>
                <w:b/>
                <w:i/>
                <w:vertAlign w:val="superscript"/>
              </w:rPr>
              <w:t>7</w:t>
            </w:r>
            <w:r w:rsidRPr="00F76923">
              <w:t>.</w:t>
            </w:r>
          </w:p>
        </w:tc>
        <w:tc>
          <w:tcPr>
            <w:tcW w:w="4876" w:type="dxa"/>
            <w:hideMark/>
          </w:tcPr>
          <w:p w:rsidR="00F42706" w:rsidRPr="00F76923" w:rsidRDefault="00F42706" w:rsidP="00CB0D37">
            <w:pPr>
              <w:pStyle w:val="Normal6"/>
            </w:pPr>
            <w:r w:rsidRPr="00F76923">
              <w:lastRenderedPageBreak/>
              <w:t>(16)</w:t>
            </w:r>
            <w:r w:rsidRPr="00F76923">
              <w:tab/>
              <w:t xml:space="preserve">Norra salehomaari funktsionaalse üksuse puhul on asjakohane kasutada arvukuse </w:t>
            </w:r>
            <w:r w:rsidRPr="00F76923">
              <w:rPr>
                <w:b/>
                <w:i/>
              </w:rPr>
              <w:t xml:space="preserve">miinimumtasemetena </w:t>
            </w:r>
            <w:proofErr w:type="spellStart"/>
            <w:r w:rsidRPr="00F76923">
              <w:rPr>
                <w:b/>
                <w:i/>
              </w:rPr>
              <w:t>ICESi</w:t>
            </w:r>
            <w:proofErr w:type="spellEnd"/>
            <w:r w:rsidRPr="00F76923">
              <w:rPr>
                <w:b/>
                <w:i/>
              </w:rPr>
              <w:t xml:space="preserve"> soovitatud minimaalset arvukust</w:t>
            </w:r>
            <w:r w:rsidRPr="00F76923">
              <w:t xml:space="preserve"> (</w:t>
            </w:r>
            <w:proofErr w:type="spellStart"/>
            <w:r w:rsidRPr="00F76923">
              <w:t>Abundance</w:t>
            </w:r>
            <w:r w:rsidRPr="00F76923">
              <w:rPr>
                <w:vertAlign w:val="subscript"/>
              </w:rPr>
              <w:t>buffer</w:t>
            </w:r>
            <w:proofErr w:type="spellEnd"/>
            <w:r w:rsidRPr="00F76923">
              <w:t>)</w:t>
            </w:r>
            <w:r w:rsidRPr="00F76923">
              <w:rPr>
                <w:b/>
                <w:i/>
              </w:rPr>
              <w:t xml:space="preserve"> ja</w:t>
            </w:r>
            <w:r w:rsidRPr="00F76923">
              <w:t xml:space="preserve"> arvukuse </w:t>
            </w:r>
            <w:r w:rsidRPr="00F76923">
              <w:rPr>
                <w:b/>
                <w:i/>
              </w:rPr>
              <w:t>piirväärtust</w:t>
            </w:r>
            <w:r w:rsidRPr="00F76923">
              <w:t xml:space="preserve"> </w:t>
            </w:r>
            <w:r w:rsidRPr="00F76923">
              <w:lastRenderedPageBreak/>
              <w:t>(</w:t>
            </w:r>
            <w:proofErr w:type="spellStart"/>
            <w:r w:rsidRPr="00F76923">
              <w:t>Abundance</w:t>
            </w:r>
            <w:r w:rsidRPr="00F76923">
              <w:rPr>
                <w:vertAlign w:val="subscript"/>
              </w:rPr>
              <w:t>limit</w:t>
            </w:r>
            <w:proofErr w:type="spellEnd"/>
            <w:r w:rsidRPr="00F76923">
              <w:t>) (</w:t>
            </w:r>
            <w:r w:rsidRPr="00F76923">
              <w:rPr>
                <w:b/>
                <w:i/>
              </w:rPr>
              <w:t>kui need</w:t>
            </w:r>
            <w:r w:rsidRPr="00F76923">
              <w:t xml:space="preserve"> on </w:t>
            </w:r>
            <w:r w:rsidRPr="00F76923">
              <w:rPr>
                <w:b/>
                <w:i/>
              </w:rPr>
              <w:t>kättesaadavad)</w:t>
            </w:r>
            <w:r w:rsidRPr="00F76923">
              <w:t>.</w:t>
            </w:r>
          </w:p>
        </w:tc>
      </w:tr>
      <w:tr w:rsidR="00F42706" w:rsidRPr="00F76923" w:rsidTr="00CB0D37">
        <w:trPr>
          <w:jc w:val="center"/>
        </w:trPr>
        <w:tc>
          <w:tcPr>
            <w:tcW w:w="4876" w:type="dxa"/>
            <w:hideMark/>
          </w:tcPr>
          <w:p w:rsidR="00F42706" w:rsidRPr="00F76923" w:rsidRDefault="00F42706" w:rsidP="00CB0D37">
            <w:pPr>
              <w:pStyle w:val="Normal6"/>
            </w:pPr>
            <w:r w:rsidRPr="00F76923">
              <w:lastRenderedPageBreak/>
              <w:t>_________________</w:t>
            </w:r>
          </w:p>
        </w:tc>
        <w:tc>
          <w:tcPr>
            <w:tcW w:w="4876" w:type="dxa"/>
          </w:tcPr>
          <w:p w:rsidR="00F42706" w:rsidRPr="00F76923" w:rsidRDefault="00F42706" w:rsidP="00CB0D37">
            <w:pPr>
              <w:pStyle w:val="Normal6"/>
            </w:pPr>
          </w:p>
        </w:tc>
      </w:tr>
      <w:tr w:rsidR="00F42706" w:rsidRPr="00F76923" w:rsidTr="00CB0D37">
        <w:trPr>
          <w:jc w:val="center"/>
        </w:trPr>
        <w:tc>
          <w:tcPr>
            <w:tcW w:w="4876" w:type="dxa"/>
            <w:hideMark/>
          </w:tcPr>
          <w:p w:rsidR="00F42706" w:rsidRPr="00F76923" w:rsidRDefault="00F42706" w:rsidP="00CB0D37">
            <w:pPr>
              <w:pStyle w:val="Normal6"/>
            </w:pPr>
            <w:r w:rsidRPr="00F76923">
              <w:rPr>
                <w:b/>
                <w:i/>
                <w:vertAlign w:val="superscript"/>
              </w:rPr>
              <w:t>42</w:t>
            </w:r>
            <w:r w:rsidRPr="00F76923">
              <w:rPr>
                <w:b/>
                <w:i/>
              </w:rPr>
              <w:t xml:space="preserve"> Põhjamere norra salehomaari varude pikaajaline majandamiskava</w:t>
            </w:r>
          </w:p>
        </w:tc>
        <w:tc>
          <w:tcPr>
            <w:tcW w:w="4876" w:type="dxa"/>
          </w:tcPr>
          <w:p w:rsidR="00F42706" w:rsidRPr="00F76923" w:rsidRDefault="00F42706" w:rsidP="00CB0D37">
            <w:pPr>
              <w:pStyle w:val="Normal6"/>
            </w:pP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15</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(17)</w:t>
            </w:r>
            <w:r w:rsidRPr="00F76923">
              <w:tab/>
              <w:t xml:space="preserve">Tuleks ette näha asjakohased kaitsemeetmed juhuks, kui kalavaru suurus langeb alla kõnealuste tasemete. Kaitsemeetmed peaksid hõlmama kalapüügivõimaluste vähendamist ja konkreetseid kaitsemeetmeid, kui teaduslike nõuannete põhjal on vaja parandusmeetmeid. Neid meetmeid peaksid vajaduse korral täiendama kõik muud meetmed, nagu näiteks </w:t>
            </w:r>
            <w:r w:rsidRPr="00F76923">
              <w:rPr>
                <w:b/>
                <w:i/>
              </w:rPr>
              <w:t>komisjon</w:t>
            </w:r>
            <w:r w:rsidRPr="00F76923">
              <w:t xml:space="preserve"> meetmed vastavalt määruse (EL) nr 1380/2013 artiklile 12 või liikmesriigi meetmed vastavalt määruse (EL) nr 1380/2013 artiklile 13.</w:t>
            </w:r>
          </w:p>
        </w:tc>
        <w:tc>
          <w:tcPr>
            <w:tcW w:w="4876" w:type="dxa"/>
            <w:hideMark/>
          </w:tcPr>
          <w:p w:rsidR="00F42706" w:rsidRPr="00F76923" w:rsidRDefault="00F42706" w:rsidP="00CB0D37">
            <w:pPr>
              <w:pStyle w:val="Normal6"/>
            </w:pPr>
            <w:r w:rsidRPr="00F76923">
              <w:t>(17)</w:t>
            </w:r>
            <w:r w:rsidRPr="00F76923">
              <w:tab/>
              <w:t xml:space="preserve">Tuleks ette näha asjakohased kaitsemeetmed juhuks, kui kalavaru suurus langeb alla kõnealuste tasemete. Kaitsemeetmed peaksid hõlmama kalapüügivõimaluste vähendamist ja konkreetseid kaitsemeetmeid, kui </w:t>
            </w:r>
            <w:r w:rsidRPr="00F76923">
              <w:rPr>
                <w:b/>
                <w:i/>
              </w:rPr>
              <w:t xml:space="preserve">parimate kättesaadavate </w:t>
            </w:r>
            <w:r w:rsidRPr="00F76923">
              <w:t xml:space="preserve">teaduslike nõuannete põhjal on vaja parandusmeetmeid. Neid meetmeid peaksid vajaduse korral täiendama kõik muud meetmed, nagu näiteks </w:t>
            </w:r>
            <w:r w:rsidRPr="00F76923">
              <w:rPr>
                <w:b/>
                <w:i/>
              </w:rPr>
              <w:t>komisjoni</w:t>
            </w:r>
            <w:r w:rsidRPr="00F76923">
              <w:t xml:space="preserve"> me</w:t>
            </w:r>
            <w:r w:rsidR="00CB0D37" w:rsidRPr="00F76923">
              <w:t>etmed vastavalt määruse (EL) nr 1380/2013 artiklile </w:t>
            </w:r>
            <w:r w:rsidRPr="00F76923">
              <w:t>12 või liikmesriigi me</w:t>
            </w:r>
            <w:r w:rsidR="00CB0D37" w:rsidRPr="00F76923">
              <w:t>etmed vastavalt määruse (EL) nr 1380/2013 artiklile </w:t>
            </w:r>
            <w:r w:rsidRPr="00F76923">
              <w:t>13.</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16</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(19)</w:t>
            </w:r>
            <w:r w:rsidRPr="00F76923">
              <w:tab/>
            </w:r>
            <w:r w:rsidRPr="00F76923">
              <w:rPr>
                <w:b/>
                <w:i/>
              </w:rPr>
              <w:t>Tuleks kehtestada norra</w:t>
            </w:r>
            <w:r w:rsidRPr="00F76923">
              <w:t xml:space="preserve"> salehomaari </w:t>
            </w:r>
            <w:r w:rsidRPr="00F76923">
              <w:rPr>
                <w:b/>
                <w:i/>
              </w:rPr>
              <w:t xml:space="preserve">lubatud kogupüük </w:t>
            </w:r>
            <w:proofErr w:type="spellStart"/>
            <w:r w:rsidRPr="00F76923">
              <w:rPr>
                <w:b/>
                <w:i/>
              </w:rPr>
              <w:t>ICESi</w:t>
            </w:r>
            <w:proofErr w:type="spellEnd"/>
            <w:r w:rsidRPr="00F76923">
              <w:rPr>
                <w:b/>
                <w:i/>
              </w:rPr>
              <w:t xml:space="preserve"> </w:t>
            </w:r>
            <w:proofErr w:type="spellStart"/>
            <w:r w:rsidRPr="00F76923">
              <w:rPr>
                <w:b/>
                <w:i/>
              </w:rPr>
              <w:t>IIa</w:t>
            </w:r>
            <w:proofErr w:type="spellEnd"/>
            <w:r w:rsidRPr="00F76923">
              <w:rPr>
                <w:b/>
                <w:i/>
              </w:rPr>
              <w:t xml:space="preserve"> ja IV püügipiirkonnas, liites</w:t>
            </w:r>
            <w:r w:rsidRPr="00F76923">
              <w:t xml:space="preserve"> iga funktsionaalse üksuse </w:t>
            </w:r>
            <w:r w:rsidRPr="00F76923">
              <w:rPr>
                <w:b/>
                <w:i/>
              </w:rPr>
              <w:t xml:space="preserve">suhtes kehtestatud </w:t>
            </w:r>
            <w:r w:rsidRPr="00F76923">
              <w:rPr>
                <w:b/>
                <w:i/>
              </w:rPr>
              <w:lastRenderedPageBreak/>
              <w:t>püügi piirnormid ning väljaspool funktsionaalseid üksusi asuvate statistiliste ruutude püügi piirnormid kõnealuses</w:t>
            </w:r>
            <w:r w:rsidRPr="00F76923">
              <w:t xml:space="preserve"> lubatud </w:t>
            </w:r>
            <w:r w:rsidRPr="00F76923">
              <w:rPr>
                <w:b/>
                <w:i/>
              </w:rPr>
              <w:t>kogupüügi piirkonnas</w:t>
            </w:r>
            <w:r w:rsidRPr="00F76923">
              <w:t>.</w:t>
            </w:r>
            <w:r w:rsidRPr="00F76923">
              <w:rPr>
                <w:b/>
                <w:i/>
              </w:rPr>
              <w:t xml:space="preserve"> See ei välista siiski meetmete võtmist, et kaitsta teatavaid funktsionaalseid üksusi</w:t>
            </w:r>
            <w:r w:rsidRPr="00F76923">
              <w:t>.</w:t>
            </w:r>
          </w:p>
        </w:tc>
        <w:tc>
          <w:tcPr>
            <w:tcW w:w="4876" w:type="dxa"/>
            <w:hideMark/>
          </w:tcPr>
          <w:p w:rsidR="00F42706" w:rsidRPr="00F76923" w:rsidRDefault="00F42706" w:rsidP="00CB0D37">
            <w:pPr>
              <w:pStyle w:val="Normal6"/>
            </w:pPr>
            <w:r w:rsidRPr="00F76923">
              <w:lastRenderedPageBreak/>
              <w:t>(19)</w:t>
            </w:r>
            <w:r w:rsidRPr="00F76923">
              <w:tab/>
            </w:r>
            <w:r w:rsidRPr="00F76923">
              <w:rPr>
                <w:b/>
                <w:i/>
              </w:rPr>
              <w:t>Norra</w:t>
            </w:r>
            <w:r w:rsidRPr="00F76923">
              <w:t xml:space="preserve"> salehomaari </w:t>
            </w:r>
            <w:r w:rsidRPr="00F76923">
              <w:rPr>
                <w:b/>
                <w:i/>
              </w:rPr>
              <w:t>puhul tuleks võimaluse korral</w:t>
            </w:r>
            <w:r w:rsidRPr="00F76923">
              <w:t xml:space="preserve"> iga funktsionaalse üksuse </w:t>
            </w:r>
            <w:r w:rsidRPr="00F76923">
              <w:rPr>
                <w:b/>
                <w:i/>
              </w:rPr>
              <w:t>kohta määrata kindlaks eraldi</w:t>
            </w:r>
            <w:r w:rsidRPr="00F76923">
              <w:t xml:space="preserve"> lubatud </w:t>
            </w:r>
            <w:r w:rsidRPr="00F76923">
              <w:rPr>
                <w:b/>
                <w:i/>
              </w:rPr>
              <w:t>kogupüük</w:t>
            </w:r>
            <w:r w:rsidRPr="00F76923">
              <w:t>.</w:t>
            </w:r>
            <w:r w:rsidRPr="00F76923">
              <w:rPr>
                <w:b/>
                <w:i/>
              </w:rPr>
              <w:t xml:space="preserve"> Vastavate funktsionaalsete </w:t>
            </w:r>
            <w:r w:rsidRPr="00F76923">
              <w:rPr>
                <w:b/>
                <w:i/>
              </w:rPr>
              <w:lastRenderedPageBreak/>
              <w:t>üksuste kaitsmiseks võib võtta eraldi meetmeid</w:t>
            </w:r>
            <w:r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17</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(20)</w:t>
            </w:r>
            <w:r w:rsidRPr="00F76923">
              <w:tab/>
              <w:t xml:space="preserve">Määruse (EL) nr 1380/2013 artikli 15 lõikes 1 sätestatud lossimiskohustuse täitmiseks tuleks kavaga ette näha </w:t>
            </w:r>
            <w:r w:rsidRPr="00F76923">
              <w:rPr>
                <w:b/>
                <w:i/>
              </w:rPr>
              <w:t>täiendavad majandamismeetmed</w:t>
            </w:r>
            <w:r w:rsidRPr="00F76923">
              <w:t>.</w:t>
            </w:r>
          </w:p>
        </w:tc>
        <w:tc>
          <w:tcPr>
            <w:tcW w:w="4876" w:type="dxa"/>
            <w:hideMark/>
          </w:tcPr>
          <w:p w:rsidR="00F42706" w:rsidRPr="00F76923" w:rsidRDefault="00CB0D37" w:rsidP="00CB0D37">
            <w:pPr>
              <w:pStyle w:val="Normal6"/>
            </w:pPr>
            <w:r w:rsidRPr="00F76923">
              <w:t>(20)</w:t>
            </w:r>
            <w:r w:rsidRPr="00F76923">
              <w:tab/>
              <w:t>Määruse (EL) nr 1380/2013 artikli 15 lõikes </w:t>
            </w:r>
            <w:r w:rsidR="00F42706" w:rsidRPr="00F76923">
              <w:t xml:space="preserve">1 sätestatud lossimiskohustuse täitmiseks tuleks kavaga ette näha </w:t>
            </w:r>
            <w:r w:rsidR="00F42706" w:rsidRPr="00F76923">
              <w:rPr>
                <w:b/>
                <w:i/>
              </w:rPr>
              <w:t xml:space="preserve">muud kaitsemeetmed, eelkõige meetmed, eelkõige meetmed tagasiheite järkjärguliseks kaotamiseks, võttes arvesse parimaid kättesaadavaid teaduslikke nõuandeid, või kalapüügiga ökosüsteemile avaldatava negatiivse mõju minimeerimiseks, mida tuleb vajaduse korral täiendavalt kirjeldada kooskõlas </w:t>
            </w:r>
            <w:r w:rsidRPr="00F76923">
              <w:rPr>
                <w:b/>
                <w:i/>
              </w:rPr>
              <w:t>määruse(EL) nr 1380/2013 artikliga </w:t>
            </w:r>
            <w:r w:rsidR="00F42706" w:rsidRPr="00F76923">
              <w:rPr>
                <w:b/>
                <w:i/>
              </w:rPr>
              <w:t>18</w:t>
            </w:r>
            <w:r w:rsidR="00F42706"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18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(25)</w:t>
            </w:r>
            <w:r w:rsidRPr="00F76923">
              <w:tab/>
              <w:t xml:space="preserve">Tuleks sätestada põhjalähedaste kalavarude piirkogused, mille ületanud kalalaev on kohustatud </w:t>
            </w:r>
            <w:r w:rsidRPr="00F76923">
              <w:rPr>
                <w:b/>
                <w:i/>
              </w:rPr>
              <w:t xml:space="preserve">saagi </w:t>
            </w:r>
            <w:r w:rsidRPr="00F76923">
              <w:t xml:space="preserve">lossima määratud sadamas või rannikuäärses kohas vastavalt määruse (EÜ) nr 1224/2009 artiklile 43. Liikmesriigid peaksid selliste sadamate või rannikuäärsete kohtade määramisel kohaldama kõnealuse määruse artikli 43 lõikes 5 sätestatud kriteeriume viisil, mis tagab tõhusa kontrolli käesoleva määruse kohaldamisalasse </w:t>
            </w:r>
            <w:r w:rsidRPr="00F76923">
              <w:rPr>
                <w:b/>
                <w:i/>
              </w:rPr>
              <w:t>kuuluvate varude</w:t>
            </w:r>
            <w:r w:rsidRPr="00F76923">
              <w:t xml:space="preserve"> üle.</w:t>
            </w:r>
          </w:p>
        </w:tc>
        <w:tc>
          <w:tcPr>
            <w:tcW w:w="4876" w:type="dxa"/>
            <w:hideMark/>
          </w:tcPr>
          <w:p w:rsidR="00F42706" w:rsidRPr="00F76923" w:rsidRDefault="00F42706" w:rsidP="00CB0D37">
            <w:pPr>
              <w:pStyle w:val="Normal6"/>
            </w:pPr>
            <w:r w:rsidRPr="00F76923">
              <w:t>(25)</w:t>
            </w:r>
            <w:r w:rsidRPr="00F76923">
              <w:tab/>
              <w:t>Tuleks sätestada põhjalähedaste kalavarude piirkogused, mille ületanud kalalaev on kohustatud lossima määratud sadamas või rannikuäärses kohas vastavalt määru</w:t>
            </w:r>
            <w:r w:rsidR="00CB0D37" w:rsidRPr="00F76923">
              <w:t>se (EÜ) nr 1224/2009 artiklile </w:t>
            </w:r>
            <w:r w:rsidRPr="00F76923">
              <w:t>43. Liikmesriigid peaksid selliste sadamate või rannikuäärsete kohtade määramisel koha</w:t>
            </w:r>
            <w:r w:rsidR="00CB0D37" w:rsidRPr="00F76923">
              <w:t>ldama kõnealuse määruse artikli 43 lõikes </w:t>
            </w:r>
            <w:r w:rsidRPr="00F76923">
              <w:t xml:space="preserve">5 sätestatud kriteeriume viisil, mis tagab tõhusa kontrolli käesoleva määruse kohaldamisalasse </w:t>
            </w:r>
            <w:r w:rsidRPr="00F76923">
              <w:rPr>
                <w:b/>
                <w:i/>
              </w:rPr>
              <w:t>kuuluva saagi lossimise</w:t>
            </w:r>
            <w:r w:rsidRPr="00F76923">
              <w:t xml:space="preserve"> üle.</w:t>
            </w: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19</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Põhjendus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(26)</w:t>
            </w:r>
            <w:r w:rsidRPr="00F76923">
              <w:tab/>
              <w:t>Vastavalt määruse (EL) nr 1380/2013 artikli 10 lõikele 3 tuleks ette näha sätted, mille alusel hindab komisjon korrapäraselt käesoleva määruse kohaldamise nõuetekohasust ja tõhusust. Selline hindamine peaks tuginema kava korrapärasele hindamisele teaduslike nõuannete põhjal; kusjuures kava tuleks hinnata iga viie aasta tagant. Kõnealune ajavahemik võimaldab lossimiskohustust täielikult rakendada ning selle jooksul on piirkondlikud meetmed vastu võetud, rakendatud ja nende mõju kalavarudele ja kalapüügile ilmnenud. Ka teadusasutused soovitavad vähemalt sellist ajavahemikku.</w:t>
            </w:r>
          </w:p>
        </w:tc>
        <w:tc>
          <w:tcPr>
            <w:tcW w:w="4876" w:type="dxa"/>
            <w:hideMark/>
          </w:tcPr>
          <w:p w:rsidR="00F42706" w:rsidRPr="00F76923" w:rsidRDefault="00F42706" w:rsidP="00CB0D37">
            <w:pPr>
              <w:pStyle w:val="Normal6"/>
            </w:pPr>
            <w:r w:rsidRPr="00F76923">
              <w:t>(26)</w:t>
            </w:r>
            <w:r w:rsidRPr="00F76923">
              <w:tab/>
            </w:r>
            <w:r w:rsidR="00CB0D37" w:rsidRPr="00F76923">
              <w:t>Vastavalt määruse (EL) nr 1380/2013 artikli 10 lõikele </w:t>
            </w:r>
            <w:r w:rsidRPr="00F76923">
              <w:t xml:space="preserve">3 tuleks ette näha sätted, mille alusel hindab komisjon korrapäraselt käesoleva määruse kohaldamise nõuetekohasust ja tõhusust. Selline hindamine peaks tuginema kava korrapärasele hindamisele </w:t>
            </w:r>
            <w:r w:rsidRPr="00F76923">
              <w:rPr>
                <w:b/>
                <w:i/>
              </w:rPr>
              <w:t xml:space="preserve">parimate kättesaadavate </w:t>
            </w:r>
            <w:r w:rsidRPr="00F76923">
              <w:t xml:space="preserve">teaduslike nõuannete põhjal; kusjuures kava tuleks hinnata </w:t>
            </w:r>
            <w:r w:rsidR="00CB0D37" w:rsidRPr="00F76923">
              <w:rPr>
                <w:b/>
                <w:i/>
              </w:rPr>
              <w:t>hiljemalt …</w:t>
            </w:r>
            <w:r w:rsidRPr="00F76923">
              <w:rPr>
                <w:b/>
                <w:i/>
              </w:rPr>
              <w:t xml:space="preserve"> [kolm aastat pärast käesoleva määruse jõustumise kuupäeva] ning seejärel </w:t>
            </w:r>
            <w:r w:rsidRPr="00F76923">
              <w:t>iga viie aasta tagant. Kõnealune ajavahemik võimaldab lossimiskohustust täielikult rakendada ning selle jooksul on piirkondlikud meetmed vastu võetud, rakendatud ja nende mõju kalavarudele ja kalapüügile ilmnenud. Ka teadusasutused soovitavad vähemalt sellist ajavahemikku.</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20</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1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w:t>
            </w:r>
            <w:r w:rsidRPr="00F76923">
              <w:tab/>
              <w:t xml:space="preserve">Käesoleva määrusega kehtestatakse </w:t>
            </w:r>
            <w:proofErr w:type="spellStart"/>
            <w:r w:rsidRPr="00F76923">
              <w:t>ICESi</w:t>
            </w:r>
            <w:proofErr w:type="spellEnd"/>
            <w:r w:rsidRPr="00F76923">
              <w:t xml:space="preserve"> </w:t>
            </w:r>
            <w:proofErr w:type="spellStart"/>
            <w:r w:rsidRPr="00F76923">
              <w:t>IIa</w:t>
            </w:r>
            <w:proofErr w:type="spellEnd"/>
            <w:r w:rsidRPr="00F76923">
              <w:t xml:space="preserve">, </w:t>
            </w:r>
            <w:proofErr w:type="spellStart"/>
            <w:r w:rsidRPr="00F76923">
              <w:t>IIIa</w:t>
            </w:r>
            <w:proofErr w:type="spellEnd"/>
            <w:r w:rsidRPr="00F76923">
              <w:t xml:space="preserve"> ja IV püügipiirkonna liidu vete (edaspidi „Põhjameri“) põhjalähedaste varude ja nende varude püügi mitmeaastane kava (edaspidi „kava“).</w:t>
            </w:r>
          </w:p>
        </w:tc>
        <w:tc>
          <w:tcPr>
            <w:tcW w:w="4876" w:type="dxa"/>
            <w:hideMark/>
          </w:tcPr>
          <w:p w:rsidR="00F42706" w:rsidRPr="00F76923" w:rsidRDefault="00F42706" w:rsidP="00CB0D37">
            <w:pPr>
              <w:pStyle w:val="Normal6"/>
            </w:pPr>
            <w:r w:rsidRPr="00F76923">
              <w:t>1.</w:t>
            </w:r>
            <w:r w:rsidRPr="00F76923">
              <w:tab/>
              <w:t>Käesoleva määrusega keht</w:t>
            </w:r>
            <w:r w:rsidR="00CB0D37" w:rsidRPr="00F76923">
              <w:t xml:space="preserve">estatakse </w:t>
            </w:r>
            <w:proofErr w:type="spellStart"/>
            <w:r w:rsidR="00CB0D37" w:rsidRPr="00F76923">
              <w:t>ICESi</w:t>
            </w:r>
            <w:proofErr w:type="spellEnd"/>
            <w:r w:rsidR="00CB0D37" w:rsidRPr="00F76923">
              <w:t xml:space="preserve"> </w:t>
            </w:r>
            <w:proofErr w:type="spellStart"/>
            <w:r w:rsidR="00CB0D37" w:rsidRPr="00F76923">
              <w:t>IIa</w:t>
            </w:r>
            <w:proofErr w:type="spellEnd"/>
            <w:r w:rsidR="00CB0D37" w:rsidRPr="00F76923">
              <w:t xml:space="preserve">, </w:t>
            </w:r>
            <w:proofErr w:type="spellStart"/>
            <w:r w:rsidR="00CB0D37" w:rsidRPr="00F76923">
              <w:t>IIIa</w:t>
            </w:r>
            <w:proofErr w:type="spellEnd"/>
            <w:r w:rsidR="00CB0D37" w:rsidRPr="00F76923">
              <w:t xml:space="preserve"> ja IV </w:t>
            </w:r>
            <w:r w:rsidRPr="00F76923">
              <w:t xml:space="preserve">püügipiirkonna liidu vete (edaspidi </w:t>
            </w:r>
            <w:r w:rsidRPr="00F76923">
              <w:rPr>
                <w:b/>
                <w:i/>
              </w:rPr>
              <w:t xml:space="preserve">tähistab viide </w:t>
            </w:r>
            <w:r w:rsidRPr="00F76923">
              <w:t>„Põhjameri“</w:t>
            </w:r>
            <w:r w:rsidRPr="00F76923">
              <w:rPr>
                <w:b/>
                <w:i/>
              </w:rPr>
              <w:t xml:space="preserve"> nimetatud kolme püügipiirkonda</w:t>
            </w:r>
            <w:r w:rsidRPr="00F76923">
              <w:t>) põhjalähedaste varude ja nende varude püügi</w:t>
            </w:r>
            <w:r w:rsidRPr="00F76923">
              <w:rPr>
                <w:b/>
                <w:i/>
              </w:rPr>
              <w:t>, sealhulgas harrastuskalapüügi</w:t>
            </w:r>
            <w:r w:rsidRPr="00F76923">
              <w:t xml:space="preserve"> mitmeaastane kava (edaspidi „kava“).</w:t>
            </w:r>
          </w:p>
        </w:tc>
      </w:tr>
    </w:tbl>
    <w:p w:rsidR="00F42706" w:rsidRPr="00F76923" w:rsidRDefault="00F42706" w:rsidP="00F42706"/>
    <w:p w:rsidR="00F42706" w:rsidRPr="00F76923" w:rsidRDefault="00F42706" w:rsidP="00F42706">
      <w:pPr>
        <w:pStyle w:val="AMNumberTabs"/>
      </w:pPr>
      <w:r w:rsidRPr="00F76923">
        <w:t>Muudatusettepanek</w:t>
      </w:r>
      <w:r w:rsidRPr="00F76923">
        <w:tab/>
      </w:r>
      <w:r w:rsidRPr="00F76923">
        <w:tab/>
        <w:t>22</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1 – lõige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CB0D37">
            <w:pPr>
              <w:pStyle w:val="Normal6"/>
            </w:pPr>
            <w:r w:rsidRPr="00F76923">
              <w:rPr>
                <w:b/>
                <w:i/>
              </w:rPr>
              <w:t>2</w:t>
            </w:r>
            <w:r w:rsidR="00F42706" w:rsidRPr="00F76923">
              <w:rPr>
                <w:b/>
                <w:i/>
              </w:rPr>
              <w:t>a.</w:t>
            </w:r>
            <w:r w:rsidR="00F42706" w:rsidRPr="00F76923">
              <w:tab/>
            </w:r>
            <w:r w:rsidR="00F42706" w:rsidRPr="00F76923">
              <w:rPr>
                <w:b/>
                <w:i/>
              </w:rPr>
              <w:t>Kui komisjon leiab teaduslike nõuannete või asjaomase liikmesriigi taotluse alusel, et artiklis 2 osutatud loetelu on vaja kohandada, võib komisjon esitada ettepaneku selle loetelu muutmiseks.</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23</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1 – lõige 2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FD7B20">
            <w:pPr>
              <w:pStyle w:val="Normal6"/>
            </w:pPr>
            <w:r w:rsidRPr="00F76923">
              <w:rPr>
                <w:b/>
                <w:i/>
              </w:rPr>
              <w:t>2</w:t>
            </w:r>
            <w:r w:rsidR="00F42706" w:rsidRPr="00F76923">
              <w:rPr>
                <w:b/>
                <w:i/>
              </w:rPr>
              <w:t>b.</w:t>
            </w:r>
            <w:r w:rsidR="00F42706" w:rsidRPr="00F76923">
              <w:tab/>
            </w:r>
            <w:r w:rsidR="00F42706" w:rsidRPr="00F76923">
              <w:rPr>
                <w:b/>
                <w:i/>
              </w:rPr>
              <w:t>Käesolevas määruses t</w:t>
            </w:r>
            <w:r w:rsidRPr="00F76923">
              <w:rPr>
                <w:b/>
                <w:i/>
              </w:rPr>
              <w:t xml:space="preserve">äpsustatakse ka määruse (EL) </w:t>
            </w:r>
            <w:r w:rsidRPr="00F76923">
              <w:t>nr</w:t>
            </w:r>
            <w:r w:rsidR="002129AC">
              <w:t> </w:t>
            </w:r>
            <w:r w:rsidR="00F42706" w:rsidRPr="00F76923">
              <w:t>1380</w:t>
            </w:r>
            <w:r w:rsidRPr="00F76923">
              <w:rPr>
                <w:b/>
                <w:i/>
              </w:rPr>
              <w:t>/2013 artikli 15 lõikes </w:t>
            </w:r>
            <w:r w:rsidR="00F42706" w:rsidRPr="00F76923">
              <w:rPr>
                <w:b/>
                <w:i/>
              </w:rPr>
              <w:t>1 sätestatud kõikide liikide lossimiskohustuse rakendamist (varud, mis ei ole</w:t>
            </w:r>
            <w:r w:rsidRPr="00F76923">
              <w:rPr>
                <w:b/>
                <w:i/>
              </w:rPr>
              <w:t xml:space="preserve"> käesoleva artikli lõikes </w:t>
            </w:r>
            <w:r w:rsidR="00F42706" w:rsidRPr="00F76923">
              <w:rPr>
                <w:b/>
                <w:i/>
              </w:rPr>
              <w:t>1</w:t>
            </w:r>
            <w:r w:rsidR="00FD7B20" w:rsidRPr="00F76923">
              <w:rPr>
                <w:b/>
                <w:i/>
              </w:rPr>
              <w:t xml:space="preserve"> juba osutatud</w:t>
            </w:r>
            <w:r w:rsidR="00F42706" w:rsidRPr="00F76923">
              <w:rPr>
                <w:b/>
                <w:i/>
              </w:rPr>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24</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2 – lõik 1 – 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(1)</w:t>
            </w:r>
            <w:r w:rsidRPr="00F76923">
              <w:tab/>
              <w:t xml:space="preserve">„põhjalähedased kalavarud“ – </w:t>
            </w:r>
            <w:proofErr w:type="spellStart"/>
            <w:r w:rsidRPr="00F76923">
              <w:t>tursklased</w:t>
            </w:r>
            <w:proofErr w:type="spellEnd"/>
            <w:r w:rsidRPr="00F76923">
              <w:t xml:space="preserve"> ja </w:t>
            </w:r>
            <w:r w:rsidRPr="00F76923">
              <w:rPr>
                <w:b/>
                <w:i/>
              </w:rPr>
              <w:t>lestalised ning</w:t>
            </w:r>
            <w:r w:rsidRPr="00F76923">
              <w:t xml:space="preserve"> Norra salehomaar, kes elavad merepõhjas või veesamba alumises osas;</w:t>
            </w:r>
          </w:p>
        </w:tc>
        <w:tc>
          <w:tcPr>
            <w:tcW w:w="4876" w:type="dxa"/>
          </w:tcPr>
          <w:p w:rsidR="00F42706" w:rsidRPr="00F76923" w:rsidRDefault="00F42706" w:rsidP="00CB0D37">
            <w:pPr>
              <w:pStyle w:val="Normal6"/>
            </w:pPr>
            <w:r w:rsidRPr="00F76923">
              <w:t>(1)</w:t>
            </w:r>
            <w:r w:rsidRPr="00F76923">
              <w:tab/>
              <w:t xml:space="preserve">„põhjalähedased kalavarud“ – </w:t>
            </w:r>
            <w:proofErr w:type="spellStart"/>
            <w:r w:rsidRPr="00F76923">
              <w:t>tursklased</w:t>
            </w:r>
            <w:proofErr w:type="spellEnd"/>
            <w:r w:rsidRPr="00F76923">
              <w:rPr>
                <w:b/>
                <w:i/>
              </w:rPr>
              <w:t>, lestalised</w:t>
            </w:r>
            <w:r w:rsidRPr="00F76923">
              <w:t xml:space="preserve"> ja </w:t>
            </w:r>
            <w:r w:rsidRPr="00F76923">
              <w:rPr>
                <w:b/>
                <w:i/>
              </w:rPr>
              <w:t>kõhrkalade liigid,</w:t>
            </w:r>
            <w:r w:rsidRPr="00F76923">
              <w:t xml:space="preserve"> norra salehomaar</w:t>
            </w:r>
            <w:r w:rsidRPr="00F76923">
              <w:rPr>
                <w:b/>
                <w:i/>
              </w:rPr>
              <w:t xml:space="preserve"> (</w:t>
            </w:r>
            <w:proofErr w:type="spellStart"/>
            <w:r w:rsidRPr="00F76923">
              <w:rPr>
                <w:b/>
                <w:i/>
              </w:rPr>
              <w:t>Nephrops</w:t>
            </w:r>
            <w:proofErr w:type="spellEnd"/>
            <w:r w:rsidRPr="00F76923">
              <w:rPr>
                <w:b/>
                <w:i/>
              </w:rPr>
              <w:t xml:space="preserve"> </w:t>
            </w:r>
            <w:proofErr w:type="spellStart"/>
            <w:r w:rsidRPr="00F76923">
              <w:rPr>
                <w:b/>
                <w:i/>
              </w:rPr>
              <w:t>norvegicus</w:t>
            </w:r>
            <w:proofErr w:type="spellEnd"/>
            <w:r w:rsidRPr="00F76923">
              <w:rPr>
                <w:b/>
                <w:i/>
              </w:rPr>
              <w:t xml:space="preserve">) ning harilikud süvameregarneelid (Pandalus </w:t>
            </w:r>
            <w:proofErr w:type="spellStart"/>
            <w:r w:rsidRPr="00F76923">
              <w:rPr>
                <w:b/>
                <w:i/>
              </w:rPr>
              <w:t>borealis</w:t>
            </w:r>
            <w:proofErr w:type="spellEnd"/>
            <w:r w:rsidRPr="00F76923">
              <w:rPr>
                <w:b/>
                <w:i/>
              </w:rPr>
              <w:t>)</w:t>
            </w:r>
            <w:r w:rsidRPr="00F76923">
              <w:t>, kes elavad merepõhjas või veesamba alumises osas;</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25</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2 – lõik 1 – punkt 1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B0D37" w:rsidP="00CB0D37">
            <w:pPr>
              <w:pStyle w:val="Normal6"/>
            </w:pPr>
            <w:r w:rsidRPr="00F76923">
              <w:rPr>
                <w:b/>
                <w:i/>
              </w:rPr>
              <w:t>(1</w:t>
            </w:r>
            <w:r w:rsidR="00F42706" w:rsidRPr="00F76923">
              <w:rPr>
                <w:b/>
                <w:i/>
              </w:rPr>
              <w:t>a)</w:t>
            </w:r>
            <w:r w:rsidR="00F42706" w:rsidRPr="00F76923">
              <w:rPr>
                <w:b/>
                <w:i/>
              </w:rPr>
              <w:tab/>
              <w:t xml:space="preserve">„parimad kättesaadavad teaduslikud nõuanded“ – </w:t>
            </w:r>
            <w:proofErr w:type="spellStart"/>
            <w:r w:rsidR="00F42706" w:rsidRPr="00F76923">
              <w:rPr>
                <w:b/>
                <w:i/>
              </w:rPr>
              <w:t>ICESi</w:t>
            </w:r>
            <w:proofErr w:type="spellEnd"/>
            <w:r w:rsidR="00F42706" w:rsidRPr="00F76923">
              <w:rPr>
                <w:b/>
                <w:i/>
              </w:rPr>
              <w:t xml:space="preserve"> või </w:t>
            </w:r>
            <w:proofErr w:type="spellStart"/>
            <w:r w:rsidR="00F42706" w:rsidRPr="00F76923">
              <w:rPr>
                <w:b/>
                <w:i/>
              </w:rPr>
              <w:t>STECFi</w:t>
            </w:r>
            <w:proofErr w:type="spellEnd"/>
            <w:r w:rsidR="00F42706" w:rsidRPr="00F76923">
              <w:rPr>
                <w:b/>
                <w:i/>
              </w:rPr>
              <w:t xml:space="preserve"> läbi vaadatud teaduslikud nõuanded, mida toetavad </w:t>
            </w:r>
            <w:proofErr w:type="spellStart"/>
            <w:r w:rsidR="00F42706" w:rsidRPr="00F76923">
              <w:rPr>
                <w:b/>
                <w:i/>
              </w:rPr>
              <w:t>uusimad</w:t>
            </w:r>
            <w:proofErr w:type="spellEnd"/>
            <w:r w:rsidR="00F42706" w:rsidRPr="00F76923">
              <w:rPr>
                <w:b/>
                <w:i/>
              </w:rPr>
              <w:t xml:space="preserve"> kättesaadavad andmed ja mis vastavad </w:t>
            </w:r>
            <w:r w:rsidRPr="00F76923">
              <w:rPr>
                <w:b/>
                <w:i/>
              </w:rPr>
              <w:lastRenderedPageBreak/>
              <w:t>määruses (EL) nr </w:t>
            </w:r>
            <w:r w:rsidR="00F42706" w:rsidRPr="00F76923">
              <w:rPr>
                <w:b/>
                <w:i/>
              </w:rPr>
              <w:t>13</w:t>
            </w:r>
            <w:r w:rsidRPr="00F76923">
              <w:rPr>
                <w:b/>
                <w:i/>
              </w:rPr>
              <w:t>80/2013 ja eriti selle artiklis </w:t>
            </w:r>
            <w:r w:rsidR="00F42706" w:rsidRPr="00F76923">
              <w:rPr>
                <w:b/>
                <w:i/>
              </w:rPr>
              <w:t>25 sätestatud kõikidele nõuetele;</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26</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2 – lõik 1 – punkt 1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194ACE">
            <w:pPr>
              <w:pStyle w:val="Normal6"/>
            </w:pPr>
            <w:r w:rsidRPr="00F76923">
              <w:rPr>
                <w:b/>
                <w:i/>
              </w:rPr>
              <w:t>(1</w:t>
            </w:r>
            <w:r w:rsidR="00F42706" w:rsidRPr="00F76923">
              <w:rPr>
                <w:b/>
                <w:i/>
              </w:rPr>
              <w:t>b)</w:t>
            </w:r>
            <w:r w:rsidR="00F42706" w:rsidRPr="00F76923">
              <w:tab/>
            </w:r>
            <w:r w:rsidR="00F42706" w:rsidRPr="00F76923">
              <w:rPr>
                <w:b/>
                <w:i/>
              </w:rPr>
              <w:t>„F</w:t>
            </w:r>
            <w:r w:rsidR="00F42706" w:rsidRPr="00F76923">
              <w:rPr>
                <w:b/>
                <w:i/>
                <w:vertAlign w:val="subscript"/>
              </w:rPr>
              <w:t>MSY</w:t>
            </w:r>
            <w:r w:rsidR="00F42706" w:rsidRPr="00F76923">
              <w:rPr>
                <w:b/>
                <w:i/>
              </w:rPr>
              <w:t xml:space="preserve">-vahemik“ – </w:t>
            </w:r>
            <w:proofErr w:type="spellStart"/>
            <w:r w:rsidR="00F42706" w:rsidRPr="00F76923">
              <w:rPr>
                <w:b/>
                <w:i/>
              </w:rPr>
              <w:t>ICESi</w:t>
            </w:r>
            <w:proofErr w:type="spellEnd"/>
            <w:r w:rsidR="00F42706" w:rsidRPr="00F76923">
              <w:rPr>
                <w:b/>
                <w:i/>
              </w:rPr>
              <w:t xml:space="preserve"> välja arvutatud vahemik, mis ei tohiks pikas perspektiivis vähendada saagikust maksimaalse jätkusuutliku saagikusega võrreldes rohkem kui 5 %. </w:t>
            </w:r>
            <w:proofErr w:type="spellStart"/>
            <w:r w:rsidR="00F42706" w:rsidRPr="00F76923">
              <w:rPr>
                <w:b/>
                <w:i/>
              </w:rPr>
              <w:t>ICESi</w:t>
            </w:r>
            <w:proofErr w:type="spellEnd"/>
            <w:r w:rsidR="00F42706" w:rsidRPr="00F76923">
              <w:rPr>
                <w:b/>
                <w:i/>
              </w:rPr>
              <w:t xml:space="preserve"> nõuandva eeskirja</w:t>
            </w:r>
            <w:r w:rsidR="00194ACE" w:rsidRPr="00F76923">
              <w:rPr>
                <w:b/>
                <w:i/>
              </w:rPr>
              <w:t xml:space="preserve"> kohaselt vähendatakse </w:t>
            </w:r>
            <w:r w:rsidR="00F42706" w:rsidRPr="00F76923">
              <w:rPr>
                <w:b/>
                <w:i/>
              </w:rPr>
              <w:t xml:space="preserve">juhul, kui kudekarja </w:t>
            </w:r>
            <w:proofErr w:type="spellStart"/>
            <w:r w:rsidR="00F42706" w:rsidRPr="00F76923">
              <w:rPr>
                <w:b/>
                <w:i/>
              </w:rPr>
              <w:t>biomass</w:t>
            </w:r>
            <w:proofErr w:type="spellEnd"/>
            <w:r w:rsidR="00F42706" w:rsidRPr="00F76923">
              <w:rPr>
                <w:b/>
                <w:i/>
              </w:rPr>
              <w:t xml:space="preserve"> on väiksem kui kudekarja </w:t>
            </w:r>
            <w:proofErr w:type="spellStart"/>
            <w:r w:rsidR="00F42706" w:rsidRPr="00F76923">
              <w:rPr>
                <w:b/>
                <w:i/>
              </w:rPr>
              <w:t>biomassi</w:t>
            </w:r>
            <w:proofErr w:type="spellEnd"/>
            <w:r w:rsidR="00F42706" w:rsidRPr="00F76923">
              <w:rPr>
                <w:b/>
                <w:i/>
              </w:rPr>
              <w:t xml:space="preserve"> piirväärtuse miinimumtase (MSY </w:t>
            </w:r>
            <w:proofErr w:type="spellStart"/>
            <w:r w:rsidR="00F42706" w:rsidRPr="00F76923">
              <w:rPr>
                <w:b/>
                <w:i/>
              </w:rPr>
              <w:t>B</w:t>
            </w:r>
            <w:r w:rsidR="00F42706" w:rsidRPr="00F76923">
              <w:rPr>
                <w:b/>
                <w:i/>
                <w:vertAlign w:val="subscript"/>
              </w:rPr>
              <w:t>trigger</w:t>
            </w:r>
            <w:proofErr w:type="spellEnd"/>
            <w:r w:rsidR="00F42706" w:rsidRPr="00F76923">
              <w:rPr>
                <w:b/>
                <w:i/>
              </w:rPr>
              <w:t xml:space="preserve">), </w:t>
            </w:r>
            <w:r w:rsidRPr="00F76923">
              <w:rPr>
                <w:b/>
                <w:i/>
              </w:rPr>
              <w:t>kalastussuremuse sihttaset </w:t>
            </w:r>
            <w:r w:rsidR="00F42706" w:rsidRPr="00F76923">
              <w:rPr>
                <w:b/>
                <w:i/>
              </w:rPr>
              <w:t>(F) nii, et selle ülempiir ei ületa järgmist näitajat: F</w:t>
            </w:r>
            <w:r w:rsidR="00F42706" w:rsidRPr="00F76923">
              <w:rPr>
                <w:b/>
                <w:i/>
                <w:vertAlign w:val="subscript"/>
              </w:rPr>
              <w:t>MSY</w:t>
            </w:r>
            <w:r w:rsidR="00F42706" w:rsidRPr="00F76923">
              <w:rPr>
                <w:b/>
                <w:i/>
              </w:rPr>
              <w:t xml:space="preserve"> väärtus korrutatuna kudekarja </w:t>
            </w:r>
            <w:proofErr w:type="spellStart"/>
            <w:r w:rsidR="00F42706" w:rsidRPr="00F76923">
              <w:rPr>
                <w:b/>
                <w:i/>
              </w:rPr>
              <w:t>biomassiga</w:t>
            </w:r>
            <w:proofErr w:type="spellEnd"/>
            <w:r w:rsidR="00F42706" w:rsidRPr="00F76923">
              <w:rPr>
                <w:b/>
                <w:i/>
              </w:rPr>
              <w:t xml:space="preserve"> lubatud kogupüügi aastal, jagatuna näitajaga MSY </w:t>
            </w:r>
            <w:proofErr w:type="spellStart"/>
            <w:r w:rsidR="00F42706" w:rsidRPr="00F76923">
              <w:rPr>
                <w:b/>
                <w:i/>
              </w:rPr>
              <w:t>B</w:t>
            </w:r>
            <w:r w:rsidR="00F42706" w:rsidRPr="00F76923">
              <w:rPr>
                <w:b/>
                <w:i/>
                <w:vertAlign w:val="subscript"/>
              </w:rPr>
              <w:t>trigger</w:t>
            </w:r>
            <w:proofErr w:type="spellEnd"/>
            <w:r w:rsidR="00F42706" w:rsidRPr="00F76923">
              <w:rPr>
                <w:b/>
                <w:i/>
              </w:rPr>
              <w:t>;</w:t>
            </w:r>
          </w:p>
        </w:tc>
      </w:tr>
    </w:tbl>
    <w:p w:rsidR="00F42706" w:rsidRPr="00F76923" w:rsidRDefault="00F42706" w:rsidP="00F42706">
      <w:pPr>
        <w:pStyle w:val="AMNumberTabs"/>
        <w:keepNext/>
      </w:pPr>
      <w:r w:rsidRPr="00F76923">
        <w:t>Muudatusettepanek</w:t>
      </w:r>
      <w:r w:rsidRPr="00F76923">
        <w:tab/>
      </w:r>
      <w:r w:rsidRPr="00F76923">
        <w:tab/>
        <w:t>27</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2 – lõik 1 – punkt 1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B0D37" w:rsidP="00CB0D37">
            <w:pPr>
              <w:pStyle w:val="Normal6"/>
            </w:pPr>
            <w:r w:rsidRPr="00F76923">
              <w:rPr>
                <w:b/>
                <w:i/>
              </w:rPr>
              <w:t>(1</w:t>
            </w:r>
            <w:r w:rsidR="00F42706" w:rsidRPr="00F76923">
              <w:rPr>
                <w:b/>
                <w:i/>
              </w:rPr>
              <w:t>c)</w:t>
            </w:r>
            <w:r w:rsidR="00F42706" w:rsidRPr="00F76923">
              <w:tab/>
            </w:r>
            <w:r w:rsidR="00F42706" w:rsidRPr="00F76923">
              <w:rPr>
                <w:b/>
                <w:i/>
              </w:rPr>
              <w:t xml:space="preserve">„MSY </w:t>
            </w:r>
            <w:proofErr w:type="spellStart"/>
            <w:r w:rsidR="00F42706" w:rsidRPr="00F76923">
              <w:rPr>
                <w:b/>
                <w:i/>
              </w:rPr>
              <w:t>F</w:t>
            </w:r>
            <w:r w:rsidR="00F42706" w:rsidRPr="00F76923">
              <w:rPr>
                <w:b/>
                <w:i/>
                <w:vertAlign w:val="subscript"/>
              </w:rPr>
              <w:t>lower</w:t>
            </w:r>
            <w:proofErr w:type="spellEnd"/>
            <w:r w:rsidR="00F42706" w:rsidRPr="00F76923">
              <w:rPr>
                <w:b/>
                <w:i/>
              </w:rPr>
              <w:t xml:space="preserve">“ ja „MSY </w:t>
            </w:r>
            <w:proofErr w:type="spellStart"/>
            <w:r w:rsidR="00F42706" w:rsidRPr="00F76923">
              <w:rPr>
                <w:b/>
                <w:i/>
              </w:rPr>
              <w:t>F</w:t>
            </w:r>
            <w:r w:rsidR="00F42706" w:rsidRPr="00F76923">
              <w:rPr>
                <w:b/>
                <w:i/>
                <w:vertAlign w:val="subscript"/>
              </w:rPr>
              <w:t>upper</w:t>
            </w:r>
            <w:proofErr w:type="spellEnd"/>
            <w:r w:rsidR="00F42706" w:rsidRPr="00F76923">
              <w:rPr>
                <w:b/>
                <w:i/>
              </w:rPr>
              <w:t>“ – F</w:t>
            </w:r>
            <w:r w:rsidR="00F42706" w:rsidRPr="00F76923">
              <w:rPr>
                <w:b/>
                <w:i/>
                <w:vertAlign w:val="subscript"/>
              </w:rPr>
              <w:t>MSY</w:t>
            </w:r>
            <w:r w:rsidR="00F42706" w:rsidRPr="00F76923">
              <w:rPr>
                <w:b/>
                <w:i/>
              </w:rPr>
              <w:t>-vahemiku madalaim ja kõrgeim väärtus;</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28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2 – lõik 1 – 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vAlign w:val="center"/>
          </w:tcPr>
          <w:p w:rsidR="00F42706" w:rsidRPr="00F76923" w:rsidRDefault="00F42706" w:rsidP="00CB0D37">
            <w:pPr>
              <w:pStyle w:val="Normal6"/>
            </w:pPr>
            <w:r w:rsidRPr="00F76923">
              <w:t>(2)</w:t>
            </w:r>
            <w:r w:rsidRPr="00F76923">
              <w:tab/>
              <w:t>„1. rühm“ – põhjalähedased kalavarud, kelle puhul on sihttasemed F</w:t>
            </w:r>
            <w:r w:rsidRPr="00F76923">
              <w:rPr>
                <w:vertAlign w:val="subscript"/>
              </w:rPr>
              <w:t>MSY</w:t>
            </w:r>
            <w:r w:rsidRPr="00F76923">
              <w:t xml:space="preserve">-vahemikena ja </w:t>
            </w:r>
            <w:proofErr w:type="spellStart"/>
            <w:r w:rsidRPr="00F76923">
              <w:t>biomassiga</w:t>
            </w:r>
            <w:proofErr w:type="spellEnd"/>
            <w:r w:rsidRPr="00F76923">
              <w:t xml:space="preserve"> seotud kaitsemeetmed kehtestatud käesolevas kavas järgmiselt: </w:t>
            </w:r>
          </w:p>
        </w:tc>
        <w:tc>
          <w:tcPr>
            <w:tcW w:w="4876" w:type="dxa"/>
          </w:tcPr>
          <w:p w:rsidR="00F42706" w:rsidRPr="00F76923" w:rsidRDefault="00CB0D37" w:rsidP="00CB0D37">
            <w:pPr>
              <w:pStyle w:val="Normal6"/>
            </w:pPr>
            <w:r w:rsidRPr="00F76923">
              <w:t>(2)</w:t>
            </w:r>
            <w:r w:rsidRPr="00F76923">
              <w:tab/>
              <w:t>„1. </w:t>
            </w:r>
            <w:r w:rsidR="00F42706" w:rsidRPr="00F76923">
              <w:t>rühm“ – põhjalähedased kalavarud, kelle puhul on</w:t>
            </w:r>
            <w:r w:rsidRPr="00F76923">
              <w:rPr>
                <w:b/>
                <w:i/>
              </w:rPr>
              <w:t xml:space="preserve"> I ja II </w:t>
            </w:r>
            <w:r w:rsidR="00F42706" w:rsidRPr="00F76923">
              <w:rPr>
                <w:b/>
                <w:i/>
              </w:rPr>
              <w:t>lisas loetletud</w:t>
            </w:r>
            <w:r w:rsidR="00F42706" w:rsidRPr="00F76923">
              <w:t xml:space="preserve"> sihttasemed F</w:t>
            </w:r>
            <w:r w:rsidR="00F42706" w:rsidRPr="00F76923">
              <w:rPr>
                <w:vertAlign w:val="subscript"/>
              </w:rPr>
              <w:t>MSY</w:t>
            </w:r>
            <w:r w:rsidR="00F42706" w:rsidRPr="00F76923">
              <w:t xml:space="preserve">-vahemikena ja </w:t>
            </w:r>
            <w:proofErr w:type="spellStart"/>
            <w:r w:rsidR="00F42706" w:rsidRPr="00F76923">
              <w:t>biomassiga</w:t>
            </w:r>
            <w:proofErr w:type="spellEnd"/>
            <w:r w:rsidR="00F42706" w:rsidRPr="00F76923">
              <w:t xml:space="preserve"> seotud kaitsemeetmed kehtestatud käesolevas kavas järgmiselt:</w:t>
            </w:r>
          </w:p>
        </w:tc>
      </w:tr>
      <w:tr w:rsidR="00F42706" w:rsidRPr="00F76923" w:rsidTr="00CB0D37">
        <w:trPr>
          <w:jc w:val="center"/>
        </w:trPr>
        <w:tc>
          <w:tcPr>
            <w:tcW w:w="4876" w:type="dxa"/>
          </w:tcPr>
          <w:p w:rsidR="00F42706" w:rsidRPr="00F76923" w:rsidRDefault="00F42706" w:rsidP="00CB0D37">
            <w:pPr>
              <w:pStyle w:val="Normal6"/>
            </w:pPr>
            <w:r w:rsidRPr="00F76923">
              <w:lastRenderedPageBreak/>
              <w:t>a)</w:t>
            </w:r>
            <w:r w:rsidRPr="00F76923">
              <w:tab/>
              <w:t>tursk (</w:t>
            </w:r>
            <w:proofErr w:type="spellStart"/>
            <w:r w:rsidRPr="00F76923">
              <w:rPr>
                <w:i/>
              </w:rPr>
              <w:t>Gadus</w:t>
            </w:r>
            <w:proofErr w:type="spellEnd"/>
            <w:r w:rsidRPr="00F76923">
              <w:rPr>
                <w:i/>
              </w:rPr>
              <w:t xml:space="preserve"> </w:t>
            </w:r>
            <w:proofErr w:type="spellStart"/>
            <w:r w:rsidRPr="00F76923">
              <w:rPr>
                <w:i/>
              </w:rPr>
              <w:t>morhua</w:t>
            </w:r>
            <w:proofErr w:type="spellEnd"/>
            <w:r w:rsidRPr="00F76923">
              <w:t>)</w:t>
            </w:r>
            <w:r w:rsidRPr="00F76923">
              <w:rPr>
                <w:b/>
                <w:i/>
              </w:rPr>
              <w:t>,</w:t>
            </w:r>
            <w:r w:rsidRPr="00F76923">
              <w:t xml:space="preserve"> IV alapiirkonnas ning </w:t>
            </w:r>
            <w:proofErr w:type="spellStart"/>
            <w:r w:rsidRPr="00F76923">
              <w:t>VIId</w:t>
            </w:r>
            <w:proofErr w:type="spellEnd"/>
            <w:r w:rsidRPr="00F76923">
              <w:t xml:space="preserve"> ja </w:t>
            </w:r>
            <w:proofErr w:type="spellStart"/>
            <w:r w:rsidRPr="00F76923">
              <w:t>IIIa</w:t>
            </w:r>
            <w:proofErr w:type="spellEnd"/>
            <w:r w:rsidRPr="00F76923">
              <w:t xml:space="preserve"> (läänepoolses) rajoonis (</w:t>
            </w:r>
            <w:r w:rsidRPr="00F76923">
              <w:rPr>
                <w:b/>
                <w:i/>
              </w:rPr>
              <w:t>Põhjameri</w:t>
            </w:r>
            <w:r w:rsidRPr="00F76923">
              <w:t xml:space="preserve">, </w:t>
            </w:r>
            <w:r w:rsidRPr="00F76923">
              <w:rPr>
                <w:b/>
                <w:i/>
              </w:rPr>
              <w:t>La Manche'i idaosa, Skagerrak), edaspidi „Põhjamere</w:t>
            </w:r>
            <w:r w:rsidRPr="00F76923">
              <w:t xml:space="preserve"> tursk“; </w:t>
            </w:r>
          </w:p>
        </w:tc>
        <w:tc>
          <w:tcPr>
            <w:tcW w:w="4876" w:type="dxa"/>
          </w:tcPr>
          <w:p w:rsidR="00F42706" w:rsidRPr="00F76923" w:rsidRDefault="00F42706" w:rsidP="00CB0D37">
            <w:pPr>
              <w:pStyle w:val="Normal6"/>
            </w:pPr>
            <w:r w:rsidRPr="00F76923">
              <w:t>a)</w:t>
            </w:r>
            <w:r w:rsidRPr="00F76923">
              <w:tab/>
              <w:t>tursk (</w:t>
            </w:r>
            <w:proofErr w:type="spellStart"/>
            <w:r w:rsidRPr="00F76923">
              <w:rPr>
                <w:i/>
              </w:rPr>
              <w:t>Gadus</w:t>
            </w:r>
            <w:proofErr w:type="spellEnd"/>
            <w:r w:rsidRPr="00F76923">
              <w:rPr>
                <w:i/>
              </w:rPr>
              <w:t xml:space="preserve"> </w:t>
            </w:r>
            <w:proofErr w:type="spellStart"/>
            <w:r w:rsidRPr="00F76923">
              <w:rPr>
                <w:i/>
              </w:rPr>
              <w:t>morhua</w:t>
            </w:r>
            <w:proofErr w:type="spellEnd"/>
            <w:r w:rsidR="00CB0D37" w:rsidRPr="00F76923">
              <w:t>) IV </w:t>
            </w:r>
            <w:r w:rsidRPr="00F76923">
              <w:t>alapiirkonnas</w:t>
            </w:r>
            <w:r w:rsidRPr="00F76923">
              <w:rPr>
                <w:b/>
                <w:i/>
              </w:rPr>
              <w:t xml:space="preserve"> (Põhjameri)</w:t>
            </w:r>
            <w:r w:rsidRPr="00F76923">
              <w:t xml:space="preserve"> ning </w:t>
            </w:r>
            <w:proofErr w:type="spellStart"/>
            <w:r w:rsidRPr="00F76923">
              <w:t>VIId</w:t>
            </w:r>
            <w:proofErr w:type="spellEnd"/>
            <w:r w:rsidRPr="00F76923">
              <w:t xml:space="preserve"> </w:t>
            </w:r>
            <w:r w:rsidRPr="00F76923">
              <w:rPr>
                <w:b/>
                <w:i/>
              </w:rPr>
              <w:t xml:space="preserve">(La Manche’i idaosa) </w:t>
            </w:r>
            <w:r w:rsidRPr="00F76923">
              <w:t xml:space="preserve">ja </w:t>
            </w:r>
            <w:proofErr w:type="spellStart"/>
            <w:r w:rsidRPr="00F76923">
              <w:t>IIIa</w:t>
            </w:r>
            <w:proofErr w:type="spellEnd"/>
            <w:r w:rsidRPr="00F76923">
              <w:t xml:space="preserve"> (läänepoolses) rajoonis (</w:t>
            </w:r>
            <w:r w:rsidRPr="00F76923">
              <w:rPr>
                <w:b/>
                <w:i/>
              </w:rPr>
              <w:t>Skagerrak)</w:t>
            </w:r>
            <w:r w:rsidRPr="00F76923">
              <w:t xml:space="preserve">, </w:t>
            </w:r>
            <w:r w:rsidR="00CB0D37" w:rsidRPr="00F76923">
              <w:rPr>
                <w:b/>
                <w:i/>
              </w:rPr>
              <w:t xml:space="preserve">edaspidi „I alapiirkonna ning </w:t>
            </w:r>
            <w:proofErr w:type="spellStart"/>
            <w:r w:rsidR="00CB0D37" w:rsidRPr="00F76923">
              <w:rPr>
                <w:b/>
                <w:i/>
              </w:rPr>
              <w:t>VIId</w:t>
            </w:r>
            <w:proofErr w:type="spellEnd"/>
            <w:r w:rsidR="00CB0D37" w:rsidRPr="00F76923">
              <w:rPr>
                <w:b/>
                <w:i/>
              </w:rPr>
              <w:t xml:space="preserve"> ja </w:t>
            </w:r>
            <w:proofErr w:type="spellStart"/>
            <w:r w:rsidR="00CB0D37" w:rsidRPr="00F76923">
              <w:rPr>
                <w:b/>
                <w:i/>
              </w:rPr>
              <w:t>IIIa</w:t>
            </w:r>
            <w:proofErr w:type="spellEnd"/>
            <w:r w:rsidR="00CB0D37" w:rsidRPr="00F76923">
              <w:rPr>
                <w:b/>
                <w:i/>
              </w:rPr>
              <w:t> </w:t>
            </w:r>
            <w:r w:rsidRPr="00F76923">
              <w:rPr>
                <w:b/>
                <w:i/>
              </w:rPr>
              <w:t>läänepoolse rajooni</w:t>
            </w:r>
            <w:r w:rsidRPr="00F76923">
              <w:t xml:space="preserve"> tursk“;</w:t>
            </w:r>
          </w:p>
        </w:tc>
      </w:tr>
      <w:tr w:rsidR="00F42706" w:rsidRPr="00F76923" w:rsidTr="00CB0D37">
        <w:trPr>
          <w:jc w:val="center"/>
        </w:trPr>
        <w:tc>
          <w:tcPr>
            <w:tcW w:w="4876" w:type="dxa"/>
          </w:tcPr>
          <w:p w:rsidR="00F42706" w:rsidRPr="00F76923" w:rsidRDefault="00F42706" w:rsidP="00CB0D37">
            <w:pPr>
              <w:pStyle w:val="Normal6"/>
            </w:pPr>
            <w:r w:rsidRPr="00F76923">
              <w:t>b)</w:t>
            </w:r>
            <w:r w:rsidRPr="00F76923">
              <w:tab/>
              <w:t>kilttursk (</w:t>
            </w:r>
            <w:proofErr w:type="spellStart"/>
            <w:r w:rsidRPr="00F76923">
              <w:rPr>
                <w:i/>
              </w:rPr>
              <w:t>Melanogrammus</w:t>
            </w:r>
            <w:proofErr w:type="spellEnd"/>
            <w:r w:rsidRPr="00F76923">
              <w:rPr>
                <w:i/>
              </w:rPr>
              <w:t xml:space="preserve"> </w:t>
            </w:r>
            <w:proofErr w:type="spellStart"/>
            <w:r w:rsidRPr="00F76923">
              <w:rPr>
                <w:i/>
              </w:rPr>
              <w:t>aeglefinus</w:t>
            </w:r>
            <w:proofErr w:type="spellEnd"/>
            <w:r w:rsidRPr="00F76923">
              <w:t xml:space="preserve">) IV alapiirkonnas ning </w:t>
            </w:r>
            <w:proofErr w:type="spellStart"/>
            <w:r w:rsidRPr="00F76923">
              <w:t>VIa</w:t>
            </w:r>
            <w:proofErr w:type="spellEnd"/>
            <w:r w:rsidRPr="00F76923">
              <w:t xml:space="preserve"> ja </w:t>
            </w:r>
            <w:proofErr w:type="spellStart"/>
            <w:r w:rsidRPr="00F76923">
              <w:t>IIIa</w:t>
            </w:r>
            <w:proofErr w:type="spellEnd"/>
            <w:r w:rsidRPr="00F76923">
              <w:t xml:space="preserve"> (läänepoolses) rajoonis (</w:t>
            </w:r>
            <w:r w:rsidRPr="00F76923">
              <w:rPr>
                <w:b/>
                <w:i/>
              </w:rPr>
              <w:t>Põhjameri</w:t>
            </w:r>
            <w:r w:rsidRPr="00F76923">
              <w:t xml:space="preserve">, </w:t>
            </w:r>
            <w:r w:rsidRPr="00F76923">
              <w:rPr>
                <w:b/>
                <w:i/>
              </w:rPr>
              <w:t>Šotimaa läänepoolsed veed, Skagerrak), edaspidi „kilttursk“</w:t>
            </w:r>
            <w:r w:rsidRPr="00F76923">
              <w:t xml:space="preserve">; </w:t>
            </w:r>
          </w:p>
        </w:tc>
        <w:tc>
          <w:tcPr>
            <w:tcW w:w="4876" w:type="dxa"/>
          </w:tcPr>
          <w:p w:rsidR="00F42706" w:rsidRPr="00F76923" w:rsidRDefault="00F42706" w:rsidP="00CB0D37">
            <w:pPr>
              <w:pStyle w:val="Normal6"/>
            </w:pPr>
            <w:r w:rsidRPr="00F76923">
              <w:t>b)</w:t>
            </w:r>
            <w:r w:rsidRPr="00F76923">
              <w:tab/>
              <w:t>kilttursk (</w:t>
            </w:r>
            <w:proofErr w:type="spellStart"/>
            <w:r w:rsidRPr="00F76923">
              <w:rPr>
                <w:i/>
              </w:rPr>
              <w:t>Melanogrammus</w:t>
            </w:r>
            <w:proofErr w:type="spellEnd"/>
            <w:r w:rsidRPr="00F76923">
              <w:rPr>
                <w:i/>
              </w:rPr>
              <w:t xml:space="preserve"> </w:t>
            </w:r>
            <w:proofErr w:type="spellStart"/>
            <w:r w:rsidRPr="00F76923">
              <w:rPr>
                <w:i/>
              </w:rPr>
              <w:t>aeglefinus</w:t>
            </w:r>
            <w:proofErr w:type="spellEnd"/>
            <w:r w:rsidR="00CB0D37" w:rsidRPr="00F76923">
              <w:t>) IV </w:t>
            </w:r>
            <w:r w:rsidRPr="00F76923">
              <w:t xml:space="preserve">alapiirkonnas </w:t>
            </w:r>
            <w:r w:rsidRPr="00F76923">
              <w:rPr>
                <w:b/>
                <w:i/>
              </w:rPr>
              <w:t xml:space="preserve">(Põhjameri) </w:t>
            </w:r>
            <w:r w:rsidRPr="00F76923">
              <w:t xml:space="preserve">ning </w:t>
            </w:r>
            <w:proofErr w:type="spellStart"/>
            <w:r w:rsidRPr="00F76923">
              <w:t>VIa</w:t>
            </w:r>
            <w:proofErr w:type="spellEnd"/>
            <w:r w:rsidRPr="00F76923">
              <w:t xml:space="preserve"> </w:t>
            </w:r>
            <w:r w:rsidRPr="00F76923">
              <w:rPr>
                <w:b/>
                <w:i/>
              </w:rPr>
              <w:t xml:space="preserve">(Šotimaa läänepoolsed veed) </w:t>
            </w:r>
            <w:r w:rsidRPr="00F76923">
              <w:t xml:space="preserve">ja </w:t>
            </w:r>
            <w:proofErr w:type="spellStart"/>
            <w:r w:rsidRPr="00F76923">
              <w:t>IIIa</w:t>
            </w:r>
            <w:proofErr w:type="spellEnd"/>
            <w:r w:rsidRPr="00F76923">
              <w:t xml:space="preserve"> (läänepoolses) rajoonis (</w:t>
            </w:r>
            <w:r w:rsidRPr="00F76923">
              <w:rPr>
                <w:b/>
                <w:i/>
              </w:rPr>
              <w:t>Skagerrak)</w:t>
            </w:r>
            <w:r w:rsidRPr="00F76923">
              <w:t xml:space="preserve">, </w:t>
            </w:r>
            <w:r w:rsidR="00CB0D37" w:rsidRPr="00F76923">
              <w:rPr>
                <w:b/>
                <w:i/>
              </w:rPr>
              <w:t xml:space="preserve">edaspidi „I  alapiirkonna ning </w:t>
            </w:r>
            <w:proofErr w:type="spellStart"/>
            <w:r w:rsidR="00CB0D37" w:rsidRPr="00F76923">
              <w:rPr>
                <w:b/>
                <w:i/>
              </w:rPr>
              <w:t>VIa</w:t>
            </w:r>
            <w:proofErr w:type="spellEnd"/>
            <w:r w:rsidR="00CB0D37" w:rsidRPr="00F76923">
              <w:rPr>
                <w:b/>
                <w:i/>
              </w:rPr>
              <w:t xml:space="preserve"> ja </w:t>
            </w:r>
            <w:proofErr w:type="spellStart"/>
            <w:r w:rsidR="00CB0D37" w:rsidRPr="00F76923">
              <w:rPr>
                <w:b/>
                <w:i/>
              </w:rPr>
              <w:t>IIIa</w:t>
            </w:r>
            <w:proofErr w:type="spellEnd"/>
            <w:r w:rsidR="00CB0D37" w:rsidRPr="00F76923">
              <w:rPr>
                <w:b/>
                <w:i/>
              </w:rPr>
              <w:t> </w:t>
            </w:r>
            <w:r w:rsidRPr="00F76923">
              <w:rPr>
                <w:b/>
                <w:i/>
              </w:rPr>
              <w:t>läänepoolse rajooni kilttursk“</w:t>
            </w:r>
            <w:r w:rsidRPr="00F76923">
              <w:t>;</w:t>
            </w:r>
          </w:p>
        </w:tc>
      </w:tr>
      <w:tr w:rsidR="00F42706" w:rsidRPr="00F76923" w:rsidTr="00CB0D37">
        <w:trPr>
          <w:jc w:val="center"/>
        </w:trPr>
        <w:tc>
          <w:tcPr>
            <w:tcW w:w="4876" w:type="dxa"/>
          </w:tcPr>
          <w:p w:rsidR="00F42706" w:rsidRPr="00F76923" w:rsidRDefault="00F42706" w:rsidP="00CB0D37">
            <w:pPr>
              <w:pStyle w:val="Normal6"/>
            </w:pPr>
            <w:r w:rsidRPr="00F76923">
              <w:t>c)</w:t>
            </w:r>
            <w:r w:rsidRPr="00F76923">
              <w:tab/>
              <w:t>merilest (</w:t>
            </w:r>
            <w:proofErr w:type="spellStart"/>
            <w:r w:rsidRPr="00F76923">
              <w:rPr>
                <w:i/>
              </w:rPr>
              <w:t>Pleuronectes</w:t>
            </w:r>
            <w:proofErr w:type="spellEnd"/>
            <w:r w:rsidRPr="00F76923">
              <w:rPr>
                <w:i/>
              </w:rPr>
              <w:t xml:space="preserve"> </w:t>
            </w:r>
            <w:proofErr w:type="spellStart"/>
            <w:r w:rsidRPr="00F76923">
              <w:rPr>
                <w:i/>
              </w:rPr>
              <w:t>platessa</w:t>
            </w:r>
            <w:proofErr w:type="spellEnd"/>
            <w:r w:rsidRPr="00F76923">
              <w:t xml:space="preserve">) IV alapiirkonnas (Põhjameri) ja </w:t>
            </w:r>
            <w:proofErr w:type="spellStart"/>
            <w:r w:rsidRPr="00F76923">
              <w:t>IIIa</w:t>
            </w:r>
            <w:proofErr w:type="spellEnd"/>
            <w:r w:rsidRPr="00F76923">
              <w:t xml:space="preserve"> rajoonis (Skagerrak), edaspidi </w:t>
            </w:r>
            <w:r w:rsidRPr="00F76923">
              <w:rPr>
                <w:b/>
                <w:i/>
              </w:rPr>
              <w:t>„Põhjamere</w:t>
            </w:r>
            <w:r w:rsidRPr="00F76923">
              <w:t xml:space="preserve"> merilest“; </w:t>
            </w:r>
          </w:p>
        </w:tc>
        <w:tc>
          <w:tcPr>
            <w:tcW w:w="4876" w:type="dxa"/>
          </w:tcPr>
          <w:p w:rsidR="00F42706" w:rsidRPr="00F76923" w:rsidRDefault="00F42706" w:rsidP="00CB0D37">
            <w:pPr>
              <w:pStyle w:val="Normal6"/>
            </w:pPr>
            <w:r w:rsidRPr="00F76923">
              <w:t>c)</w:t>
            </w:r>
            <w:r w:rsidRPr="00F76923">
              <w:tab/>
              <w:t>merilest (</w:t>
            </w:r>
            <w:proofErr w:type="spellStart"/>
            <w:r w:rsidRPr="00F76923">
              <w:rPr>
                <w:i/>
              </w:rPr>
              <w:t>Pleuronectes</w:t>
            </w:r>
            <w:proofErr w:type="spellEnd"/>
            <w:r w:rsidRPr="00F76923">
              <w:rPr>
                <w:i/>
              </w:rPr>
              <w:t xml:space="preserve"> </w:t>
            </w:r>
            <w:proofErr w:type="spellStart"/>
            <w:r w:rsidRPr="00F76923">
              <w:rPr>
                <w:i/>
              </w:rPr>
              <w:t>platessa</w:t>
            </w:r>
            <w:proofErr w:type="spellEnd"/>
            <w:r w:rsidR="00CB0D37" w:rsidRPr="00F76923">
              <w:t>) IV </w:t>
            </w:r>
            <w:r w:rsidRPr="00F76923">
              <w:t xml:space="preserve">alapiirkonnas (Põhjameri) ja </w:t>
            </w:r>
            <w:proofErr w:type="spellStart"/>
            <w:r w:rsidR="00CB0D37" w:rsidRPr="00F76923">
              <w:t>IIIa</w:t>
            </w:r>
            <w:proofErr w:type="spellEnd"/>
            <w:r w:rsidR="00CB0D37" w:rsidRPr="00F76923">
              <w:t> </w:t>
            </w:r>
            <w:r w:rsidRPr="00F76923">
              <w:t xml:space="preserve">rajoonis (Skagerrak), edaspidi </w:t>
            </w:r>
            <w:r w:rsidR="00CB0D37" w:rsidRPr="00F76923">
              <w:rPr>
                <w:b/>
                <w:i/>
              </w:rPr>
              <w:t>„IV </w:t>
            </w:r>
            <w:r w:rsidRPr="00F76923">
              <w:rPr>
                <w:b/>
                <w:i/>
              </w:rPr>
              <w:t xml:space="preserve">alapiirkonna ja </w:t>
            </w:r>
            <w:proofErr w:type="spellStart"/>
            <w:r w:rsidRPr="00F76923">
              <w:rPr>
                <w:b/>
                <w:i/>
              </w:rPr>
              <w:t>IIIa</w:t>
            </w:r>
            <w:proofErr w:type="spellEnd"/>
            <w:r w:rsidRPr="00F76923">
              <w:rPr>
                <w:b/>
                <w:i/>
              </w:rPr>
              <w:t xml:space="preserve"> rajooni</w:t>
            </w:r>
            <w:r w:rsidRPr="00F76923">
              <w:t xml:space="preserve"> merilest“;</w:t>
            </w:r>
          </w:p>
        </w:tc>
      </w:tr>
      <w:tr w:rsidR="00F42706" w:rsidRPr="00F76923" w:rsidTr="00CB0D37">
        <w:trPr>
          <w:jc w:val="center"/>
        </w:trPr>
        <w:tc>
          <w:tcPr>
            <w:tcW w:w="4876" w:type="dxa"/>
          </w:tcPr>
          <w:p w:rsidR="00F42706" w:rsidRPr="00F76923" w:rsidRDefault="00F42706" w:rsidP="00CB0D37">
            <w:pPr>
              <w:pStyle w:val="Normal6"/>
            </w:pPr>
            <w:r w:rsidRPr="00F76923">
              <w:t>d)</w:t>
            </w:r>
            <w:r w:rsidRPr="00F76923">
              <w:tab/>
              <w:t>põhjaatlandi süsikas (</w:t>
            </w:r>
            <w:proofErr w:type="spellStart"/>
            <w:r w:rsidRPr="00F76923">
              <w:rPr>
                <w:i/>
              </w:rPr>
              <w:t>Pollachius</w:t>
            </w:r>
            <w:proofErr w:type="spellEnd"/>
            <w:r w:rsidRPr="00F76923">
              <w:rPr>
                <w:i/>
              </w:rPr>
              <w:t xml:space="preserve"> </w:t>
            </w:r>
            <w:proofErr w:type="spellStart"/>
            <w:r w:rsidRPr="00F76923">
              <w:rPr>
                <w:i/>
              </w:rPr>
              <w:t>virens</w:t>
            </w:r>
            <w:proofErr w:type="spellEnd"/>
            <w:r w:rsidRPr="00F76923">
              <w:t xml:space="preserve">) IV ja VI alapiirkonnas </w:t>
            </w:r>
            <w:r w:rsidRPr="00F76923">
              <w:rPr>
                <w:b/>
                <w:i/>
              </w:rPr>
              <w:t xml:space="preserve">ning </w:t>
            </w:r>
            <w:proofErr w:type="spellStart"/>
            <w:r w:rsidRPr="00F76923">
              <w:rPr>
                <w:b/>
                <w:i/>
              </w:rPr>
              <w:t>IIIa</w:t>
            </w:r>
            <w:proofErr w:type="spellEnd"/>
            <w:r w:rsidRPr="00F76923">
              <w:rPr>
                <w:b/>
                <w:i/>
              </w:rPr>
              <w:t xml:space="preserve"> rajoonis (Põhjameri,</w:t>
            </w:r>
            <w:r w:rsidRPr="00F76923">
              <w:t xml:space="preserve"> </w:t>
            </w:r>
            <w:proofErr w:type="spellStart"/>
            <w:r w:rsidRPr="00F76923">
              <w:t>Rockall</w:t>
            </w:r>
            <w:proofErr w:type="spellEnd"/>
            <w:r w:rsidRPr="00F76923">
              <w:rPr>
                <w:b/>
                <w:i/>
              </w:rPr>
              <w:t xml:space="preserve"> ja Šotimaa läänepoolsed veed, </w:t>
            </w:r>
            <w:r w:rsidRPr="00F76923">
              <w:t xml:space="preserve">Skagerrak ja Kattegat), edaspidi </w:t>
            </w:r>
            <w:r w:rsidRPr="00F76923">
              <w:rPr>
                <w:b/>
                <w:i/>
              </w:rPr>
              <w:t>„põhjaatlandi</w:t>
            </w:r>
            <w:r w:rsidRPr="00F76923">
              <w:t xml:space="preserve"> süsikas“; </w:t>
            </w:r>
          </w:p>
        </w:tc>
        <w:tc>
          <w:tcPr>
            <w:tcW w:w="4876" w:type="dxa"/>
          </w:tcPr>
          <w:p w:rsidR="00F42706" w:rsidRPr="00F76923" w:rsidRDefault="00F42706" w:rsidP="00CB0D37">
            <w:pPr>
              <w:pStyle w:val="Normal6"/>
            </w:pPr>
            <w:r w:rsidRPr="00F76923">
              <w:t>d)</w:t>
            </w:r>
            <w:r w:rsidRPr="00F76923">
              <w:tab/>
              <w:t>põhjaatlandi süsikas (</w:t>
            </w:r>
            <w:proofErr w:type="spellStart"/>
            <w:r w:rsidRPr="00F76923">
              <w:rPr>
                <w:i/>
              </w:rPr>
              <w:t>Pollachius</w:t>
            </w:r>
            <w:proofErr w:type="spellEnd"/>
            <w:r w:rsidRPr="00F76923">
              <w:rPr>
                <w:i/>
              </w:rPr>
              <w:t xml:space="preserve"> </w:t>
            </w:r>
            <w:proofErr w:type="spellStart"/>
            <w:r w:rsidRPr="00F76923">
              <w:rPr>
                <w:i/>
              </w:rPr>
              <w:t>virens</w:t>
            </w:r>
            <w:proofErr w:type="spellEnd"/>
            <w:r w:rsidR="00CB0D37" w:rsidRPr="00F76923">
              <w:t>) IV </w:t>
            </w:r>
            <w:r w:rsidRPr="00F76923">
              <w:rPr>
                <w:b/>
                <w:i/>
              </w:rPr>
              <w:t xml:space="preserve">alapiirkonnas (Põhjameri) </w:t>
            </w:r>
            <w:r w:rsidR="00CB0D37" w:rsidRPr="00F76923">
              <w:t>ja VI </w:t>
            </w:r>
            <w:r w:rsidRPr="00F76923">
              <w:t xml:space="preserve">alapiirkonnas </w:t>
            </w:r>
            <w:r w:rsidRPr="00F76923">
              <w:rPr>
                <w:b/>
                <w:i/>
              </w:rPr>
              <w:t>(Šotimaa läänepoolsed veed ja</w:t>
            </w:r>
            <w:r w:rsidRPr="00F76923">
              <w:t xml:space="preserve"> </w:t>
            </w:r>
            <w:proofErr w:type="spellStart"/>
            <w:r w:rsidRPr="00F76923">
              <w:t>Rockall</w:t>
            </w:r>
            <w:proofErr w:type="spellEnd"/>
            <w:r w:rsidR="00CB0D37" w:rsidRPr="00F76923">
              <w:rPr>
                <w:b/>
                <w:i/>
              </w:rPr>
              <w:t xml:space="preserve">) ning </w:t>
            </w:r>
            <w:proofErr w:type="spellStart"/>
            <w:r w:rsidR="00CB0D37" w:rsidRPr="00F76923">
              <w:rPr>
                <w:b/>
                <w:i/>
              </w:rPr>
              <w:t>IIIa</w:t>
            </w:r>
            <w:proofErr w:type="spellEnd"/>
            <w:r w:rsidR="00CB0D37" w:rsidRPr="00F76923">
              <w:rPr>
                <w:b/>
                <w:i/>
              </w:rPr>
              <w:t> </w:t>
            </w:r>
            <w:r w:rsidRPr="00F76923">
              <w:rPr>
                <w:b/>
                <w:i/>
              </w:rPr>
              <w:t>rajoonis (</w:t>
            </w:r>
            <w:r w:rsidRPr="00F76923">
              <w:t xml:space="preserve">Skagerrak ja Kattegat), edaspidi </w:t>
            </w:r>
            <w:r w:rsidR="00CB0D37" w:rsidRPr="00F76923">
              <w:rPr>
                <w:b/>
                <w:i/>
              </w:rPr>
              <w:t xml:space="preserve">„ IV ja VI alapiirkonna ning </w:t>
            </w:r>
            <w:proofErr w:type="spellStart"/>
            <w:r w:rsidR="00CB0D37" w:rsidRPr="00F76923">
              <w:rPr>
                <w:b/>
                <w:i/>
              </w:rPr>
              <w:t>IIIa</w:t>
            </w:r>
            <w:proofErr w:type="spellEnd"/>
            <w:r w:rsidR="00CB0D37" w:rsidRPr="00F76923">
              <w:rPr>
                <w:b/>
                <w:i/>
              </w:rPr>
              <w:t> </w:t>
            </w:r>
            <w:r w:rsidRPr="00F76923">
              <w:rPr>
                <w:b/>
                <w:i/>
              </w:rPr>
              <w:t>rajooni põhjaatlandi</w:t>
            </w:r>
            <w:r w:rsidRPr="00F76923">
              <w:t xml:space="preserve"> süsikas“;</w:t>
            </w:r>
          </w:p>
        </w:tc>
      </w:tr>
      <w:tr w:rsidR="00F42706" w:rsidRPr="00F76923" w:rsidTr="00CB0D37">
        <w:trPr>
          <w:jc w:val="center"/>
        </w:trPr>
        <w:tc>
          <w:tcPr>
            <w:tcW w:w="4876" w:type="dxa"/>
          </w:tcPr>
          <w:p w:rsidR="00F42706" w:rsidRPr="00F76923" w:rsidRDefault="00F42706" w:rsidP="00CB0D37">
            <w:pPr>
              <w:pStyle w:val="Normal6"/>
            </w:pPr>
            <w:r w:rsidRPr="00F76923">
              <w:t>e)</w:t>
            </w:r>
            <w:r w:rsidRPr="00F76923">
              <w:tab/>
              <w:t>harilik merikeel (</w:t>
            </w:r>
            <w:proofErr w:type="spellStart"/>
            <w:r w:rsidRPr="00F76923">
              <w:rPr>
                <w:i/>
              </w:rPr>
              <w:t>Solea</w:t>
            </w:r>
            <w:proofErr w:type="spellEnd"/>
            <w:r w:rsidRPr="00F76923">
              <w:rPr>
                <w:i/>
              </w:rPr>
              <w:t xml:space="preserve"> </w:t>
            </w:r>
            <w:proofErr w:type="spellStart"/>
            <w:r w:rsidRPr="00F76923">
              <w:rPr>
                <w:i/>
              </w:rPr>
              <w:t>solea</w:t>
            </w:r>
            <w:proofErr w:type="spellEnd"/>
            <w:r w:rsidRPr="00F76923">
              <w:t xml:space="preserve">) IV alapiirkonnas (Põhjameri), edaspidi </w:t>
            </w:r>
            <w:r w:rsidRPr="00F76923">
              <w:rPr>
                <w:b/>
                <w:i/>
              </w:rPr>
              <w:t>„Põhjamere</w:t>
            </w:r>
            <w:r w:rsidRPr="00F76923">
              <w:t xml:space="preserve"> harilik merikeel“; </w:t>
            </w:r>
          </w:p>
        </w:tc>
        <w:tc>
          <w:tcPr>
            <w:tcW w:w="4876" w:type="dxa"/>
          </w:tcPr>
          <w:p w:rsidR="00F42706" w:rsidRPr="00F76923" w:rsidRDefault="00F42706" w:rsidP="00CB0D37">
            <w:pPr>
              <w:pStyle w:val="Normal6"/>
            </w:pPr>
            <w:r w:rsidRPr="00F76923">
              <w:t>e)</w:t>
            </w:r>
            <w:r w:rsidRPr="00F76923">
              <w:tab/>
              <w:t>harilik merikeel (</w:t>
            </w:r>
            <w:proofErr w:type="spellStart"/>
            <w:r w:rsidRPr="00F76923">
              <w:rPr>
                <w:i/>
              </w:rPr>
              <w:t>Solea</w:t>
            </w:r>
            <w:proofErr w:type="spellEnd"/>
            <w:r w:rsidRPr="00F76923">
              <w:rPr>
                <w:i/>
              </w:rPr>
              <w:t xml:space="preserve"> </w:t>
            </w:r>
            <w:proofErr w:type="spellStart"/>
            <w:r w:rsidRPr="00F76923">
              <w:rPr>
                <w:i/>
              </w:rPr>
              <w:t>solea</w:t>
            </w:r>
            <w:proofErr w:type="spellEnd"/>
            <w:r w:rsidR="00CB0D37" w:rsidRPr="00F76923">
              <w:t>) IV </w:t>
            </w:r>
            <w:r w:rsidRPr="00F76923">
              <w:t xml:space="preserve">alapiirkonnas (Põhjameri), edaspidi </w:t>
            </w:r>
            <w:r w:rsidR="00CB0D37" w:rsidRPr="00F76923">
              <w:rPr>
                <w:b/>
                <w:i/>
              </w:rPr>
              <w:t>„IV </w:t>
            </w:r>
            <w:r w:rsidRPr="00F76923">
              <w:rPr>
                <w:b/>
                <w:i/>
              </w:rPr>
              <w:t>alapiirkonna</w:t>
            </w:r>
            <w:r w:rsidRPr="00F76923">
              <w:t xml:space="preserve"> harilik merikeel“;</w:t>
            </w:r>
          </w:p>
        </w:tc>
      </w:tr>
      <w:tr w:rsidR="00F42706" w:rsidRPr="00F76923" w:rsidTr="00CB0D37">
        <w:trPr>
          <w:jc w:val="center"/>
        </w:trPr>
        <w:tc>
          <w:tcPr>
            <w:tcW w:w="4876" w:type="dxa"/>
          </w:tcPr>
          <w:p w:rsidR="00F42706" w:rsidRPr="00F76923" w:rsidRDefault="00F42706" w:rsidP="00CB0D37">
            <w:pPr>
              <w:pStyle w:val="Normal6"/>
            </w:pPr>
            <w:r w:rsidRPr="00F76923">
              <w:t>f)</w:t>
            </w:r>
            <w:r w:rsidRPr="00F76923">
              <w:tab/>
              <w:t>harilik merikeel (</w:t>
            </w:r>
            <w:proofErr w:type="spellStart"/>
            <w:r w:rsidRPr="00F76923">
              <w:rPr>
                <w:i/>
              </w:rPr>
              <w:t>Solea</w:t>
            </w:r>
            <w:proofErr w:type="spellEnd"/>
            <w:r w:rsidRPr="00F76923">
              <w:rPr>
                <w:i/>
              </w:rPr>
              <w:t xml:space="preserve"> </w:t>
            </w:r>
            <w:proofErr w:type="spellStart"/>
            <w:r w:rsidRPr="00F76923">
              <w:rPr>
                <w:i/>
              </w:rPr>
              <w:t>solea</w:t>
            </w:r>
            <w:proofErr w:type="spellEnd"/>
            <w:r w:rsidRPr="00F76923">
              <w:t xml:space="preserve">) </w:t>
            </w:r>
            <w:proofErr w:type="spellStart"/>
            <w:r w:rsidRPr="00F76923">
              <w:t>IIIa</w:t>
            </w:r>
            <w:proofErr w:type="spellEnd"/>
            <w:r w:rsidRPr="00F76923">
              <w:t xml:space="preserve"> rajoonis ja alarajoonides 22–24 (</w:t>
            </w:r>
            <w:r w:rsidRPr="00F76923">
              <w:rPr>
                <w:b/>
                <w:i/>
              </w:rPr>
              <w:t xml:space="preserve">Skagerrak ja Kattegat, </w:t>
            </w:r>
            <w:r w:rsidRPr="00F76923">
              <w:t xml:space="preserve">Läänemere lääneosa), edaspidi </w:t>
            </w:r>
            <w:r w:rsidRPr="00F76923">
              <w:rPr>
                <w:b/>
                <w:i/>
              </w:rPr>
              <w:t>„Kattegati</w:t>
            </w:r>
            <w:r w:rsidRPr="00F76923">
              <w:t xml:space="preserve"> harilik merikeel“; </w:t>
            </w:r>
          </w:p>
        </w:tc>
        <w:tc>
          <w:tcPr>
            <w:tcW w:w="4876" w:type="dxa"/>
          </w:tcPr>
          <w:p w:rsidR="00F42706" w:rsidRPr="00F76923" w:rsidRDefault="00F42706" w:rsidP="00CB0D37">
            <w:pPr>
              <w:pStyle w:val="Normal6"/>
            </w:pPr>
            <w:r w:rsidRPr="00F76923">
              <w:t>f)</w:t>
            </w:r>
            <w:r w:rsidRPr="00F76923">
              <w:tab/>
              <w:t>harilik merikeel (</w:t>
            </w:r>
            <w:proofErr w:type="spellStart"/>
            <w:r w:rsidRPr="00F76923">
              <w:rPr>
                <w:i/>
              </w:rPr>
              <w:t>Solea</w:t>
            </w:r>
            <w:proofErr w:type="spellEnd"/>
            <w:r w:rsidRPr="00F76923">
              <w:rPr>
                <w:i/>
              </w:rPr>
              <w:t xml:space="preserve"> </w:t>
            </w:r>
            <w:proofErr w:type="spellStart"/>
            <w:r w:rsidRPr="00F76923">
              <w:rPr>
                <w:i/>
              </w:rPr>
              <w:t>solea</w:t>
            </w:r>
            <w:proofErr w:type="spellEnd"/>
            <w:r w:rsidR="00CB0D37" w:rsidRPr="00F76923">
              <w:t xml:space="preserve">) </w:t>
            </w:r>
            <w:proofErr w:type="spellStart"/>
            <w:r w:rsidR="00CB0D37" w:rsidRPr="00F76923">
              <w:t>IIIa</w:t>
            </w:r>
            <w:proofErr w:type="spellEnd"/>
            <w:r w:rsidR="00CB0D37" w:rsidRPr="00F76923">
              <w:t> </w:t>
            </w:r>
            <w:r w:rsidRPr="00F76923">
              <w:t xml:space="preserve">rajoonis </w:t>
            </w:r>
            <w:r w:rsidRPr="00F76923">
              <w:rPr>
                <w:b/>
                <w:i/>
              </w:rPr>
              <w:t xml:space="preserve">(Skagerrak ja Kattegat) </w:t>
            </w:r>
            <w:r w:rsidR="00CB0D37" w:rsidRPr="00F76923">
              <w:t>ja alarajoonides </w:t>
            </w:r>
            <w:r w:rsidRPr="00F76923">
              <w:t xml:space="preserve">22–24 (Läänemere lääneosa), edaspidi </w:t>
            </w:r>
            <w:r w:rsidR="00CB0D37" w:rsidRPr="00F76923">
              <w:rPr>
                <w:b/>
                <w:i/>
              </w:rPr>
              <w:t>„</w:t>
            </w:r>
            <w:proofErr w:type="spellStart"/>
            <w:r w:rsidR="00CB0D37" w:rsidRPr="00F76923">
              <w:rPr>
                <w:b/>
                <w:i/>
              </w:rPr>
              <w:t>IIIa</w:t>
            </w:r>
            <w:proofErr w:type="spellEnd"/>
            <w:r w:rsidR="00CB0D37" w:rsidRPr="00F76923">
              <w:rPr>
                <w:b/>
                <w:i/>
              </w:rPr>
              <w:t xml:space="preserve">  </w:t>
            </w:r>
            <w:proofErr w:type="spellStart"/>
            <w:r w:rsidR="00CB0D37" w:rsidRPr="00F76923">
              <w:rPr>
                <w:b/>
                <w:i/>
              </w:rPr>
              <w:t>ajooni</w:t>
            </w:r>
            <w:proofErr w:type="spellEnd"/>
            <w:r w:rsidR="00CB0D37" w:rsidRPr="00F76923">
              <w:rPr>
                <w:b/>
                <w:i/>
              </w:rPr>
              <w:t xml:space="preserve"> ja alarajoonide </w:t>
            </w:r>
            <w:r w:rsidRPr="00F76923">
              <w:rPr>
                <w:b/>
                <w:i/>
              </w:rPr>
              <w:t>22–24</w:t>
            </w:r>
            <w:r w:rsidRPr="00F76923">
              <w:t xml:space="preserve"> harilik merikeel“;</w:t>
            </w:r>
          </w:p>
        </w:tc>
      </w:tr>
      <w:tr w:rsidR="00F42706" w:rsidRPr="00F76923" w:rsidTr="00CB0D37">
        <w:trPr>
          <w:jc w:val="center"/>
        </w:trPr>
        <w:tc>
          <w:tcPr>
            <w:tcW w:w="4876" w:type="dxa"/>
          </w:tcPr>
          <w:p w:rsidR="00F42706" w:rsidRPr="00F76923" w:rsidRDefault="00F42706" w:rsidP="00CB0D37">
            <w:pPr>
              <w:pStyle w:val="Normal6"/>
            </w:pPr>
            <w:r w:rsidRPr="00F76923">
              <w:t>g)</w:t>
            </w:r>
            <w:r w:rsidRPr="00F76923">
              <w:tab/>
              <w:t>merlang (</w:t>
            </w:r>
            <w:proofErr w:type="spellStart"/>
            <w:r w:rsidRPr="00F76923">
              <w:rPr>
                <w:i/>
              </w:rPr>
              <w:t>Merlangius</w:t>
            </w:r>
            <w:proofErr w:type="spellEnd"/>
            <w:r w:rsidRPr="00F76923">
              <w:rPr>
                <w:i/>
              </w:rPr>
              <w:t xml:space="preserve"> </w:t>
            </w:r>
            <w:proofErr w:type="spellStart"/>
            <w:r w:rsidRPr="00F76923">
              <w:rPr>
                <w:i/>
              </w:rPr>
              <w:t>merlangus</w:t>
            </w:r>
            <w:proofErr w:type="spellEnd"/>
            <w:r w:rsidRPr="00F76923">
              <w:t xml:space="preserve">) IV alapiirkonnas ja </w:t>
            </w:r>
            <w:proofErr w:type="spellStart"/>
            <w:r w:rsidRPr="00F76923">
              <w:t>VIId</w:t>
            </w:r>
            <w:proofErr w:type="spellEnd"/>
            <w:r w:rsidRPr="00F76923">
              <w:t xml:space="preserve"> rajoonis (</w:t>
            </w:r>
            <w:r w:rsidRPr="00F76923">
              <w:rPr>
                <w:b/>
                <w:i/>
              </w:rPr>
              <w:t xml:space="preserve">Põhjameri ja </w:t>
            </w:r>
            <w:r w:rsidRPr="00F76923">
              <w:t xml:space="preserve">La Manche’i idaosa), edaspidi </w:t>
            </w:r>
            <w:r w:rsidRPr="00F76923">
              <w:rPr>
                <w:b/>
                <w:i/>
              </w:rPr>
              <w:t>„Põhjamere</w:t>
            </w:r>
            <w:r w:rsidRPr="00F76923">
              <w:t xml:space="preserve"> merlang“; </w:t>
            </w:r>
          </w:p>
        </w:tc>
        <w:tc>
          <w:tcPr>
            <w:tcW w:w="4876" w:type="dxa"/>
          </w:tcPr>
          <w:p w:rsidR="00F42706" w:rsidRPr="00F76923" w:rsidRDefault="00F42706" w:rsidP="00CB0D37">
            <w:pPr>
              <w:pStyle w:val="Normal6"/>
            </w:pPr>
            <w:r w:rsidRPr="00F76923">
              <w:t>g)</w:t>
            </w:r>
            <w:r w:rsidRPr="00F76923">
              <w:tab/>
              <w:t>merlang (</w:t>
            </w:r>
            <w:proofErr w:type="spellStart"/>
            <w:r w:rsidRPr="00F76923">
              <w:rPr>
                <w:i/>
              </w:rPr>
              <w:t>Merlangius</w:t>
            </w:r>
            <w:proofErr w:type="spellEnd"/>
            <w:r w:rsidRPr="00F76923">
              <w:rPr>
                <w:i/>
              </w:rPr>
              <w:t xml:space="preserve"> </w:t>
            </w:r>
            <w:proofErr w:type="spellStart"/>
            <w:r w:rsidRPr="00F76923">
              <w:rPr>
                <w:i/>
              </w:rPr>
              <w:t>merlangus</w:t>
            </w:r>
            <w:proofErr w:type="spellEnd"/>
            <w:r w:rsidR="00CB0D37" w:rsidRPr="00F76923">
              <w:t>) IV </w:t>
            </w:r>
            <w:r w:rsidRPr="00F76923">
              <w:t xml:space="preserve">alapiirkonnas </w:t>
            </w:r>
            <w:r w:rsidRPr="00F76923">
              <w:rPr>
                <w:b/>
                <w:i/>
              </w:rPr>
              <w:t xml:space="preserve">(Põhjameri) </w:t>
            </w:r>
            <w:r w:rsidR="00CB0D37" w:rsidRPr="00F76923">
              <w:t xml:space="preserve">ja </w:t>
            </w:r>
            <w:proofErr w:type="spellStart"/>
            <w:r w:rsidR="00CB0D37" w:rsidRPr="00F76923">
              <w:t>VIId</w:t>
            </w:r>
            <w:proofErr w:type="spellEnd"/>
            <w:r w:rsidR="00CB0D37" w:rsidRPr="00F76923">
              <w:t> </w:t>
            </w:r>
            <w:r w:rsidRPr="00F76923">
              <w:t xml:space="preserve">rajoonis (La Manche’i idaosa), edaspidi </w:t>
            </w:r>
            <w:r w:rsidR="00CB0D37" w:rsidRPr="00F76923">
              <w:rPr>
                <w:b/>
                <w:i/>
              </w:rPr>
              <w:t xml:space="preserve">„IV alapiirkonna ja </w:t>
            </w:r>
            <w:proofErr w:type="spellStart"/>
            <w:r w:rsidR="00CB0D37" w:rsidRPr="00F76923">
              <w:rPr>
                <w:b/>
                <w:i/>
              </w:rPr>
              <w:t>VIId</w:t>
            </w:r>
            <w:proofErr w:type="spellEnd"/>
            <w:r w:rsidR="00CB0D37" w:rsidRPr="00F76923">
              <w:rPr>
                <w:b/>
                <w:i/>
              </w:rPr>
              <w:t> </w:t>
            </w:r>
            <w:r w:rsidRPr="00F76923">
              <w:rPr>
                <w:b/>
                <w:i/>
              </w:rPr>
              <w:t>rajooni</w:t>
            </w:r>
            <w:r w:rsidRPr="00F76923">
              <w:t xml:space="preserve"> merlang“;</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B0D37" w:rsidP="00CB0D37">
            <w:pPr>
              <w:pStyle w:val="Normal6"/>
            </w:pPr>
            <w:proofErr w:type="spellStart"/>
            <w:r w:rsidRPr="00F76923">
              <w:rPr>
                <w:b/>
                <w:i/>
              </w:rPr>
              <w:t>g</w:t>
            </w:r>
            <w:r w:rsidR="00F42706" w:rsidRPr="00F76923">
              <w:rPr>
                <w:b/>
                <w:i/>
              </w:rPr>
              <w:t>a</w:t>
            </w:r>
            <w:proofErr w:type="spellEnd"/>
            <w:r w:rsidR="00F42706" w:rsidRPr="00F76923">
              <w:rPr>
                <w:b/>
                <w:i/>
              </w:rPr>
              <w:t>)</w:t>
            </w:r>
            <w:r w:rsidR="00F42706" w:rsidRPr="00F76923">
              <w:rPr>
                <w:b/>
                <w:i/>
              </w:rPr>
              <w:tab/>
              <w:t>euroopa merikurat</w:t>
            </w:r>
            <w:r w:rsidR="00D3521B" w:rsidRPr="00F76923">
              <w:rPr>
                <w:b/>
                <w:i/>
              </w:rPr>
              <w:t xml:space="preserve"> (</w:t>
            </w:r>
            <w:proofErr w:type="spellStart"/>
            <w:r w:rsidR="00D3521B" w:rsidRPr="00F76923">
              <w:rPr>
                <w:b/>
                <w:i/>
              </w:rPr>
              <w:t>Lophius</w:t>
            </w:r>
            <w:proofErr w:type="spellEnd"/>
            <w:r w:rsidR="00D3521B" w:rsidRPr="00F76923">
              <w:rPr>
                <w:b/>
                <w:i/>
              </w:rPr>
              <w:t xml:space="preserve"> </w:t>
            </w:r>
            <w:proofErr w:type="spellStart"/>
            <w:r w:rsidR="00D3521B" w:rsidRPr="00F76923">
              <w:rPr>
                <w:b/>
                <w:i/>
              </w:rPr>
              <w:t>piscatorius</w:t>
            </w:r>
            <w:proofErr w:type="spellEnd"/>
            <w:r w:rsidR="00D3521B" w:rsidRPr="00F76923">
              <w:rPr>
                <w:b/>
                <w:i/>
              </w:rPr>
              <w:t xml:space="preserve">) </w:t>
            </w:r>
            <w:proofErr w:type="spellStart"/>
            <w:r w:rsidR="00D3521B" w:rsidRPr="00F76923">
              <w:rPr>
                <w:b/>
                <w:i/>
              </w:rPr>
              <w:t>IIIa</w:t>
            </w:r>
            <w:proofErr w:type="spellEnd"/>
            <w:r w:rsidR="00D3521B" w:rsidRPr="00F76923">
              <w:rPr>
                <w:b/>
                <w:i/>
              </w:rPr>
              <w:t> </w:t>
            </w:r>
            <w:r w:rsidR="00F42706" w:rsidRPr="00F76923">
              <w:rPr>
                <w:b/>
                <w:i/>
              </w:rPr>
              <w:t>rajoo</w:t>
            </w:r>
            <w:r w:rsidR="00D3521B" w:rsidRPr="00F76923">
              <w:rPr>
                <w:b/>
                <w:i/>
              </w:rPr>
              <w:t>nis (Skagerrak ja Kattegat), IV alapiirkonnas (Põhjameri) ja VI </w:t>
            </w:r>
            <w:r w:rsidR="00F42706" w:rsidRPr="00F76923">
              <w:rPr>
                <w:b/>
                <w:i/>
              </w:rPr>
              <w:t xml:space="preserve">alapiirkonnas (Šotimaa läänepoolsed veed ja </w:t>
            </w:r>
            <w:proofErr w:type="spellStart"/>
            <w:r w:rsidR="00F42706" w:rsidRPr="00F76923">
              <w:rPr>
                <w:b/>
                <w:i/>
              </w:rPr>
              <w:t>Rockall</w:t>
            </w:r>
            <w:proofErr w:type="spellEnd"/>
            <w:r w:rsidR="00F42706" w:rsidRPr="00F76923">
              <w:rPr>
                <w:b/>
                <w:i/>
              </w:rPr>
              <w:t>);</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D3521B" w:rsidP="00CB0D37">
            <w:pPr>
              <w:pStyle w:val="Normal6"/>
            </w:pPr>
            <w:proofErr w:type="spellStart"/>
            <w:r w:rsidRPr="00F76923">
              <w:rPr>
                <w:b/>
                <w:i/>
              </w:rPr>
              <w:t>g</w:t>
            </w:r>
            <w:r w:rsidR="00F42706" w:rsidRPr="00F76923">
              <w:rPr>
                <w:b/>
                <w:i/>
              </w:rPr>
              <w:t>b</w:t>
            </w:r>
            <w:proofErr w:type="spellEnd"/>
            <w:r w:rsidR="00F42706" w:rsidRPr="00F76923">
              <w:rPr>
                <w:b/>
                <w:i/>
              </w:rPr>
              <w:t>)</w:t>
            </w:r>
            <w:r w:rsidR="00F42706" w:rsidRPr="00F76923">
              <w:rPr>
                <w:b/>
                <w:i/>
              </w:rPr>
              <w:tab/>
              <w:t xml:space="preserve">harilik süvameregarneel (Pandalus </w:t>
            </w:r>
            <w:proofErr w:type="spellStart"/>
            <w:r w:rsidR="00F42706" w:rsidRPr="00F76923">
              <w:rPr>
                <w:b/>
                <w:i/>
              </w:rPr>
              <w:t>borealis</w:t>
            </w:r>
            <w:proofErr w:type="spellEnd"/>
            <w:r w:rsidR="00F42706" w:rsidRPr="00F76923">
              <w:rPr>
                <w:b/>
                <w:i/>
              </w:rPr>
              <w:t xml:space="preserve">) </w:t>
            </w:r>
            <w:proofErr w:type="spellStart"/>
            <w:r w:rsidR="00F42706" w:rsidRPr="00F76923">
              <w:rPr>
                <w:b/>
                <w:i/>
              </w:rPr>
              <w:t>IV</w:t>
            </w:r>
            <w:r w:rsidRPr="00F76923">
              <w:rPr>
                <w:b/>
                <w:i/>
              </w:rPr>
              <w:t>a</w:t>
            </w:r>
            <w:proofErr w:type="spellEnd"/>
            <w:r w:rsidRPr="00F76923">
              <w:rPr>
                <w:b/>
                <w:i/>
              </w:rPr>
              <w:t xml:space="preserve"> rajooni idaosas ja </w:t>
            </w:r>
            <w:proofErr w:type="spellStart"/>
            <w:r w:rsidRPr="00F76923">
              <w:rPr>
                <w:b/>
                <w:i/>
              </w:rPr>
              <w:t>IIIa</w:t>
            </w:r>
            <w:proofErr w:type="spellEnd"/>
            <w:r w:rsidRPr="00F76923">
              <w:rPr>
                <w:b/>
                <w:i/>
              </w:rPr>
              <w:t> </w:t>
            </w:r>
            <w:r w:rsidR="00F42706" w:rsidRPr="00F76923">
              <w:rPr>
                <w:b/>
                <w:i/>
              </w:rPr>
              <w:t>rajoonis.</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Komisjonil õigus võtta kooskõ</w:t>
            </w:r>
            <w:r w:rsidR="00D3521B" w:rsidRPr="00F76923">
              <w:rPr>
                <w:b/>
                <w:i/>
              </w:rPr>
              <w:t xml:space="preserve">las </w:t>
            </w:r>
            <w:r w:rsidR="00D3521B" w:rsidRPr="00F76923">
              <w:rPr>
                <w:b/>
                <w:i/>
              </w:rPr>
              <w:lastRenderedPageBreak/>
              <w:t>käesoleva määruse artikliga 18 ja määruse (EL) nr 1380/2013 artikliga </w:t>
            </w:r>
            <w:r w:rsidRPr="00F76923">
              <w:rPr>
                <w:b/>
                <w:i/>
              </w:rPr>
              <w:t>18 vastu delegeeritud õigusakte, et muuta kooskõlas parimate kättesaadavate teaduslike nõuannetega käesoleva punkti esimese</w:t>
            </w:r>
            <w:r w:rsidR="00D3521B" w:rsidRPr="00F76923">
              <w:rPr>
                <w:b/>
                <w:i/>
              </w:rPr>
              <w:t>s lõigus ja käesoleva määruse I ja II lisas sätestatud 1. </w:t>
            </w:r>
            <w:r w:rsidRPr="00F76923">
              <w:rPr>
                <w:b/>
                <w:i/>
              </w:rPr>
              <w:t xml:space="preserve">rühma kalavarude loetelu. </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29</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2 – lõik 1 – punkt 3</w:t>
      </w:r>
      <w:r w:rsidR="00F76923" w:rsidRPr="00F76923">
        <w:t xml:space="preserve">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(3)</w:t>
            </w:r>
            <w:r w:rsidRPr="00F76923">
              <w:tab/>
              <w:t>„2. rühm“ – norra salehomaari (</w:t>
            </w:r>
            <w:proofErr w:type="spellStart"/>
            <w:r w:rsidRPr="00F76923">
              <w:rPr>
                <w:i/>
              </w:rPr>
              <w:t>Nephrops</w:t>
            </w:r>
            <w:proofErr w:type="spellEnd"/>
            <w:r w:rsidRPr="00F76923">
              <w:rPr>
                <w:i/>
              </w:rPr>
              <w:t xml:space="preserve"> </w:t>
            </w:r>
            <w:proofErr w:type="spellStart"/>
            <w:r w:rsidRPr="00F76923">
              <w:rPr>
                <w:i/>
              </w:rPr>
              <w:t>norvegicus</w:t>
            </w:r>
            <w:proofErr w:type="spellEnd"/>
            <w:r w:rsidRPr="00F76923">
              <w:t>) funktsionaalsed üksused (FÜ), mille sihttasemed (väljendatud F</w:t>
            </w:r>
            <w:r w:rsidRPr="00F76923">
              <w:rPr>
                <w:vertAlign w:val="subscript"/>
              </w:rPr>
              <w:t>MSY</w:t>
            </w:r>
            <w:r w:rsidRPr="00F76923">
              <w:t>-vahemikena) ja arvukusega seotud kaitsemeetmed on kehtestatud käesolevas kavas ning mis hõlmavad järgmist:</w:t>
            </w:r>
          </w:p>
        </w:tc>
        <w:tc>
          <w:tcPr>
            <w:tcW w:w="4876" w:type="dxa"/>
          </w:tcPr>
          <w:p w:rsidR="00F42706" w:rsidRPr="00F76923" w:rsidRDefault="00D3521B" w:rsidP="00CB0D37">
            <w:pPr>
              <w:pStyle w:val="Normal6"/>
            </w:pPr>
            <w:r w:rsidRPr="00F76923">
              <w:t>(3)</w:t>
            </w:r>
            <w:r w:rsidRPr="00F76923">
              <w:tab/>
              <w:t>„2. </w:t>
            </w:r>
            <w:r w:rsidR="00F42706" w:rsidRPr="00F76923">
              <w:t>rühm“ – norra salehomaari (</w:t>
            </w:r>
            <w:proofErr w:type="spellStart"/>
            <w:r w:rsidR="00F42706" w:rsidRPr="00F76923">
              <w:rPr>
                <w:i/>
              </w:rPr>
              <w:t>Nephrops</w:t>
            </w:r>
            <w:proofErr w:type="spellEnd"/>
            <w:r w:rsidR="00F42706" w:rsidRPr="00F76923">
              <w:rPr>
                <w:i/>
              </w:rPr>
              <w:t xml:space="preserve"> </w:t>
            </w:r>
            <w:proofErr w:type="spellStart"/>
            <w:r w:rsidR="00F42706" w:rsidRPr="00F76923">
              <w:rPr>
                <w:i/>
              </w:rPr>
              <w:t>norvegicus</w:t>
            </w:r>
            <w:proofErr w:type="spellEnd"/>
            <w:r w:rsidR="00F42706" w:rsidRPr="00F76923">
              <w:t xml:space="preserve">) funktsionaalsed üksused (FÜ), mille </w:t>
            </w:r>
            <w:r w:rsidRPr="00F76923">
              <w:rPr>
                <w:b/>
                <w:i/>
              </w:rPr>
              <w:t>I ja II </w:t>
            </w:r>
            <w:r w:rsidR="00F42706" w:rsidRPr="00F76923">
              <w:rPr>
                <w:b/>
                <w:i/>
              </w:rPr>
              <w:t xml:space="preserve">lisas sätestatud </w:t>
            </w:r>
            <w:r w:rsidR="00F42706" w:rsidRPr="00F76923">
              <w:t>sihttasemed (väljendatud F</w:t>
            </w:r>
            <w:r w:rsidR="00F42706" w:rsidRPr="00F76923">
              <w:rPr>
                <w:vertAlign w:val="subscript"/>
              </w:rPr>
              <w:t>MSY</w:t>
            </w:r>
            <w:r w:rsidR="00F42706" w:rsidRPr="00F76923">
              <w:t>-vahemikena) ja arvukusega seotud kaitsemeetmed on kehtestatud käesolevas kavas ning mis hõlmavad järgmist:</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32</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2 – lõik 1 – punkt 8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D3521B" w:rsidP="00CB0D37">
            <w:pPr>
              <w:pStyle w:val="Normal6"/>
            </w:pPr>
            <w:r w:rsidRPr="00F76923">
              <w:rPr>
                <w:b/>
                <w:i/>
              </w:rPr>
              <w:t>(8</w:t>
            </w:r>
            <w:r w:rsidR="00F42706" w:rsidRPr="00F76923">
              <w:rPr>
                <w:b/>
                <w:i/>
              </w:rPr>
              <w:t>a)</w:t>
            </w:r>
            <w:r w:rsidR="00F42706" w:rsidRPr="00F76923">
              <w:tab/>
            </w:r>
            <w:r w:rsidR="00F42706" w:rsidRPr="00F76923">
              <w:rPr>
                <w:b/>
                <w:i/>
              </w:rPr>
              <w:t>Asjaomaseid kalavarusid muudetakse üksnes parimate kättesaadavate teaduslike nõuannete põhjal.</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33</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2 – lõik 1 – punkt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10.</w:t>
            </w:r>
            <w:r w:rsidRPr="00F76923">
              <w:tab/>
              <w:t xml:space="preserve">„MSY </w:t>
            </w:r>
            <w:proofErr w:type="spellStart"/>
            <w:r w:rsidRPr="00F76923">
              <w:t>B</w:t>
            </w:r>
            <w:r w:rsidRPr="00F76923">
              <w:rPr>
                <w:vertAlign w:val="subscript"/>
              </w:rPr>
              <w:t>trigger</w:t>
            </w:r>
            <w:proofErr w:type="spellEnd"/>
            <w:r w:rsidRPr="00F76923">
              <w:t xml:space="preserve">“ – kudekarja </w:t>
            </w:r>
            <w:proofErr w:type="spellStart"/>
            <w:r w:rsidRPr="00F76923">
              <w:t>biomassi</w:t>
            </w:r>
            <w:proofErr w:type="spellEnd"/>
            <w:r w:rsidRPr="00F76923">
              <w:t xml:space="preserve"> piirväärtuse miinimumtase, millest madalama näitaja korral tuleks käivitada sobivad konkreetsed </w:t>
            </w:r>
            <w:r w:rsidRPr="00F76923">
              <w:lastRenderedPageBreak/>
              <w:t>majandamismeetmed selle tagamiseks, et püügimäärad koos looduslike tingimuste muutumisega võimaldaksid varudel pikas perspektiivis taastuda maksimaalse jätkusuutliku saagikuse saamiseks vajalikust kõrgema tasemeni.</w:t>
            </w:r>
          </w:p>
        </w:tc>
        <w:tc>
          <w:tcPr>
            <w:tcW w:w="4876" w:type="dxa"/>
            <w:hideMark/>
          </w:tcPr>
          <w:p w:rsidR="00F42706" w:rsidRPr="00F76923" w:rsidRDefault="00F42706" w:rsidP="00CB0D37">
            <w:pPr>
              <w:pStyle w:val="Normal6"/>
            </w:pPr>
            <w:r w:rsidRPr="00F76923">
              <w:rPr>
                <w:i/>
              </w:rPr>
              <w:lastRenderedPageBreak/>
              <w:t>(Ei puuduta eestikeelset versiooni.)</w:t>
            </w:r>
            <w:r w:rsidRPr="00F76923">
              <w:t xml:space="preserve"> </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34</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2 – lõik 1 – punkt 10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D3521B" w:rsidP="00CB0D37">
            <w:pPr>
              <w:pStyle w:val="Normal6"/>
            </w:pPr>
            <w:r w:rsidRPr="00F76923">
              <w:rPr>
                <w:b/>
                <w:i/>
              </w:rPr>
              <w:t>(10</w:t>
            </w:r>
            <w:r w:rsidR="00F42706" w:rsidRPr="00F76923">
              <w:rPr>
                <w:b/>
                <w:i/>
              </w:rPr>
              <w:t>a)</w:t>
            </w:r>
            <w:r w:rsidR="00F42706" w:rsidRPr="00F76923">
              <w:tab/>
            </w:r>
            <w:r w:rsidR="00F42706" w:rsidRPr="00F76923">
              <w:rPr>
                <w:b/>
                <w:i/>
              </w:rPr>
              <w:t>„harrastuskalapüük“ – mittetöönduslik püügitegevus, mille puhul mere bioloogilisi elusressursse kasutatakse meelelahutuslikul, turismi või sportlikul eesmärgil.</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35</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3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w:t>
            </w:r>
            <w:r w:rsidRPr="00F76923">
              <w:tab/>
              <w:t>Kava aitab saavutada ühise kalanduspoliitika eesmärke, mis on loetletud määruse (EL) nr 1380/2013 artiklis 2, eelkõige kohaldades kalavarude majandamisel ettevaatusprintsiipi, ning selle eesmärk on tagada, et mere bioloogiliste elusressursside kasutamisel taastatakse püütavate liikide populatsioonid maksimaalse jätkusuutliku saagikuse tagamiseks vajalikust kõrgemale tasemele ja need säilitatakse sellisel tasemel.</w:t>
            </w:r>
          </w:p>
        </w:tc>
        <w:tc>
          <w:tcPr>
            <w:tcW w:w="4876" w:type="dxa"/>
            <w:hideMark/>
          </w:tcPr>
          <w:p w:rsidR="00F42706" w:rsidRPr="00F76923" w:rsidRDefault="00F42706" w:rsidP="00CB0D37">
            <w:pPr>
              <w:pStyle w:val="Normal6"/>
            </w:pPr>
            <w:r w:rsidRPr="00F76923">
              <w:t>1.</w:t>
            </w:r>
            <w:r w:rsidRPr="00F76923">
              <w:tab/>
              <w:t>Kava aitab saavutada ühise kalanduspoliitika eesmärke, m</w:t>
            </w:r>
            <w:r w:rsidR="00D3521B" w:rsidRPr="00F76923">
              <w:t>is on loetletud määruse (EL) nr 1380/2013 artiklis </w:t>
            </w:r>
            <w:r w:rsidRPr="00F76923">
              <w:t xml:space="preserve">2, eelkõige kohaldades kalavarude majandamisel ettevaatusprintsiipi, </w:t>
            </w:r>
            <w:r w:rsidRPr="00F76923">
              <w:rPr>
                <w:b/>
                <w:i/>
              </w:rPr>
              <w:t>nagu</w:t>
            </w:r>
            <w:r w:rsidR="00D3521B" w:rsidRPr="00F76923">
              <w:rPr>
                <w:b/>
                <w:i/>
              </w:rPr>
              <w:t xml:space="preserve"> on määratletud määruse (EL) nr </w:t>
            </w:r>
            <w:r w:rsidRPr="00F76923">
              <w:rPr>
                <w:b/>
                <w:i/>
              </w:rPr>
              <w:t>1380/2</w:t>
            </w:r>
            <w:r w:rsidR="00D3521B" w:rsidRPr="00F76923">
              <w:rPr>
                <w:b/>
                <w:i/>
              </w:rPr>
              <w:t>013 artikli 4 lõike 1 punktis </w:t>
            </w:r>
            <w:r w:rsidRPr="00F76923">
              <w:rPr>
                <w:b/>
                <w:i/>
              </w:rPr>
              <w:t xml:space="preserve">8, samuti toetab see kalapüügist sõltuvate inimeste rahuldava elatustaseme saavutamist, pidades silmas </w:t>
            </w:r>
            <w:proofErr w:type="spellStart"/>
            <w:r w:rsidRPr="00F76923">
              <w:rPr>
                <w:b/>
                <w:i/>
              </w:rPr>
              <w:t>sotsiaal-majanduslikke</w:t>
            </w:r>
            <w:proofErr w:type="spellEnd"/>
            <w:r w:rsidRPr="00F76923">
              <w:rPr>
                <w:b/>
                <w:i/>
              </w:rPr>
              <w:t xml:space="preserve"> aspekte, </w:t>
            </w:r>
            <w:r w:rsidRPr="00F76923">
              <w:t>ning selle eesmärk on tagada, et mere bioloogiliste elusressursside kasutamisel taastatakse püütavate liikide populatsioonid maksimaalse jätkusuutliku saagikuse tagamiseks vajalikust kõrgemale tasemele ja need säilitatakse sellisel tasemel.</w:t>
            </w:r>
            <w:r w:rsidRPr="00F76923">
              <w:rPr>
                <w:b/>
                <w:i/>
              </w:rPr>
              <w:t xml:space="preserve"> Maksimaalset jätkusuutlikku saagikust võimaldav püügitegevuse ulatus tuleb saavutada võimalikult kiiresti, aga igal juhul järk-järgult tõusvalt kõikide käesoleva määruse kohaldamisalasse </w:t>
            </w:r>
            <w:r w:rsidRPr="00F76923">
              <w:rPr>
                <w:b/>
                <w:i/>
              </w:rPr>
              <w:lastRenderedPageBreak/>
              <w:t>kuuluva</w:t>
            </w:r>
            <w:r w:rsidR="00D3521B" w:rsidRPr="00F76923">
              <w:rPr>
                <w:b/>
                <w:i/>
              </w:rPr>
              <w:t>te varude puhul hiljemalt 2020. </w:t>
            </w:r>
            <w:r w:rsidRPr="00F76923">
              <w:rPr>
                <w:b/>
                <w:i/>
              </w:rPr>
              <w:t>aastaks, misjärel tuleb see säilitada. Kalavarude puhul, mille kohta puuduvad teaduslikud nõuanded ja andmed, tuleb täita määruse (EL) n</w:t>
            </w:r>
            <w:r w:rsidR="00D3521B" w:rsidRPr="00F76923">
              <w:rPr>
                <w:b/>
                <w:i/>
              </w:rPr>
              <w:t>r 1380/2013 artikli 9 lõikes </w:t>
            </w:r>
            <w:r w:rsidRPr="00F76923">
              <w:rPr>
                <w:b/>
                <w:i/>
              </w:rPr>
              <w:t>2 sätestatud eesmärgid. Nimetatud eesmärkidega tagatakse asjaomaste varude kaitse vähemalt maksimaalse jätkusuutliku saagikuse eesmärgiga samaväärsel tasemel.</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37</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3 – lõige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3.</w:t>
            </w:r>
            <w:r w:rsidRPr="00F76923">
              <w:tab/>
              <w:t>Kavaga rakendatakse kalavarude majandamise suhtes ökosüsteemipõhist lähenemisviisi, et püügitegevuse negatiivne mõju mere ökosüsteemile oleks võimalikult väike. Kava on kooskõlas liidu keskkonnaalaste õigusaktidega, eelkõige direktiivi 2008/56/EÜ artikli 1 lõikes 1 seatud eesmärgiga saavutada aastaks 2020 hea keskkonnaseisund.</w:t>
            </w:r>
          </w:p>
        </w:tc>
        <w:tc>
          <w:tcPr>
            <w:tcW w:w="4876" w:type="dxa"/>
          </w:tcPr>
          <w:p w:rsidR="00F42706" w:rsidRPr="00F76923" w:rsidRDefault="00F42706" w:rsidP="00CB0D37">
            <w:pPr>
              <w:pStyle w:val="Normal6"/>
            </w:pPr>
            <w:r w:rsidRPr="00F76923">
              <w:t>3.</w:t>
            </w:r>
            <w:r w:rsidRPr="00F76923">
              <w:tab/>
              <w:t>Kavaga rakendatakse kalavarude majandamise suhtes ökosüsteemipõhist lähenemisviisi, et püügitegevuse negatiivne mõju mere ökosüsteemile</w:t>
            </w:r>
            <w:r w:rsidRPr="00F76923">
              <w:rPr>
                <w:b/>
                <w:i/>
              </w:rPr>
              <w:t>, eelkõige ohustatud elupaikadele ja kaitstud liikidele, sealhulgas mereimetajatele ja merelindudele</w:t>
            </w:r>
            <w:r w:rsidRPr="00F76923">
              <w:t xml:space="preserve"> oleks võimalikult väike. Kava </w:t>
            </w:r>
            <w:r w:rsidRPr="00F76923">
              <w:rPr>
                <w:b/>
                <w:i/>
              </w:rPr>
              <w:t xml:space="preserve">täiendab ja </w:t>
            </w:r>
            <w:r w:rsidRPr="00F76923">
              <w:t xml:space="preserve">on kooskõlas </w:t>
            </w:r>
            <w:r w:rsidR="00D3521B" w:rsidRPr="00F76923">
              <w:rPr>
                <w:b/>
                <w:i/>
              </w:rPr>
              <w:t>määruse (EL) nr 1380/2013 artikli 4 lõike 1 punkti </w:t>
            </w:r>
            <w:r w:rsidRPr="00F76923">
              <w:rPr>
                <w:b/>
                <w:i/>
              </w:rPr>
              <w:t xml:space="preserve">9 kohase ökosüsteemipõhise lähenemisviisiga kalavarude majandamisele, </w:t>
            </w:r>
            <w:r w:rsidRPr="00F76923">
              <w:t>liidu keskkonnaalaste õig</w:t>
            </w:r>
            <w:r w:rsidR="00D3521B" w:rsidRPr="00F76923">
              <w:t>usaktidega, eelkõige direktiivi 2008/56/EÜ artikli 1 lõikes </w:t>
            </w:r>
            <w:r w:rsidRPr="00F76923">
              <w:t>1 seat</w:t>
            </w:r>
            <w:r w:rsidR="00D3521B" w:rsidRPr="00F76923">
              <w:t>ud eesmärgiga saavutada aastaks </w:t>
            </w:r>
            <w:r w:rsidRPr="00F76923">
              <w:t>2020 hea keskkonnaseisund</w:t>
            </w:r>
            <w:r w:rsidR="00D3521B" w:rsidRPr="00F76923">
              <w:rPr>
                <w:b/>
                <w:i/>
              </w:rPr>
              <w:t>, ning direktiivides 2009/147/EÜ ja </w:t>
            </w:r>
            <w:r w:rsidRPr="00F76923">
              <w:rPr>
                <w:b/>
                <w:i/>
              </w:rPr>
              <w:t xml:space="preserve">92/43/EMÜ sätestatud eesmärkide ja eeskirjadega. Lisaks nähakse kavas ette meetmed, mille eesmärk on leevendada kahjulikku </w:t>
            </w:r>
            <w:proofErr w:type="spellStart"/>
            <w:r w:rsidRPr="00F76923">
              <w:rPr>
                <w:b/>
                <w:i/>
              </w:rPr>
              <w:t>sotsiaal-majanduslikku</w:t>
            </w:r>
            <w:proofErr w:type="spellEnd"/>
            <w:r w:rsidRPr="00F76923">
              <w:rPr>
                <w:b/>
                <w:i/>
              </w:rPr>
              <w:t xml:space="preserve"> mõju ja võimaldada turuosalistel pikas perspektiivis suurendada majanduslikku nähtavust.</w:t>
            </w: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38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3 – lõige 3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D3521B" w:rsidP="00CB0D37">
            <w:pPr>
              <w:pStyle w:val="Normal6"/>
            </w:pPr>
            <w:r w:rsidRPr="00F76923">
              <w:rPr>
                <w:b/>
                <w:i/>
              </w:rPr>
              <w:t>3</w:t>
            </w:r>
            <w:r w:rsidR="00F42706" w:rsidRPr="00F76923">
              <w:rPr>
                <w:b/>
                <w:i/>
              </w:rPr>
              <w:t>a.</w:t>
            </w:r>
            <w:r w:rsidR="00F42706" w:rsidRPr="00F76923">
              <w:tab/>
            </w:r>
            <w:r w:rsidR="00F42706" w:rsidRPr="00F76923">
              <w:rPr>
                <w:b/>
                <w:i/>
              </w:rPr>
              <w:t>Kava a</w:t>
            </w:r>
            <w:r w:rsidRPr="00F76923">
              <w:rPr>
                <w:b/>
                <w:i/>
              </w:rPr>
              <w:t>itab tagada, et määruse (EL) nr 1380/2013 artikli 33 lõike </w:t>
            </w:r>
            <w:r w:rsidR="00F42706" w:rsidRPr="00F76923">
              <w:rPr>
                <w:b/>
                <w:i/>
              </w:rPr>
              <w:t xml:space="preserve">1 kohaselt kolmandate riikidega ühiselt majandatavaid kalavarusid majandatakse kooskõlas määruse (EL) </w:t>
            </w:r>
            <w:r w:rsidRPr="00F76923">
              <w:rPr>
                <w:b/>
                <w:i/>
              </w:rPr>
              <w:t>nr 1380/2013 artikli 2 lõikes </w:t>
            </w:r>
            <w:r w:rsidR="00F42706" w:rsidRPr="00F76923">
              <w:rPr>
                <w:b/>
                <w:i/>
              </w:rPr>
              <w:t>2 sätestatud eesmärkidega ning et kalapüügivõimalused terviku</w:t>
            </w:r>
            <w:r w:rsidRPr="00F76923">
              <w:rPr>
                <w:b/>
                <w:i/>
              </w:rPr>
              <w:t>na ei ületa käesoleva määruse I </w:t>
            </w:r>
            <w:r w:rsidR="00F42706" w:rsidRPr="00F76923">
              <w:rPr>
                <w:b/>
                <w:i/>
              </w:rPr>
              <w:t>lisas sätestatud väärtuste vahemikke.</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39</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3 – lõige 3 b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D3521B" w:rsidP="00CB0D37">
            <w:pPr>
              <w:pStyle w:val="Normal6"/>
            </w:pPr>
            <w:r w:rsidRPr="00F76923">
              <w:rPr>
                <w:b/>
                <w:i/>
              </w:rPr>
              <w:t>3</w:t>
            </w:r>
            <w:r w:rsidR="00F42706" w:rsidRPr="00F76923">
              <w:rPr>
                <w:b/>
                <w:i/>
              </w:rPr>
              <w:t>b.</w:t>
            </w:r>
            <w:r w:rsidR="00F42706" w:rsidRPr="00F76923">
              <w:tab/>
            </w:r>
            <w:r w:rsidR="00F42706" w:rsidRPr="00F76923">
              <w:rPr>
                <w:b/>
                <w:i/>
              </w:rPr>
              <w:t>Kavas võetakse arvesse liidu kahepoolseid suhteid kolmandate riikidega. Tulevastes kahepoolsetes kokkulepetes kolmandate riikidega võetakse kava arvesse.</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40</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3 – lõige 4 – punkt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b)</w:t>
            </w:r>
            <w:r w:rsidRPr="00F76923">
              <w:tab/>
            </w:r>
            <w:r w:rsidRPr="00F76923">
              <w:rPr>
                <w:b/>
                <w:i/>
              </w:rPr>
              <w:t>aidata kaasa</w:t>
            </w:r>
            <w:r w:rsidRPr="00F76923">
              <w:t xml:space="preserve"> direktiivi 2008/56/EÜ I lisas esitatud </w:t>
            </w:r>
            <w:r w:rsidRPr="00F76923">
              <w:rPr>
                <w:b/>
                <w:i/>
              </w:rPr>
              <w:t>teiste asjakohaste tunnuste täitmisele</w:t>
            </w:r>
            <w:r w:rsidRPr="00F76923">
              <w:t xml:space="preserve"> vastavalt kalanduse osatähtsusele nende saavutamisel.</w:t>
            </w:r>
          </w:p>
        </w:tc>
        <w:tc>
          <w:tcPr>
            <w:tcW w:w="4876" w:type="dxa"/>
            <w:hideMark/>
          </w:tcPr>
          <w:p w:rsidR="00F42706" w:rsidRPr="00F76923" w:rsidRDefault="00F42706" w:rsidP="00CB0D37">
            <w:pPr>
              <w:pStyle w:val="Normal6"/>
            </w:pPr>
            <w:r w:rsidRPr="00F76923">
              <w:t>b)</w:t>
            </w:r>
            <w:r w:rsidRPr="00F76923">
              <w:tab/>
            </w:r>
            <w:r w:rsidRPr="00F76923">
              <w:rPr>
                <w:b/>
                <w:i/>
              </w:rPr>
              <w:t>täita</w:t>
            </w:r>
            <w:r w:rsidR="00D3521B" w:rsidRPr="00F76923">
              <w:t xml:space="preserve"> direktiivi 2008/56/EÜ I </w:t>
            </w:r>
            <w:r w:rsidRPr="00F76923">
              <w:t xml:space="preserve">lisas esitatud </w:t>
            </w:r>
            <w:r w:rsidRPr="00F76923">
              <w:rPr>
                <w:b/>
                <w:i/>
              </w:rPr>
              <w:t>teised asjakohased tunnused</w:t>
            </w:r>
            <w:r w:rsidRPr="00F76923">
              <w:t xml:space="preserve"> vastavalt kalanduse osatähtsusele nende saavutamisel.</w:t>
            </w: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41</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3 – lõige 4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D3521B" w:rsidP="00CB0D37">
            <w:pPr>
              <w:pStyle w:val="Normal6"/>
            </w:pPr>
            <w:r w:rsidRPr="00F76923">
              <w:rPr>
                <w:b/>
                <w:i/>
              </w:rPr>
              <w:t>4</w:t>
            </w:r>
            <w:r w:rsidR="00F42706" w:rsidRPr="00F76923">
              <w:rPr>
                <w:b/>
                <w:i/>
              </w:rPr>
              <w:t>a.</w:t>
            </w:r>
            <w:r w:rsidR="00F42706" w:rsidRPr="00F76923">
              <w:tab/>
            </w:r>
            <w:r w:rsidR="00F42706" w:rsidRPr="00F76923">
              <w:rPr>
                <w:b/>
                <w:i/>
              </w:rPr>
              <w:t>Kõik kava raames ette nähtud meetmed tuleb võtta</w:t>
            </w:r>
            <w:r w:rsidRPr="00F76923">
              <w:rPr>
                <w:b/>
                <w:i/>
              </w:rPr>
              <w:t xml:space="preserve"> käesoleva määruse artikli 2 punkti 1</w:t>
            </w:r>
            <w:r w:rsidR="00F42706" w:rsidRPr="00F76923">
              <w:rPr>
                <w:b/>
                <w:i/>
              </w:rPr>
              <w:t>a kohaste parimate kättesaadavate teaduslike nõuannete põhjal. ICES või STECF vaatavad parimad kättesaadavad teaduslikud nõuanded läbi ajaks, mil komisjon teeb ettepaneku võtta meetm</w:t>
            </w:r>
            <w:r w:rsidRPr="00F76923">
              <w:rPr>
                <w:b/>
                <w:i/>
              </w:rPr>
              <w:t>eid käesoleva määruse artiklite </w:t>
            </w:r>
            <w:r w:rsidR="00F42706" w:rsidRPr="00F76923">
              <w:rPr>
                <w:b/>
                <w:i/>
              </w:rPr>
              <w:t>4, 5</w:t>
            </w:r>
            <w:r w:rsidRPr="00F76923">
              <w:rPr>
                <w:b/>
                <w:i/>
              </w:rPr>
              <w:t>, 6 või 18 või määruse (EL) nr 1380/2013 artikli </w:t>
            </w:r>
            <w:r w:rsidR="00F42706" w:rsidRPr="00F76923">
              <w:rPr>
                <w:b/>
                <w:i/>
              </w:rPr>
              <w:t>16 kohaselt.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42</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4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w:t>
            </w:r>
            <w:r w:rsidRPr="00F76923">
              <w:tab/>
              <w:t>1. ja 2. rühma kalavarude kalastussuremuse sihttase tuleb saavutada võimalikult kiiresti ning järk-järgult tõusvalt aastaks 2020, misjärel tuleb sihttaset hoida I lisas määratletud vahemikes.</w:t>
            </w:r>
          </w:p>
        </w:tc>
        <w:tc>
          <w:tcPr>
            <w:tcW w:w="4876" w:type="dxa"/>
            <w:hideMark/>
          </w:tcPr>
          <w:p w:rsidR="00F42706" w:rsidRPr="00F76923" w:rsidRDefault="00D3521B" w:rsidP="00CB0D37">
            <w:pPr>
              <w:pStyle w:val="Normal6"/>
            </w:pPr>
            <w:r w:rsidRPr="00F76923">
              <w:t>1.</w:t>
            </w:r>
            <w:r w:rsidRPr="00F76923">
              <w:tab/>
              <w:t>1. ja 2. </w:t>
            </w:r>
            <w:r w:rsidR="00F42706" w:rsidRPr="00F76923">
              <w:t>rühma kalavarude kalastussuremuse sihttase tuleb saavutada võimalikult kiiresti nin</w:t>
            </w:r>
            <w:r w:rsidRPr="00F76923">
              <w:t>g järk-järgult tõusvalt aastaks </w:t>
            </w:r>
            <w:r w:rsidR="00F42706" w:rsidRPr="00F76923">
              <w:t>2020, misjäre</w:t>
            </w:r>
            <w:r w:rsidRPr="00F76923">
              <w:t>l tuleb sihttaset hoida I </w:t>
            </w:r>
            <w:r w:rsidR="00F42706" w:rsidRPr="00F76923">
              <w:t>lisas määratletud vahemikes</w:t>
            </w:r>
            <w:r w:rsidR="00F42706" w:rsidRPr="00F76923">
              <w:rPr>
                <w:b/>
                <w:i/>
              </w:rPr>
              <w:t xml:space="preserve">, </w:t>
            </w:r>
            <w:r w:rsidRPr="00F76923">
              <w:rPr>
                <w:b/>
                <w:i/>
              </w:rPr>
              <w:t>kusjuures tuleb järgida artikli 3 lõikes </w:t>
            </w:r>
            <w:r w:rsidR="00F42706" w:rsidRPr="00F76923">
              <w:rPr>
                <w:b/>
                <w:i/>
              </w:rPr>
              <w:t>1 sätestatud eesmärke</w:t>
            </w:r>
            <w:r w:rsidR="00F42706"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43</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4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w:t>
            </w:r>
            <w:r w:rsidRPr="00F76923">
              <w:tab/>
              <w:t>Vastavalt määruse (EL) nr 1380/2013 artikli 16 lõikele 4 peavad kalapüügivõimalused vastama käesoleva määruse I lisa veerus A esitatud kalastussuremuse sihttasemete vahemikele.</w:t>
            </w:r>
          </w:p>
        </w:tc>
        <w:tc>
          <w:tcPr>
            <w:tcW w:w="4876" w:type="dxa"/>
            <w:hideMark/>
          </w:tcPr>
          <w:p w:rsidR="00F42706" w:rsidRPr="00F76923" w:rsidRDefault="00D3521B" w:rsidP="00CB0D37">
            <w:pPr>
              <w:pStyle w:val="Normal6"/>
            </w:pPr>
            <w:r w:rsidRPr="00F76923">
              <w:t>2.</w:t>
            </w:r>
            <w:r w:rsidRPr="00F76923">
              <w:tab/>
              <w:t>Vastavalt määruse (EL) nr 1380/2013 artikli 16 lõikele </w:t>
            </w:r>
            <w:r w:rsidR="00F42706" w:rsidRPr="00F76923">
              <w:t xml:space="preserve">4 </w:t>
            </w:r>
            <w:r w:rsidRPr="00F76923">
              <w:rPr>
                <w:b/>
                <w:i/>
              </w:rPr>
              <w:t>ja artiklile </w:t>
            </w:r>
            <w:r w:rsidR="00F42706" w:rsidRPr="00F76923">
              <w:rPr>
                <w:b/>
                <w:i/>
              </w:rPr>
              <w:t xml:space="preserve">17 tuleb kalapüügivõimalused kehtestada kooskõlas kavas seatud eesmärkide ja sihtidega ning parimate kättesaadavate teaduslike nõuannetega, ühtlasi </w:t>
            </w:r>
            <w:r w:rsidR="00F42706" w:rsidRPr="00F76923">
              <w:t>peavad kalapüügivõimalu</w:t>
            </w:r>
            <w:r w:rsidRPr="00F76923">
              <w:t xml:space="preserve">sed </w:t>
            </w:r>
            <w:r w:rsidRPr="00F76923">
              <w:lastRenderedPageBreak/>
              <w:t>vastama käesoleva määruse I lisa veerus </w:t>
            </w:r>
            <w:r w:rsidR="00F42706" w:rsidRPr="00F76923">
              <w:t>A esitatud kalastussuremuse sihttasemete vahemikele.</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44</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4 – lõige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3.</w:t>
            </w:r>
            <w:r w:rsidRPr="00F76923">
              <w:tab/>
              <w:t xml:space="preserve">Olenemata lõigetest 1 ja 2 võib kalapüügivõimalused kindlaks määrata tasemetel, mis vastavad I </w:t>
            </w:r>
            <w:r w:rsidRPr="00F76923">
              <w:rPr>
                <w:b/>
                <w:i/>
              </w:rPr>
              <w:t>lisa veerus A</w:t>
            </w:r>
            <w:r w:rsidRPr="00F76923">
              <w:t xml:space="preserve"> esitatust madalamatele kalastussuremuse tasemetele.</w:t>
            </w:r>
          </w:p>
        </w:tc>
        <w:tc>
          <w:tcPr>
            <w:tcW w:w="4876" w:type="dxa"/>
            <w:hideMark/>
          </w:tcPr>
          <w:p w:rsidR="00F42706" w:rsidRPr="00F76923" w:rsidRDefault="00D3521B" w:rsidP="00CB0D37">
            <w:pPr>
              <w:pStyle w:val="Normal6"/>
            </w:pPr>
            <w:r w:rsidRPr="00F76923">
              <w:t>3.</w:t>
            </w:r>
            <w:r w:rsidRPr="00F76923">
              <w:tab/>
              <w:t>Olenemata lõigetest 1 ja </w:t>
            </w:r>
            <w:r w:rsidR="00F42706" w:rsidRPr="00F76923">
              <w:t>2 võib kalapüügivõimalused kindlaks mä</w:t>
            </w:r>
            <w:r w:rsidRPr="00F76923">
              <w:t>ärata tasemetel, mis vastavad I </w:t>
            </w:r>
            <w:r w:rsidR="00F42706" w:rsidRPr="00F76923">
              <w:rPr>
                <w:b/>
                <w:i/>
              </w:rPr>
              <w:t>lisas</w:t>
            </w:r>
            <w:r w:rsidR="00F42706" w:rsidRPr="00F76923">
              <w:t xml:space="preserve"> esitatust madalamatele kalastussuremuse tasemetele.</w:t>
            </w:r>
          </w:p>
        </w:tc>
      </w:tr>
    </w:tbl>
    <w:p w:rsidR="00F42706" w:rsidRPr="00F76923" w:rsidRDefault="00F42706" w:rsidP="00F42706"/>
    <w:p w:rsidR="00F42706" w:rsidRPr="00F76923" w:rsidRDefault="00F42706" w:rsidP="00F42706">
      <w:pPr>
        <w:pStyle w:val="AMNumberTabs"/>
        <w:keepNext/>
      </w:pPr>
      <w:r w:rsidRPr="00F76923">
        <w:t>Muudatusettepanek</w:t>
      </w:r>
      <w:r w:rsidR="004F4B34" w:rsidRPr="00F76923">
        <w:t>ud 83 ja 99</w:t>
      </w:r>
    </w:p>
    <w:p w:rsidR="00F42706" w:rsidRPr="00F76923" w:rsidRDefault="00F42706" w:rsidP="00F42706">
      <w:pPr>
        <w:pStyle w:val="NormalBold12b"/>
        <w:keepNext/>
      </w:pPr>
      <w:r w:rsidRPr="00F76923">
        <w:t>Ettepanek võtta vastu määrus</w:t>
      </w:r>
    </w:p>
    <w:p w:rsidR="00F42706" w:rsidRPr="00F76923" w:rsidRDefault="00F42706" w:rsidP="00F76923">
      <w:pPr>
        <w:pStyle w:val="NormalBold"/>
      </w:pPr>
      <w:r w:rsidRPr="00F76923">
        <w:t>Artikkel 4 – lõige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4498" w:rsidRPr="00F76923" w:rsidTr="007717FA">
        <w:trPr>
          <w:jc w:val="center"/>
        </w:trPr>
        <w:tc>
          <w:tcPr>
            <w:tcW w:w="9752" w:type="dxa"/>
            <w:gridSpan w:val="2"/>
          </w:tcPr>
          <w:p w:rsidR="00614498" w:rsidRPr="00F76923" w:rsidRDefault="00614498" w:rsidP="007717FA">
            <w:pPr>
              <w:keepNext/>
            </w:pPr>
          </w:p>
        </w:tc>
      </w:tr>
      <w:tr w:rsidR="00614498" w:rsidRPr="00F76923" w:rsidTr="007717FA">
        <w:trPr>
          <w:jc w:val="center"/>
        </w:trPr>
        <w:tc>
          <w:tcPr>
            <w:tcW w:w="4876" w:type="dxa"/>
          </w:tcPr>
          <w:p w:rsidR="00614498" w:rsidRPr="00F76923" w:rsidRDefault="00614498" w:rsidP="007717FA">
            <w:pPr>
              <w:pStyle w:val="ColumnHeading"/>
              <w:keepNext/>
            </w:pPr>
            <w:r w:rsidRPr="00F76923">
              <w:t>Komisjoni ettepanek</w:t>
            </w:r>
          </w:p>
        </w:tc>
        <w:tc>
          <w:tcPr>
            <w:tcW w:w="4876" w:type="dxa"/>
          </w:tcPr>
          <w:p w:rsidR="00614498" w:rsidRPr="00F76923" w:rsidRDefault="00614498" w:rsidP="007717FA">
            <w:pPr>
              <w:pStyle w:val="ColumnHeading"/>
              <w:keepNext/>
            </w:pPr>
            <w:r w:rsidRPr="00F76923">
              <w:t>Muudatusettepanek</w:t>
            </w:r>
          </w:p>
        </w:tc>
      </w:tr>
      <w:tr w:rsidR="00614498" w:rsidRPr="00F76923" w:rsidTr="007717FA">
        <w:trPr>
          <w:jc w:val="center"/>
        </w:trPr>
        <w:tc>
          <w:tcPr>
            <w:tcW w:w="4876" w:type="dxa"/>
          </w:tcPr>
          <w:p w:rsidR="00614498" w:rsidRPr="00F76923" w:rsidRDefault="00614498" w:rsidP="007717FA">
            <w:pPr>
              <w:pStyle w:val="Normal6"/>
            </w:pPr>
            <w:r w:rsidRPr="00F76923">
              <w:rPr>
                <w:b/>
                <w:i/>
              </w:rPr>
              <w:t>4.</w:t>
            </w:r>
            <w:r w:rsidRPr="00F76923">
              <w:rPr>
                <w:b/>
                <w:i/>
              </w:rPr>
              <w:tab/>
              <w:t xml:space="preserve">Olenemata lõigetest 2 ja 3 võib kalavaru püügivõimalused kindlaks määrata vastavalt I lisa veerus B esitatud kalastussuremuse vahemikele, tingimusel et asjaomane varu ületab II lisa veerus A märgitud kudekarja </w:t>
            </w:r>
            <w:proofErr w:type="spellStart"/>
            <w:r w:rsidRPr="00F76923">
              <w:rPr>
                <w:b/>
                <w:i/>
              </w:rPr>
              <w:t>biomassi</w:t>
            </w:r>
            <w:proofErr w:type="spellEnd"/>
            <w:r w:rsidRPr="00F76923">
              <w:rPr>
                <w:b/>
                <w:i/>
              </w:rPr>
              <w:t xml:space="preserve"> piirväärtuse miinimumtaset:</w:t>
            </w:r>
          </w:p>
        </w:tc>
        <w:tc>
          <w:tcPr>
            <w:tcW w:w="4876" w:type="dxa"/>
          </w:tcPr>
          <w:p w:rsidR="00614498" w:rsidRPr="00F76923" w:rsidRDefault="00614498" w:rsidP="007717FA">
            <w:pPr>
              <w:pStyle w:val="Normal6"/>
              <w:rPr>
                <w:szCs w:val="24"/>
              </w:rPr>
            </w:pPr>
            <w:r w:rsidRPr="00F76923">
              <w:rPr>
                <w:b/>
                <w:i/>
              </w:rPr>
              <w:t>välja jäetud</w:t>
            </w:r>
          </w:p>
        </w:tc>
      </w:tr>
      <w:tr w:rsidR="00614498" w:rsidRPr="00F76923" w:rsidTr="007717FA">
        <w:trPr>
          <w:jc w:val="center"/>
        </w:trPr>
        <w:tc>
          <w:tcPr>
            <w:tcW w:w="4876" w:type="dxa"/>
          </w:tcPr>
          <w:p w:rsidR="00614498" w:rsidRPr="00F76923" w:rsidRDefault="00614498" w:rsidP="007717FA">
            <w:pPr>
              <w:pStyle w:val="Normal6"/>
            </w:pPr>
            <w:r w:rsidRPr="00F76923">
              <w:rPr>
                <w:b/>
                <w:i/>
              </w:rPr>
              <w:t>a)</w:t>
            </w:r>
            <w:r w:rsidRPr="00F76923">
              <w:rPr>
                <w:b/>
                <w:i/>
              </w:rPr>
              <w:tab/>
              <w:t xml:space="preserve">kui see on teaduslike nõuannete või tõendite põhjal vajalik artiklis 3 sätestatud eesmärkide saavutamiseks </w:t>
            </w:r>
            <w:proofErr w:type="spellStart"/>
            <w:r w:rsidRPr="00F76923">
              <w:rPr>
                <w:b/>
                <w:i/>
              </w:rPr>
              <w:t>segapüügi</w:t>
            </w:r>
            <w:proofErr w:type="spellEnd"/>
            <w:r w:rsidRPr="00F76923">
              <w:rPr>
                <w:b/>
                <w:i/>
              </w:rPr>
              <w:t xml:space="preserve"> puhul;</w:t>
            </w:r>
          </w:p>
        </w:tc>
        <w:tc>
          <w:tcPr>
            <w:tcW w:w="4876" w:type="dxa"/>
          </w:tcPr>
          <w:p w:rsidR="00614498" w:rsidRPr="00F76923" w:rsidRDefault="00614498" w:rsidP="007717FA">
            <w:pPr>
              <w:pStyle w:val="Normal6"/>
            </w:pPr>
          </w:p>
        </w:tc>
      </w:tr>
      <w:tr w:rsidR="00614498" w:rsidRPr="00F76923" w:rsidTr="007717FA">
        <w:trPr>
          <w:jc w:val="center"/>
        </w:trPr>
        <w:tc>
          <w:tcPr>
            <w:tcW w:w="4876" w:type="dxa"/>
          </w:tcPr>
          <w:p w:rsidR="00614498" w:rsidRPr="00F76923" w:rsidRDefault="00614498" w:rsidP="007717FA">
            <w:pPr>
              <w:pStyle w:val="Normal6"/>
            </w:pPr>
            <w:r w:rsidRPr="00F76923">
              <w:rPr>
                <w:b/>
                <w:i/>
              </w:rPr>
              <w:t>b)</w:t>
            </w:r>
            <w:r w:rsidRPr="00F76923">
              <w:rPr>
                <w:b/>
                <w:i/>
              </w:rPr>
              <w:tab/>
              <w:t xml:space="preserve">kui see on teaduslike nõuannete või tõendite põhjal vajalik varudele liigisisesest või </w:t>
            </w:r>
            <w:proofErr w:type="spellStart"/>
            <w:r w:rsidRPr="00F76923">
              <w:rPr>
                <w:b/>
                <w:i/>
              </w:rPr>
              <w:t>liikidevahelisest</w:t>
            </w:r>
            <w:proofErr w:type="spellEnd"/>
            <w:r w:rsidRPr="00F76923">
              <w:rPr>
                <w:b/>
                <w:i/>
              </w:rPr>
              <w:t xml:space="preserve"> dünaamikast tingitud tõsise kahju vältimiseks; või</w:t>
            </w:r>
          </w:p>
        </w:tc>
        <w:tc>
          <w:tcPr>
            <w:tcW w:w="4876" w:type="dxa"/>
          </w:tcPr>
          <w:p w:rsidR="00614498" w:rsidRPr="00F76923" w:rsidRDefault="00614498" w:rsidP="007717FA">
            <w:pPr>
              <w:pStyle w:val="Normal6"/>
            </w:pPr>
          </w:p>
        </w:tc>
      </w:tr>
      <w:tr w:rsidR="00614498" w:rsidRPr="00F76923" w:rsidTr="007717FA">
        <w:trPr>
          <w:jc w:val="center"/>
        </w:trPr>
        <w:tc>
          <w:tcPr>
            <w:tcW w:w="4876" w:type="dxa"/>
          </w:tcPr>
          <w:p w:rsidR="00614498" w:rsidRPr="00F76923" w:rsidRDefault="00614498" w:rsidP="007717FA">
            <w:pPr>
              <w:pStyle w:val="Normal6"/>
              <w:rPr>
                <w:b/>
                <w:i/>
              </w:rPr>
            </w:pPr>
            <w:r w:rsidRPr="00F76923">
              <w:rPr>
                <w:b/>
                <w:i/>
              </w:rPr>
              <w:t>c)</w:t>
            </w:r>
            <w:r w:rsidRPr="00F76923">
              <w:rPr>
                <w:b/>
                <w:i/>
              </w:rPr>
              <w:tab/>
              <w:t>selleks, et järjestikuste aastate kalapüügivõimaluste erinevused ei ületaks 20 %.</w:t>
            </w:r>
          </w:p>
        </w:tc>
        <w:tc>
          <w:tcPr>
            <w:tcW w:w="4876" w:type="dxa"/>
          </w:tcPr>
          <w:p w:rsidR="00614498" w:rsidRPr="00F76923" w:rsidRDefault="00614498" w:rsidP="007717FA">
            <w:pPr>
              <w:pStyle w:val="Normal6"/>
            </w:pP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48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4 – lõige 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D3521B" w:rsidP="00CB0D37">
            <w:pPr>
              <w:pStyle w:val="Normal6"/>
            </w:pPr>
            <w:r w:rsidRPr="00F76923">
              <w:rPr>
                <w:b/>
                <w:i/>
              </w:rPr>
              <w:t>4</w:t>
            </w:r>
            <w:r w:rsidR="00F42706" w:rsidRPr="00F76923">
              <w:rPr>
                <w:b/>
                <w:i/>
              </w:rPr>
              <w:t>a.</w:t>
            </w:r>
            <w:r w:rsidR="00F42706" w:rsidRPr="00F76923">
              <w:tab/>
            </w:r>
            <w:r w:rsidR="00F42706" w:rsidRPr="00F76923">
              <w:rPr>
                <w:b/>
                <w:i/>
              </w:rPr>
              <w:t xml:space="preserve">Kalapüügivõimaluste määramisel tuleb tagada, et tõenäosus, et kudekarja </w:t>
            </w:r>
            <w:proofErr w:type="spellStart"/>
            <w:r w:rsidR="00F42706" w:rsidRPr="00F76923">
              <w:rPr>
                <w:b/>
                <w:i/>
              </w:rPr>
              <w:t>bio</w:t>
            </w:r>
            <w:r w:rsidRPr="00F76923">
              <w:rPr>
                <w:b/>
                <w:i/>
              </w:rPr>
              <w:t>mass</w:t>
            </w:r>
            <w:proofErr w:type="spellEnd"/>
            <w:r w:rsidRPr="00F76923">
              <w:rPr>
                <w:b/>
                <w:i/>
              </w:rPr>
              <w:t xml:space="preserve"> langeb alla II lisa veerus </w:t>
            </w:r>
            <w:r w:rsidR="00F42706" w:rsidRPr="00F76923">
              <w:rPr>
                <w:b/>
                <w:i/>
              </w:rPr>
              <w:t xml:space="preserve">B esitatud kudekarja </w:t>
            </w:r>
            <w:proofErr w:type="spellStart"/>
            <w:r w:rsidR="00F42706" w:rsidRPr="00F76923">
              <w:rPr>
                <w:b/>
                <w:i/>
              </w:rPr>
              <w:t>biomassi</w:t>
            </w:r>
            <w:proofErr w:type="spellEnd"/>
            <w:r w:rsidR="00F42706" w:rsidRPr="00F76923">
              <w:rPr>
                <w:b/>
                <w:i/>
              </w:rPr>
              <w:t xml:space="preserve"> piirväärtuse (</w:t>
            </w:r>
            <w:proofErr w:type="spellStart"/>
            <w:r w:rsidR="00F42706" w:rsidRPr="00F76923">
              <w:rPr>
                <w:b/>
                <w:i/>
              </w:rPr>
              <w:t>B</w:t>
            </w:r>
            <w:r w:rsidR="00F42706" w:rsidRPr="00F76923">
              <w:rPr>
                <w:b/>
                <w:i/>
                <w:vertAlign w:val="subscript"/>
              </w:rPr>
              <w:t>lim</w:t>
            </w:r>
            <w:proofErr w:type="spellEnd"/>
            <w:r w:rsidR="00F42706" w:rsidRPr="00F76923">
              <w:rPr>
                <w:b/>
                <w:i/>
              </w:rPr>
              <w:t>), oleks alla 5 %.</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49</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4 – lõige 4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D3521B" w:rsidP="00CB0D37">
            <w:pPr>
              <w:pStyle w:val="Normal6"/>
            </w:pPr>
            <w:r w:rsidRPr="00F76923">
              <w:rPr>
                <w:b/>
                <w:i/>
              </w:rPr>
              <w:t>4</w:t>
            </w:r>
            <w:r w:rsidR="00F42706" w:rsidRPr="00F76923">
              <w:rPr>
                <w:b/>
                <w:i/>
              </w:rPr>
              <w:t>b.</w:t>
            </w:r>
            <w:r w:rsidR="00F42706" w:rsidRPr="00F76923">
              <w:tab/>
            </w:r>
            <w:r w:rsidR="00F42706" w:rsidRPr="00F76923">
              <w:rPr>
                <w:b/>
                <w:i/>
              </w:rPr>
              <w:t>Kui komisjon leiab parimate kättesaadavate teaduslike nõuannete põhjal, et I lisas sätestatud kalastussuremuse vahemikud ei kajasta enam õigesti kava eesmärke, võib komisjon kiireloomuliselt esitada ettepaneku nimetatud vahemike muutmiseks.</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50</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5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w:t>
            </w:r>
            <w:r w:rsidRPr="00F76923">
              <w:tab/>
              <w:t>3. ja 4. rühma kalavarude püügivõimalused peavad olema kooskõlas maksimaalse jätkusuutliku saagikusega seotud teaduslike nõuannetega.</w:t>
            </w:r>
          </w:p>
        </w:tc>
        <w:tc>
          <w:tcPr>
            <w:tcW w:w="4876" w:type="dxa"/>
            <w:hideMark/>
          </w:tcPr>
          <w:p w:rsidR="00F42706" w:rsidRPr="00F76923" w:rsidRDefault="00D3521B" w:rsidP="00CB0D37">
            <w:pPr>
              <w:pStyle w:val="Normal6"/>
            </w:pPr>
            <w:r w:rsidRPr="00F76923">
              <w:t>1.</w:t>
            </w:r>
            <w:r w:rsidRPr="00F76923">
              <w:tab/>
              <w:t>3. ja 4. </w:t>
            </w:r>
            <w:r w:rsidR="00F42706" w:rsidRPr="00F76923">
              <w:t xml:space="preserve">rühma kalavarude püügivõimalused peavad olema kooskõlas maksimaalse jätkusuutliku saagikusega seotud </w:t>
            </w:r>
            <w:r w:rsidR="00F42706" w:rsidRPr="00F76923">
              <w:rPr>
                <w:b/>
                <w:i/>
              </w:rPr>
              <w:t xml:space="preserve">parimate kättesaadavate </w:t>
            </w:r>
            <w:r w:rsidR="00F42706" w:rsidRPr="00F76923">
              <w:t>teaduslike nõuannetega.</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51</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5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w:t>
            </w:r>
            <w:r w:rsidRPr="00F76923">
              <w:tab/>
              <w:t xml:space="preserve">Maksimaalsele jätkusuutlikule saagikusele vastava kalastussuremusega seotud teaduslike nõuannete puudumisel </w:t>
            </w:r>
            <w:r w:rsidRPr="00F76923">
              <w:rPr>
                <w:b/>
                <w:i/>
              </w:rPr>
              <w:t>peavad kalapüügivõimalused olema kooskõlas teaduslike nõuannetega, mille eesmärk on tagada</w:t>
            </w:r>
            <w:r w:rsidRPr="00F76923">
              <w:t xml:space="preserve"> kalavarude </w:t>
            </w:r>
            <w:r w:rsidRPr="00F76923">
              <w:rPr>
                <w:b/>
                <w:i/>
              </w:rPr>
              <w:t>jätkusuutlikkus kooskõlas ettevaatusprintsiibiga</w:t>
            </w:r>
            <w:r w:rsidRPr="00F76923">
              <w:t>.</w:t>
            </w:r>
          </w:p>
        </w:tc>
        <w:tc>
          <w:tcPr>
            <w:tcW w:w="4876" w:type="dxa"/>
            <w:hideMark/>
          </w:tcPr>
          <w:p w:rsidR="00F42706" w:rsidRPr="00F76923" w:rsidRDefault="00F42706" w:rsidP="00CB0D37">
            <w:pPr>
              <w:pStyle w:val="Normal6"/>
            </w:pPr>
            <w:r w:rsidRPr="00F76923">
              <w:t>2.</w:t>
            </w:r>
            <w:r w:rsidRPr="00F76923">
              <w:tab/>
              <w:t xml:space="preserve">Maksimaalsele jätkusuutlikule saagikusele vastava kalastussuremusega seotud teaduslike nõuannete </w:t>
            </w:r>
            <w:r w:rsidRPr="00F76923">
              <w:rPr>
                <w:b/>
                <w:i/>
              </w:rPr>
              <w:t xml:space="preserve">ja andmete </w:t>
            </w:r>
            <w:r w:rsidRPr="00F76923">
              <w:t xml:space="preserve">puudumisel </w:t>
            </w:r>
            <w:r w:rsidRPr="00F76923">
              <w:rPr>
                <w:b/>
                <w:i/>
              </w:rPr>
              <w:t>tuleb kalapüügivõimaluste ja meetmete üle otsus</w:t>
            </w:r>
            <w:r w:rsidR="00D3521B" w:rsidRPr="00F76923">
              <w:rPr>
                <w:b/>
                <w:i/>
              </w:rPr>
              <w:t>tamisel lähtuda määruse (EL) nr 1380/2013 artikli 4 lõike 1 punkti </w:t>
            </w:r>
            <w:r w:rsidRPr="00F76923">
              <w:rPr>
                <w:b/>
                <w:i/>
              </w:rPr>
              <w:t>8 kohasest ettevaatusprintsiibil põhinevast lähenemisviisist</w:t>
            </w:r>
            <w:r w:rsidRPr="00F76923">
              <w:t xml:space="preserve"> kalavarude </w:t>
            </w:r>
            <w:r w:rsidRPr="00F76923">
              <w:rPr>
                <w:b/>
                <w:i/>
              </w:rPr>
              <w:t>majandamisele ning jä</w:t>
            </w:r>
            <w:r w:rsidR="00D3521B" w:rsidRPr="00F76923">
              <w:rPr>
                <w:b/>
                <w:i/>
              </w:rPr>
              <w:t>rgida käesoleva määruse artikli 3 lõikes </w:t>
            </w:r>
            <w:r w:rsidRPr="00F76923">
              <w:rPr>
                <w:b/>
                <w:i/>
              </w:rPr>
              <w:t>1 sätestatud eesmärke</w:t>
            </w:r>
            <w:r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52</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6 – lõik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 xml:space="preserve">5. rühma kalavarude majandamisel kohaldatakse </w:t>
            </w:r>
            <w:r w:rsidRPr="00F76923">
              <w:rPr>
                <w:b/>
                <w:i/>
              </w:rPr>
              <w:t>ettevaatusprintsiipi vastavalt teaduslikele nõuannetele</w:t>
            </w:r>
            <w:r w:rsidRPr="00F76923">
              <w:t>.</w:t>
            </w:r>
          </w:p>
        </w:tc>
        <w:tc>
          <w:tcPr>
            <w:tcW w:w="4876" w:type="dxa"/>
          </w:tcPr>
          <w:p w:rsidR="00F42706" w:rsidRPr="00C764BE" w:rsidRDefault="00C764BE" w:rsidP="00CB0D37">
            <w:pPr>
              <w:pStyle w:val="Normal6"/>
            </w:pPr>
            <w:r>
              <w:t xml:space="preserve">5. </w:t>
            </w:r>
            <w:bookmarkStart w:id="9" w:name="_GoBack"/>
            <w:bookmarkEnd w:id="9"/>
            <w:r w:rsidR="00F42706" w:rsidRPr="00C764BE">
              <w:t xml:space="preserve">rühma kalavarude majandamisel kohaldatakse </w:t>
            </w:r>
            <w:r w:rsidR="00D3521B" w:rsidRPr="00C764BE">
              <w:rPr>
                <w:b/>
                <w:i/>
              </w:rPr>
              <w:t>määruse (EL) nr </w:t>
            </w:r>
            <w:r w:rsidR="00F42706" w:rsidRPr="00C764BE">
              <w:rPr>
                <w:b/>
                <w:i/>
              </w:rPr>
              <w:t>1380</w:t>
            </w:r>
            <w:r w:rsidR="00D3521B" w:rsidRPr="00C764BE">
              <w:rPr>
                <w:b/>
                <w:i/>
              </w:rPr>
              <w:t>/2013 artikli 4 lõike 1 punkti </w:t>
            </w:r>
            <w:r w:rsidR="00F42706" w:rsidRPr="00C764BE">
              <w:rPr>
                <w:b/>
                <w:i/>
              </w:rPr>
              <w:t>8 kohast ettevaatusprintsiibil põhinevat lähenemisviisi kalavarude majandamisele ning järgitakse parimaid kättesaadavaid teaduslikke nõuande</w:t>
            </w:r>
            <w:r w:rsidR="00D3521B" w:rsidRPr="00C764BE">
              <w:rPr>
                <w:b/>
                <w:i/>
              </w:rPr>
              <w:t>id ja käesoleva määruse artikli 3 lõigetes 1 ja </w:t>
            </w:r>
            <w:r w:rsidR="00F42706" w:rsidRPr="00C764BE">
              <w:rPr>
                <w:b/>
                <w:i/>
              </w:rPr>
              <w:t>3 sätestatud eesmärke. Piisava teadusliku teabe puudumisega ei saa õigustada mere bioloogiliste ressursside kaitsemeetmete võtmise edasilükkamist või võtmata jätmist.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53</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8 – lõige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1.</w:t>
            </w:r>
            <w:r w:rsidRPr="00F76923">
              <w:tab/>
              <w:t xml:space="preserve">Kui </w:t>
            </w:r>
            <w:r w:rsidRPr="00F76923">
              <w:rPr>
                <w:b/>
                <w:i/>
              </w:rPr>
              <w:t>teaduslikust nõuandest</w:t>
            </w:r>
            <w:r w:rsidRPr="00F76923">
              <w:t xml:space="preserve"> nähtub, et teataval aastal on 1. rühma mis tahes kalavaru kudekarja </w:t>
            </w:r>
            <w:proofErr w:type="spellStart"/>
            <w:r w:rsidRPr="00F76923">
              <w:t>biomass</w:t>
            </w:r>
            <w:proofErr w:type="spellEnd"/>
            <w:r w:rsidRPr="00F76923">
              <w:t xml:space="preserve"> allpool kudekarja </w:t>
            </w:r>
            <w:proofErr w:type="spellStart"/>
            <w:r w:rsidRPr="00F76923">
              <w:t>biomassi</w:t>
            </w:r>
            <w:proofErr w:type="spellEnd"/>
            <w:r w:rsidRPr="00F76923">
              <w:t xml:space="preserve"> piirväärtuse </w:t>
            </w:r>
            <w:r w:rsidRPr="00F76923">
              <w:lastRenderedPageBreak/>
              <w:t xml:space="preserve">miinimumtaset (MSY </w:t>
            </w:r>
            <w:proofErr w:type="spellStart"/>
            <w:r w:rsidRPr="00F76923">
              <w:t>B</w:t>
            </w:r>
            <w:r w:rsidRPr="00F76923">
              <w:rPr>
                <w:vertAlign w:val="subscript"/>
              </w:rPr>
              <w:t>trigger</w:t>
            </w:r>
            <w:proofErr w:type="spellEnd"/>
            <w:r w:rsidRPr="00F76923">
              <w:t>) või 2. rühma mis tahes funktsionaalse üksuse arvukus allpool arvukuse piirväärtuse miinimumtaset (</w:t>
            </w:r>
            <w:proofErr w:type="spellStart"/>
            <w:r w:rsidRPr="00F76923">
              <w:t>Abundance</w:t>
            </w:r>
            <w:r w:rsidRPr="00F76923">
              <w:rPr>
                <w:vertAlign w:val="subscript"/>
              </w:rPr>
              <w:t>buffer</w:t>
            </w:r>
            <w:proofErr w:type="spellEnd"/>
            <w:r w:rsidRPr="00F76923">
              <w:t xml:space="preserve">) vastavalt käesoleva määruse II lisa veerule A, võetakse kõik asjakohased parandusmeetmed, et tagada asjaomase kalavaru kiire taastumine maksimaalset jätkusuutlikku saagikust tagavast tasemest kõrgemale tasemele. Eelkõige tuleb erandina käesoleva määruse artikli 4 lõikest 2 kehtestada asjaomase kalavaru püügivõimalused tasemel, mis vastab käesoleva määruse I lisa veerus A esitatud vahemikust madalamale kalastussuremuse tasemele, võttes arvesse kõnealuse varu </w:t>
            </w:r>
            <w:proofErr w:type="spellStart"/>
            <w:r w:rsidRPr="00F76923">
              <w:t>biomassi</w:t>
            </w:r>
            <w:proofErr w:type="spellEnd"/>
            <w:r w:rsidRPr="00F76923">
              <w:t xml:space="preserve"> või arvukuse vähenemist.</w:t>
            </w:r>
          </w:p>
        </w:tc>
        <w:tc>
          <w:tcPr>
            <w:tcW w:w="4876" w:type="dxa"/>
            <w:hideMark/>
          </w:tcPr>
          <w:p w:rsidR="00F42706" w:rsidRPr="00F76923" w:rsidRDefault="00F42706" w:rsidP="00CB0D37">
            <w:pPr>
              <w:pStyle w:val="Normal6"/>
            </w:pPr>
            <w:r w:rsidRPr="00F76923">
              <w:lastRenderedPageBreak/>
              <w:t>1.</w:t>
            </w:r>
            <w:r w:rsidRPr="00F76923">
              <w:tab/>
              <w:t xml:space="preserve">Kui </w:t>
            </w:r>
            <w:r w:rsidRPr="00F76923">
              <w:rPr>
                <w:b/>
                <w:i/>
              </w:rPr>
              <w:t>parimatest kättesaadavatest teaduslikest nõuannetest</w:t>
            </w:r>
            <w:r w:rsidRPr="00F76923">
              <w:t xml:space="preserve"> n</w:t>
            </w:r>
            <w:r w:rsidR="00D3521B" w:rsidRPr="00F76923">
              <w:t>ähtub, et teataval aastal on 1. </w:t>
            </w:r>
            <w:r w:rsidRPr="00F76923">
              <w:t xml:space="preserve">rühma mis tahes kalavaru kudekarja </w:t>
            </w:r>
            <w:proofErr w:type="spellStart"/>
            <w:r w:rsidRPr="00F76923">
              <w:t>biomass</w:t>
            </w:r>
            <w:proofErr w:type="spellEnd"/>
            <w:r w:rsidRPr="00F76923">
              <w:t xml:space="preserve"> allpool </w:t>
            </w:r>
            <w:r w:rsidRPr="00F76923">
              <w:lastRenderedPageBreak/>
              <w:t xml:space="preserve">kudekarja </w:t>
            </w:r>
            <w:proofErr w:type="spellStart"/>
            <w:r w:rsidRPr="00F76923">
              <w:t>biomassi</w:t>
            </w:r>
            <w:proofErr w:type="spellEnd"/>
            <w:r w:rsidRPr="00F76923">
              <w:t xml:space="preserve"> piirväärtuse miinimumtaset (MSY </w:t>
            </w:r>
            <w:proofErr w:type="spellStart"/>
            <w:r w:rsidRPr="00F76923">
              <w:t>B</w:t>
            </w:r>
            <w:r w:rsidRPr="00F76923">
              <w:rPr>
                <w:vertAlign w:val="subscript"/>
              </w:rPr>
              <w:t>trigger</w:t>
            </w:r>
            <w:proofErr w:type="spellEnd"/>
            <w:r w:rsidR="00D3521B" w:rsidRPr="00F76923">
              <w:t>) või 2. </w:t>
            </w:r>
            <w:r w:rsidRPr="00F76923">
              <w:t>rühma mis tahes funktsionaalse üksuse arvukus allpool arvukuse piirväärtuse miinimumtaset (</w:t>
            </w:r>
            <w:proofErr w:type="spellStart"/>
            <w:r w:rsidRPr="00F76923">
              <w:t>Abundance</w:t>
            </w:r>
            <w:r w:rsidRPr="00F76923">
              <w:rPr>
                <w:vertAlign w:val="subscript"/>
              </w:rPr>
              <w:t>buffer</w:t>
            </w:r>
            <w:proofErr w:type="spellEnd"/>
            <w:r w:rsidRPr="00F76923">
              <w:rPr>
                <w:vertAlign w:val="subscript"/>
              </w:rPr>
              <w:t>)</w:t>
            </w:r>
            <w:r w:rsidR="00D3521B" w:rsidRPr="00F76923">
              <w:t xml:space="preserve"> vastavalt käesoleva määruse II lisa veerule </w:t>
            </w:r>
            <w:r w:rsidRPr="00F76923">
              <w:t>A, võetakse kõik asjakohased parandusmeetmed, et tagada asjaomase kalavaru kiire taastumine maksimaalset jätkusuutlikku saagikust tagavast tasemest kõrgemale tasemele. Eelkõige tuleb era</w:t>
            </w:r>
            <w:r w:rsidR="00C065BB" w:rsidRPr="00F76923">
              <w:t>ndina käesoleva määruse artikli 4 lõikest </w:t>
            </w:r>
            <w:r w:rsidRPr="00F76923">
              <w:t>2 kehtestada asjaomase kalavaru püügivõimalused tasemel,</w:t>
            </w:r>
            <w:r w:rsidR="00C065BB" w:rsidRPr="00F76923">
              <w:t xml:space="preserve"> mis vastab käesoleva määruse I lisa veerus </w:t>
            </w:r>
            <w:r w:rsidRPr="00F76923">
              <w:t xml:space="preserve">A esitatud vahemikust madalamale kalastussuremuse tasemele, võttes arvesse kõnealuse varu </w:t>
            </w:r>
            <w:proofErr w:type="spellStart"/>
            <w:r w:rsidRPr="00F76923">
              <w:t>biomassi</w:t>
            </w:r>
            <w:proofErr w:type="spellEnd"/>
            <w:r w:rsidRPr="00F76923">
              <w:t xml:space="preserve"> või arvukuse vähenemist</w:t>
            </w:r>
            <w:r w:rsidRPr="00F76923">
              <w:rPr>
                <w:b/>
                <w:i/>
              </w:rPr>
              <w:t xml:space="preserve">, kusjuures kalastussuremust tuleb vähendada proportsionaalselt </w:t>
            </w:r>
            <w:proofErr w:type="spellStart"/>
            <w:r w:rsidRPr="00F76923">
              <w:rPr>
                <w:b/>
                <w:i/>
              </w:rPr>
              <w:t>biomassi</w:t>
            </w:r>
            <w:proofErr w:type="spellEnd"/>
            <w:r w:rsidRPr="00F76923">
              <w:rPr>
                <w:b/>
                <w:i/>
              </w:rPr>
              <w:t xml:space="preserve"> vähenemisega vastavalt </w:t>
            </w:r>
            <w:proofErr w:type="spellStart"/>
            <w:r w:rsidRPr="00F76923">
              <w:rPr>
                <w:b/>
                <w:i/>
              </w:rPr>
              <w:t>ICESi</w:t>
            </w:r>
            <w:proofErr w:type="spellEnd"/>
            <w:r w:rsidRPr="00F76923">
              <w:rPr>
                <w:b/>
                <w:i/>
              </w:rPr>
              <w:t xml:space="preserve"> nõuandvale eeskirjale.</w:t>
            </w:r>
            <w:r w:rsidRPr="00F76923">
              <w:t xml:space="preserve"> </w:t>
            </w:r>
            <w:r w:rsidR="00C065BB" w:rsidRPr="00F76923">
              <w:rPr>
                <w:b/>
                <w:i/>
              </w:rPr>
              <w:t>Kohaldatakse artikli 2 punktis 1</w:t>
            </w:r>
            <w:r w:rsidRPr="00F76923">
              <w:rPr>
                <w:b/>
                <w:i/>
              </w:rPr>
              <w:t xml:space="preserve">b osutatud </w:t>
            </w:r>
            <w:proofErr w:type="spellStart"/>
            <w:r w:rsidRPr="00F76923">
              <w:rPr>
                <w:b/>
                <w:i/>
              </w:rPr>
              <w:t>ICESi</w:t>
            </w:r>
            <w:proofErr w:type="spellEnd"/>
            <w:r w:rsidRPr="00F76923">
              <w:rPr>
                <w:b/>
                <w:i/>
              </w:rPr>
              <w:t xml:space="preserve"> nõuandvat eeskirja.</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54</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8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w:t>
            </w:r>
            <w:r w:rsidRPr="00F76923">
              <w:tab/>
              <w:t xml:space="preserve">Kui </w:t>
            </w:r>
            <w:r w:rsidRPr="00F76923">
              <w:rPr>
                <w:b/>
                <w:i/>
              </w:rPr>
              <w:t>teaduslikust nõuandest</w:t>
            </w:r>
            <w:r w:rsidRPr="00F76923">
              <w:t xml:space="preserve"> nähtub, et mis tahes asjaomase kalavaru kudekarja </w:t>
            </w:r>
            <w:proofErr w:type="spellStart"/>
            <w:r w:rsidRPr="00F76923">
              <w:t>biomass</w:t>
            </w:r>
            <w:proofErr w:type="spellEnd"/>
            <w:r w:rsidRPr="00F76923">
              <w:t xml:space="preserve"> on allpool </w:t>
            </w:r>
            <w:proofErr w:type="spellStart"/>
            <w:r w:rsidRPr="00F76923">
              <w:t>biomassi</w:t>
            </w:r>
            <w:proofErr w:type="spellEnd"/>
            <w:r w:rsidRPr="00F76923">
              <w:t xml:space="preserve"> piirväärtust (</w:t>
            </w:r>
            <w:proofErr w:type="spellStart"/>
            <w:r w:rsidRPr="00F76923">
              <w:t>B</w:t>
            </w:r>
            <w:r w:rsidRPr="00F76923">
              <w:rPr>
                <w:vertAlign w:val="subscript"/>
              </w:rPr>
              <w:t>lim</w:t>
            </w:r>
            <w:proofErr w:type="spellEnd"/>
            <w:r w:rsidRPr="00F76923">
              <w:t>) või norra salehomaari mis tahes funktsionaalse üksuse arvukus allpool arvukuse piirväärtust (</w:t>
            </w:r>
            <w:proofErr w:type="spellStart"/>
            <w:r w:rsidRPr="00F76923">
              <w:t>Abundance</w:t>
            </w:r>
            <w:r w:rsidRPr="00F76923">
              <w:rPr>
                <w:vertAlign w:val="subscript"/>
              </w:rPr>
              <w:t>limit</w:t>
            </w:r>
            <w:proofErr w:type="spellEnd"/>
            <w:r w:rsidRPr="00F76923">
              <w:t>) vastavalt käesoleva määruse II lisa veerule B, võetakse täiendavaid parandusmeetmeid, et tagada asjaomase kalavaru kiire taastumine maksimaalset jätkusuutlikku saagikust tagavast tasemest kõrgemale tasemele. Eelkõige tuleb nende parandusmeetmetega erandina käesoleva määruse artikli 4 lõigetest 2 ja 4 peatada asjaomase varu sihtpüük ja vastavalt vähendada kalapüügivõimalusi.</w:t>
            </w:r>
          </w:p>
        </w:tc>
        <w:tc>
          <w:tcPr>
            <w:tcW w:w="4876" w:type="dxa"/>
            <w:hideMark/>
          </w:tcPr>
          <w:p w:rsidR="00F42706" w:rsidRPr="00F76923" w:rsidRDefault="00F42706" w:rsidP="00CB0D37">
            <w:pPr>
              <w:pStyle w:val="Normal6"/>
            </w:pPr>
            <w:r w:rsidRPr="00F76923">
              <w:t>2.</w:t>
            </w:r>
            <w:r w:rsidRPr="00F76923">
              <w:tab/>
              <w:t xml:space="preserve">Kui </w:t>
            </w:r>
            <w:r w:rsidRPr="00F76923">
              <w:rPr>
                <w:b/>
                <w:i/>
              </w:rPr>
              <w:t>parimatest teaduslikest nõuannetest</w:t>
            </w:r>
            <w:r w:rsidRPr="00F76923">
              <w:t xml:space="preserve"> nähtub, et mis tahes asjaomase kalavaru kudekarja </w:t>
            </w:r>
            <w:proofErr w:type="spellStart"/>
            <w:r w:rsidRPr="00F76923">
              <w:t>biomass</w:t>
            </w:r>
            <w:proofErr w:type="spellEnd"/>
            <w:r w:rsidRPr="00F76923">
              <w:t xml:space="preserve"> on allpool </w:t>
            </w:r>
            <w:proofErr w:type="spellStart"/>
            <w:r w:rsidRPr="00F76923">
              <w:t>biomassi</w:t>
            </w:r>
            <w:proofErr w:type="spellEnd"/>
            <w:r w:rsidRPr="00F76923">
              <w:t xml:space="preserve"> piirväärtust (</w:t>
            </w:r>
            <w:proofErr w:type="spellStart"/>
            <w:r w:rsidRPr="00F76923">
              <w:t>B</w:t>
            </w:r>
            <w:r w:rsidRPr="00F76923">
              <w:rPr>
                <w:vertAlign w:val="subscript"/>
              </w:rPr>
              <w:t>lim</w:t>
            </w:r>
            <w:proofErr w:type="spellEnd"/>
            <w:r w:rsidRPr="00F76923">
              <w:t>) või norra salehomaari mis tahes funktsionaalse üksuse arvukus allpool arvukuse piirväärtust (</w:t>
            </w:r>
            <w:proofErr w:type="spellStart"/>
            <w:r w:rsidRPr="00F76923">
              <w:t>Abundance</w:t>
            </w:r>
            <w:r w:rsidRPr="00F76923">
              <w:rPr>
                <w:vertAlign w:val="subscript"/>
              </w:rPr>
              <w:t>limit</w:t>
            </w:r>
            <w:proofErr w:type="spellEnd"/>
            <w:r w:rsidRPr="00F76923">
              <w:t>)</w:t>
            </w:r>
            <w:r w:rsidR="00C065BB" w:rsidRPr="00F76923">
              <w:t xml:space="preserve"> vastavalt käesoleva määruse II lisa veerule </w:t>
            </w:r>
            <w:r w:rsidRPr="00F76923">
              <w:t>B, võetakse täiendavaid parandusmeetmeid, et tagada asjaomase kalavaru kiire taastumine maksimaalset jätkusuutlikku saagikust tagavast tasemest kõrgemale tasemele. Eelkõige tuleb nende parandusmeetmetega era</w:t>
            </w:r>
            <w:r w:rsidR="00C065BB" w:rsidRPr="00F76923">
              <w:t>ndina käesoleva määruse artikli 4 lõigetest 2 ja </w:t>
            </w:r>
            <w:r w:rsidRPr="00F76923">
              <w:t>4 peatada asjaomase varu sihtpüük ja vastavalt vähendada kalapüügivõimalusi.</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55</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8 – lõige 2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065BB" w:rsidP="00CB0D37">
            <w:pPr>
              <w:pStyle w:val="Normal6"/>
            </w:pPr>
            <w:r w:rsidRPr="00F76923">
              <w:rPr>
                <w:b/>
                <w:i/>
              </w:rPr>
              <w:t>2</w:t>
            </w:r>
            <w:r w:rsidR="00F42706" w:rsidRPr="00F76923">
              <w:rPr>
                <w:b/>
                <w:i/>
              </w:rPr>
              <w:t>a.</w:t>
            </w:r>
            <w:r w:rsidR="00F42706" w:rsidRPr="00F76923">
              <w:tab/>
            </w:r>
            <w:r w:rsidR="00F42706" w:rsidRPr="00F76923">
              <w:rPr>
                <w:b/>
                <w:i/>
              </w:rPr>
              <w:t xml:space="preserve">Kui parimatest kättesaadavatest teaduslikest nõuannetest nähtub, et teataval aastal on käesoleva määruse kohaldamisalasse kuuluva mis tahes kalavaru kudekarja </w:t>
            </w:r>
            <w:proofErr w:type="spellStart"/>
            <w:r w:rsidR="00F42706" w:rsidRPr="00F76923">
              <w:rPr>
                <w:b/>
                <w:i/>
              </w:rPr>
              <w:t>biomass</w:t>
            </w:r>
            <w:proofErr w:type="spellEnd"/>
            <w:r w:rsidR="00F42706" w:rsidRPr="00F76923">
              <w:rPr>
                <w:b/>
                <w:i/>
              </w:rPr>
              <w:t xml:space="preserve"> allpool kudekarja </w:t>
            </w:r>
            <w:proofErr w:type="spellStart"/>
            <w:r w:rsidR="00F42706" w:rsidRPr="00F76923">
              <w:rPr>
                <w:b/>
                <w:i/>
              </w:rPr>
              <w:t>biomassi</w:t>
            </w:r>
            <w:proofErr w:type="spellEnd"/>
            <w:r w:rsidR="00F42706" w:rsidRPr="00F76923">
              <w:rPr>
                <w:b/>
                <w:i/>
              </w:rPr>
              <w:t xml:space="preserve"> piirväärtuse miinimumtaset (MSY </w:t>
            </w:r>
            <w:proofErr w:type="spellStart"/>
            <w:r w:rsidR="00F42706" w:rsidRPr="00F76923">
              <w:rPr>
                <w:b/>
                <w:i/>
              </w:rPr>
              <w:t>B</w:t>
            </w:r>
            <w:r w:rsidR="00F42706" w:rsidRPr="00F76923">
              <w:rPr>
                <w:b/>
                <w:i/>
                <w:vertAlign w:val="subscript"/>
              </w:rPr>
              <w:t>trigger</w:t>
            </w:r>
            <w:proofErr w:type="spellEnd"/>
            <w:r w:rsidR="00F42706" w:rsidRPr="00F76923">
              <w:rPr>
                <w:b/>
                <w:i/>
              </w:rPr>
              <w:t xml:space="preserve">), võetakse kõik asjakohased parandusmeetmed, et tagada asjaomase kalavaru kiire taastumine maksimaalset jätkusuutlikku saagikust tagavast tasemest kõrgemale tasemele, ning kalastussuremust vähendatakse lineaarselt, et see oleks proportsionaalne </w:t>
            </w:r>
            <w:proofErr w:type="spellStart"/>
            <w:r w:rsidR="00F42706" w:rsidRPr="00F76923">
              <w:rPr>
                <w:b/>
                <w:i/>
              </w:rPr>
              <w:t>biomassi</w:t>
            </w:r>
            <w:proofErr w:type="spellEnd"/>
            <w:r w:rsidR="00F42706" w:rsidRPr="00F76923">
              <w:rPr>
                <w:b/>
                <w:i/>
              </w:rPr>
              <w:t xml:space="preserve"> vähenemisega vastavalt </w:t>
            </w:r>
            <w:proofErr w:type="spellStart"/>
            <w:r w:rsidR="00F42706" w:rsidRPr="00F76923">
              <w:rPr>
                <w:b/>
                <w:i/>
              </w:rPr>
              <w:t>ICESi</w:t>
            </w:r>
            <w:proofErr w:type="spellEnd"/>
            <w:r w:rsidR="00F42706" w:rsidRPr="00F76923">
              <w:rPr>
                <w:b/>
                <w:i/>
              </w:rPr>
              <w:t xml:space="preserve"> nõuandvale e</w:t>
            </w:r>
            <w:r w:rsidRPr="00F76923">
              <w:rPr>
                <w:b/>
                <w:i/>
              </w:rPr>
              <w:t>eskirjale. Kohaldatakse artikli 2 esimese lõigu punktis 1</w:t>
            </w:r>
            <w:r w:rsidR="00F42706" w:rsidRPr="00F76923">
              <w:rPr>
                <w:b/>
                <w:i/>
              </w:rPr>
              <w:t xml:space="preserve">b osutatud </w:t>
            </w:r>
            <w:proofErr w:type="spellStart"/>
            <w:r w:rsidR="00F42706" w:rsidRPr="00F76923">
              <w:rPr>
                <w:b/>
                <w:i/>
              </w:rPr>
              <w:t>ICESi</w:t>
            </w:r>
            <w:proofErr w:type="spellEnd"/>
            <w:r w:rsidR="00F42706" w:rsidRPr="00F76923">
              <w:rPr>
                <w:b/>
                <w:i/>
              </w:rPr>
              <w:t xml:space="preserve"> nõuandvat eeskirja.</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56</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8 – lõige 2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065BB" w:rsidP="00CB0D37">
            <w:pPr>
              <w:pStyle w:val="Normal6"/>
            </w:pPr>
            <w:r w:rsidRPr="00F76923">
              <w:rPr>
                <w:b/>
                <w:i/>
              </w:rPr>
              <w:t>2</w:t>
            </w:r>
            <w:r w:rsidR="00F42706" w:rsidRPr="00F76923">
              <w:rPr>
                <w:b/>
                <w:i/>
              </w:rPr>
              <w:t>b.</w:t>
            </w:r>
            <w:r w:rsidR="00F42706" w:rsidRPr="00F76923">
              <w:tab/>
            </w:r>
            <w:r w:rsidR="00F42706" w:rsidRPr="00F76923">
              <w:rPr>
                <w:b/>
                <w:i/>
              </w:rPr>
              <w:t xml:space="preserve">Kui parimatest kättesaadavatest teaduslikest nõuannetest nähtub, et käesoleva määruse kohaldamisalasse kuuluva mis tahes kalavaru kudekarja </w:t>
            </w:r>
            <w:proofErr w:type="spellStart"/>
            <w:r w:rsidR="00F42706" w:rsidRPr="00F76923">
              <w:rPr>
                <w:b/>
                <w:i/>
              </w:rPr>
              <w:t>biomass</w:t>
            </w:r>
            <w:proofErr w:type="spellEnd"/>
            <w:r w:rsidR="00F42706" w:rsidRPr="00F76923">
              <w:rPr>
                <w:b/>
                <w:i/>
              </w:rPr>
              <w:t xml:space="preserve"> on allpool </w:t>
            </w:r>
            <w:proofErr w:type="spellStart"/>
            <w:r w:rsidR="00F42706" w:rsidRPr="00F76923">
              <w:rPr>
                <w:b/>
                <w:i/>
              </w:rPr>
              <w:t>biomassi</w:t>
            </w:r>
            <w:proofErr w:type="spellEnd"/>
            <w:r w:rsidR="00F42706" w:rsidRPr="00F76923">
              <w:rPr>
                <w:b/>
                <w:i/>
              </w:rPr>
              <w:t xml:space="preserve"> piirväärtust (</w:t>
            </w:r>
            <w:proofErr w:type="spellStart"/>
            <w:r w:rsidR="00F42706" w:rsidRPr="00F76923">
              <w:rPr>
                <w:b/>
                <w:i/>
              </w:rPr>
              <w:t>B</w:t>
            </w:r>
            <w:r w:rsidR="00F42706" w:rsidRPr="00F76923">
              <w:rPr>
                <w:b/>
                <w:i/>
                <w:vertAlign w:val="subscript"/>
              </w:rPr>
              <w:t>lim</w:t>
            </w:r>
            <w:proofErr w:type="spellEnd"/>
            <w:r w:rsidR="00F42706" w:rsidRPr="00F76923">
              <w:rPr>
                <w:b/>
                <w:i/>
              </w:rPr>
              <w:t>) või muud asjakohast piirväärtust, võetakse täiendavaid parandusmeetmeid, et tagada asjaomase kalavaru kiire taastumine maksimaalset jätkusuutlikku saagikust tagavast tasemest kõrgemale tasemele. Eelkõige võib parandusmeetmetega vastavalt vähendada kalapüügivõimalusi või peatada asjaomase varu sihtpüügi.</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57</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8 – lõige 2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hRule="exac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tcPr>
          <w:p w:rsidR="00F42706" w:rsidRPr="00F76923" w:rsidRDefault="00F42706" w:rsidP="00CB0D37">
            <w:pPr>
              <w:pStyle w:val="ColumnHeading"/>
            </w:pPr>
            <w:r w:rsidRPr="00F76923">
              <w:t>Komisjoni ettepanek</w:t>
            </w:r>
          </w:p>
        </w:tc>
        <w:tc>
          <w:tcPr>
            <w:tcW w:w="4876" w:type="dxa"/>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065BB">
            <w:pPr>
              <w:pStyle w:val="Normal6"/>
            </w:pPr>
            <w:r w:rsidRPr="00F76923">
              <w:rPr>
                <w:b/>
                <w:i/>
              </w:rPr>
              <w:t>2c.</w:t>
            </w:r>
            <w:r w:rsidRPr="00F76923">
              <w:tab/>
            </w:r>
            <w:r w:rsidRPr="00F76923">
              <w:rPr>
                <w:b/>
                <w:i/>
              </w:rPr>
              <w:t>Käesolevas artiklis osutatud parandusmeetmed võivad olla:</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065BB" w:rsidP="00CB0D37">
            <w:pPr>
              <w:pStyle w:val="Normal6"/>
            </w:pPr>
            <w:r w:rsidRPr="00F76923">
              <w:rPr>
                <w:b/>
                <w:i/>
              </w:rPr>
              <w:t>a)</w:t>
            </w:r>
            <w:r w:rsidRPr="00F76923">
              <w:rPr>
                <w:b/>
                <w:i/>
              </w:rPr>
              <w:tab/>
              <w:t>määruse (EL) nr 1380/2013 artiklite 12 ja </w:t>
            </w:r>
            <w:r w:rsidR="00F42706" w:rsidRPr="00F76923">
              <w:rPr>
                <w:b/>
                <w:i/>
              </w:rPr>
              <w:t>13 kohased erakorralised meetmed;</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C065BB" w:rsidP="00CB0D37">
            <w:pPr>
              <w:pStyle w:val="Normal6"/>
            </w:pPr>
            <w:r w:rsidRPr="00F76923">
              <w:rPr>
                <w:b/>
                <w:i/>
              </w:rPr>
              <w:t>b)</w:t>
            </w:r>
            <w:r w:rsidRPr="00F76923">
              <w:rPr>
                <w:b/>
                <w:i/>
              </w:rPr>
              <w:tab/>
              <w:t>käesoleva määruse artiklite 11 ja 11</w:t>
            </w:r>
            <w:r w:rsidR="00F42706" w:rsidRPr="00F76923">
              <w:rPr>
                <w:b/>
                <w:i/>
              </w:rPr>
              <w:t>a kohased meetmed.</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 xml:space="preserve">Kui kudekarja </w:t>
            </w:r>
            <w:proofErr w:type="spellStart"/>
            <w:r w:rsidRPr="00F76923">
              <w:rPr>
                <w:b/>
                <w:i/>
              </w:rPr>
              <w:t>biomass</w:t>
            </w:r>
            <w:proofErr w:type="spellEnd"/>
            <w:r w:rsidRPr="00F76923">
              <w:rPr>
                <w:b/>
                <w:i/>
              </w:rPr>
              <w:t xml:space="preserve"> on lõikes 1 osutatud tasemetest väiksem, sõltub käesolevas artiklis osutatud meetmete valik olukorra laadist, tõsidusest, kestusest ja kordumisest.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58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9 – pealkiri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rPr>
                <w:b/>
                <w:i/>
              </w:rPr>
              <w:t xml:space="preserve">3.–7. rühma </w:t>
            </w:r>
            <w:r w:rsidRPr="00F76923">
              <w:t>konkreetsed kaitsemeetmed</w:t>
            </w:r>
          </w:p>
        </w:tc>
        <w:tc>
          <w:tcPr>
            <w:tcW w:w="4876" w:type="dxa"/>
            <w:hideMark/>
          </w:tcPr>
          <w:p w:rsidR="00F42706" w:rsidRPr="00F76923" w:rsidRDefault="00F42706" w:rsidP="00CB0D37">
            <w:pPr>
              <w:pStyle w:val="Normal6"/>
            </w:pPr>
            <w:r w:rsidRPr="00F76923">
              <w:t>Konkreetsed kaitsemeetmed</w:t>
            </w:r>
          </w:p>
        </w:tc>
      </w:tr>
    </w:tbl>
    <w:p w:rsidR="00F42706" w:rsidRPr="00F76923" w:rsidRDefault="00F42706" w:rsidP="00F42706"/>
    <w:p w:rsidR="00493FD5" w:rsidRPr="00F76923" w:rsidRDefault="00493FD5" w:rsidP="00493FD5">
      <w:pPr>
        <w:pStyle w:val="AMNumberTabs"/>
      </w:pPr>
      <w:r w:rsidRPr="00F76923">
        <w:t>Muudatusettepanek</w:t>
      </w:r>
      <w:r w:rsidRPr="00F76923">
        <w:tab/>
      </w:r>
      <w:r w:rsidRPr="00F76923">
        <w:tab/>
        <w:t>84</w:t>
      </w:r>
    </w:p>
    <w:p w:rsidR="00493FD5" w:rsidRPr="00F76923" w:rsidRDefault="00493FD5" w:rsidP="00493FD5">
      <w:pPr>
        <w:pStyle w:val="NormalBold"/>
        <w:spacing w:before="240"/>
      </w:pPr>
      <w:r w:rsidRPr="00F76923">
        <w:t>Ettepanek võtta vastu määrus</w:t>
      </w:r>
    </w:p>
    <w:p w:rsidR="00493FD5" w:rsidRPr="00F76923" w:rsidRDefault="00493FD5" w:rsidP="000607EA">
      <w:pPr>
        <w:pStyle w:val="NormalBold"/>
        <w:spacing w:after="120"/>
      </w:pPr>
      <w:r w:rsidRPr="00F76923">
        <w:t>Artikkel 9 – lõik 1 – sissejuhatav osa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2150A" w:rsidRPr="00F76923" w:rsidTr="007717FA">
        <w:trPr>
          <w:jc w:val="center"/>
        </w:trPr>
        <w:tc>
          <w:tcPr>
            <w:tcW w:w="9752" w:type="dxa"/>
            <w:gridSpan w:val="2"/>
          </w:tcPr>
          <w:p w:rsidR="0082150A" w:rsidRPr="00F76923" w:rsidRDefault="0082150A" w:rsidP="007717FA">
            <w:pPr>
              <w:keepNext/>
            </w:pPr>
          </w:p>
        </w:tc>
      </w:tr>
      <w:tr w:rsidR="0082150A" w:rsidRPr="00F76923" w:rsidTr="007717FA">
        <w:trPr>
          <w:jc w:val="center"/>
        </w:trPr>
        <w:tc>
          <w:tcPr>
            <w:tcW w:w="4876" w:type="dxa"/>
          </w:tcPr>
          <w:p w:rsidR="0082150A" w:rsidRPr="00F76923" w:rsidRDefault="0082150A" w:rsidP="007717FA">
            <w:pPr>
              <w:pStyle w:val="ColumnHeading"/>
              <w:keepNext/>
            </w:pPr>
            <w:r w:rsidRPr="00F76923">
              <w:t>Komisjoni ettepanek</w:t>
            </w:r>
          </w:p>
        </w:tc>
        <w:tc>
          <w:tcPr>
            <w:tcW w:w="4876" w:type="dxa"/>
          </w:tcPr>
          <w:p w:rsidR="0082150A" w:rsidRPr="00F76923" w:rsidRDefault="0082150A" w:rsidP="007717FA">
            <w:pPr>
              <w:pStyle w:val="ColumnHeading"/>
              <w:keepNext/>
            </w:pPr>
            <w:r w:rsidRPr="00F76923">
              <w:t>Muudatusettepanek</w:t>
            </w:r>
          </w:p>
        </w:tc>
      </w:tr>
      <w:tr w:rsidR="0082150A" w:rsidRPr="00F76923" w:rsidTr="007717FA">
        <w:trPr>
          <w:jc w:val="center"/>
        </w:trPr>
        <w:tc>
          <w:tcPr>
            <w:tcW w:w="4876" w:type="dxa"/>
          </w:tcPr>
          <w:p w:rsidR="0082150A" w:rsidRPr="00F76923" w:rsidRDefault="0082150A" w:rsidP="007717FA">
            <w:pPr>
              <w:pStyle w:val="Normal6"/>
            </w:pPr>
            <w:r w:rsidRPr="00F76923">
              <w:t xml:space="preserve">Kui teaduslikust nõuandest nähtub, et on vaja </w:t>
            </w:r>
            <w:r w:rsidRPr="00F76923">
              <w:rPr>
                <w:b/>
                <w:i/>
              </w:rPr>
              <w:t>parandusmeetmeid</w:t>
            </w:r>
            <w:r w:rsidRPr="00F76923">
              <w:t xml:space="preserve">, et tagada </w:t>
            </w:r>
            <w:r w:rsidRPr="00F76923">
              <w:rPr>
                <w:b/>
                <w:i/>
              </w:rPr>
              <w:t xml:space="preserve">3.–7. rühma </w:t>
            </w:r>
            <w:r w:rsidRPr="00F76923">
              <w:t xml:space="preserve">mis tahes </w:t>
            </w:r>
            <w:r w:rsidRPr="00F76923">
              <w:rPr>
                <w:b/>
                <w:i/>
              </w:rPr>
              <w:t>põhjalähedaste kalavarude kaitse, või kui 1. rühma mis tahes</w:t>
            </w:r>
            <w:r w:rsidRPr="00F76923">
              <w:t xml:space="preserve"> kalavarude </w:t>
            </w:r>
            <w:r w:rsidRPr="00F76923">
              <w:rPr>
                <w:b/>
                <w:i/>
              </w:rPr>
              <w:t xml:space="preserve">kudekarja </w:t>
            </w:r>
            <w:proofErr w:type="spellStart"/>
            <w:r w:rsidRPr="00F76923">
              <w:rPr>
                <w:b/>
                <w:i/>
              </w:rPr>
              <w:t>biomass</w:t>
            </w:r>
            <w:proofErr w:type="spellEnd"/>
            <w:r w:rsidRPr="00F76923">
              <w:rPr>
                <w:b/>
                <w:i/>
              </w:rPr>
              <w:t xml:space="preserve"> või 2. rühma mis tahes funktsionaalse üksuse varude arvukus teataval aastal on allpool</w:t>
            </w:r>
            <w:r w:rsidRPr="00F76923">
              <w:t xml:space="preserve"> käesoleva määruse </w:t>
            </w:r>
            <w:r w:rsidRPr="00F76923">
              <w:rPr>
                <w:b/>
                <w:i/>
              </w:rPr>
              <w:t>II lisa veeru A kohaseid kaitse piirväärtusi</w:t>
            </w:r>
            <w:r w:rsidRPr="00F76923">
              <w:t xml:space="preserve">, on komisjonil </w:t>
            </w:r>
            <w:r w:rsidRPr="00F76923">
              <w:lastRenderedPageBreak/>
              <w:t xml:space="preserve">õigus võtta kooskõlas käesoleva määruse artikliga 18 ja määruse (EL) nr 1380/2013 artikliga 18 vastu delegeeritud õigusakte, </w:t>
            </w:r>
            <w:r w:rsidRPr="00F76923">
              <w:rPr>
                <w:b/>
                <w:i/>
              </w:rPr>
              <w:t>milles käsitletakse</w:t>
            </w:r>
            <w:r w:rsidRPr="00F76923">
              <w:t xml:space="preserve"> järgmist:</w:t>
            </w:r>
          </w:p>
        </w:tc>
        <w:tc>
          <w:tcPr>
            <w:tcW w:w="4876" w:type="dxa"/>
          </w:tcPr>
          <w:p w:rsidR="0082150A" w:rsidRPr="00F76923" w:rsidRDefault="0082150A" w:rsidP="007717FA">
            <w:pPr>
              <w:pStyle w:val="Normal6"/>
              <w:rPr>
                <w:szCs w:val="24"/>
              </w:rPr>
            </w:pPr>
            <w:r w:rsidRPr="00F76923">
              <w:lastRenderedPageBreak/>
              <w:t xml:space="preserve">Kui teaduslikust nõuandest nähtub, et on vaja </w:t>
            </w:r>
            <w:r w:rsidRPr="00F76923">
              <w:rPr>
                <w:b/>
                <w:i/>
              </w:rPr>
              <w:t>täiendavaid meetmeid</w:t>
            </w:r>
            <w:r w:rsidRPr="00F76923">
              <w:t xml:space="preserve">, et tagada mis tahes </w:t>
            </w:r>
            <w:r w:rsidRPr="00F76923">
              <w:rPr>
                <w:b/>
                <w:i/>
              </w:rPr>
              <w:t>käesoleva määruse kohaldamisalasse kuuluvate</w:t>
            </w:r>
            <w:r w:rsidRPr="00F76923">
              <w:t xml:space="preserve"> kalavarude </w:t>
            </w:r>
            <w:r w:rsidRPr="00F76923">
              <w:rPr>
                <w:b/>
                <w:i/>
              </w:rPr>
              <w:t>majandamine kooskõlas</w:t>
            </w:r>
            <w:r w:rsidRPr="00F76923">
              <w:t xml:space="preserve"> käesoleva määruse </w:t>
            </w:r>
            <w:r w:rsidRPr="00F76923">
              <w:rPr>
                <w:b/>
                <w:i/>
              </w:rPr>
              <w:t>artikliga 3</w:t>
            </w:r>
            <w:r w:rsidRPr="00F76923">
              <w:t>, on komisjonil õigus võtta kooskõlas käesoleva määruse artikliga 18 ja määruse (EL) nr 1380/2013 artikliga 18 vastu delegeeritud õigusakte</w:t>
            </w:r>
            <w:r w:rsidRPr="00F76923">
              <w:rPr>
                <w:b/>
                <w:i/>
              </w:rPr>
              <w:t xml:space="preserve">. </w:t>
            </w:r>
            <w:r w:rsidRPr="00F76923">
              <w:rPr>
                <w:b/>
                <w:i/>
              </w:rPr>
              <w:lastRenderedPageBreak/>
              <w:t>Olenemata artikli 18 lõigetest 1 ja 3 võib komisjon võtta vastu delegeeritud õigusakte asjaomastes lõigetes osutatud ühise soovituse puudumisel. Nimetatud delegeeritud õigusaktid hõlmavad meetmeid</w:t>
            </w:r>
            <w:r w:rsidRPr="00F76923">
              <w:t xml:space="preserve">, </w:t>
            </w:r>
            <w:r w:rsidRPr="00F76923">
              <w:rPr>
                <w:b/>
                <w:i/>
              </w:rPr>
              <w:t>mis käsitlevad</w:t>
            </w:r>
            <w:r w:rsidRPr="00F76923">
              <w:t xml:space="preserve"> järgmist:</w:t>
            </w:r>
          </w:p>
        </w:tc>
      </w:tr>
    </w:tbl>
    <w:p w:rsidR="00F42706" w:rsidRPr="00F76923" w:rsidRDefault="00F42706" w:rsidP="00F42706">
      <w:pPr>
        <w:pStyle w:val="AMNumberTabs"/>
        <w:keepNext/>
      </w:pPr>
      <w:r w:rsidRPr="00F76923">
        <w:lastRenderedPageBreak/>
        <w:t>Muudatusettepanek</w:t>
      </w:r>
      <w:r w:rsidRPr="00F76923">
        <w:tab/>
      </w:r>
      <w:r w:rsidRPr="00F76923">
        <w:tab/>
        <w:t>60</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9 – lõik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a)</w:t>
            </w:r>
            <w:r w:rsidRPr="00F76923">
              <w:tab/>
              <w:t xml:space="preserve">püügivahendite </w:t>
            </w:r>
            <w:r w:rsidRPr="00F76923">
              <w:rPr>
                <w:b/>
                <w:i/>
              </w:rPr>
              <w:t>omadused</w:t>
            </w:r>
            <w:r w:rsidRPr="00F76923">
              <w:t>, eeskätt võrgusilma suurus, konksu suurus, püügivahendi konstruktsioon, võrguniidi jämedus, püügivahendi suurus või selektiivsusvahendite kasutamine selektiivsuse säilitamiseks või parandamiseks;</w:t>
            </w:r>
          </w:p>
        </w:tc>
        <w:tc>
          <w:tcPr>
            <w:tcW w:w="4876" w:type="dxa"/>
            <w:hideMark/>
          </w:tcPr>
          <w:p w:rsidR="00F42706" w:rsidRPr="00F76923" w:rsidRDefault="00F42706" w:rsidP="00B529E1">
            <w:pPr>
              <w:pStyle w:val="Normal6"/>
            </w:pPr>
            <w:r w:rsidRPr="00F76923">
              <w:t>a)</w:t>
            </w:r>
            <w:r w:rsidRPr="00F76923">
              <w:tab/>
              <w:t xml:space="preserve">püügivahendite </w:t>
            </w:r>
            <w:r w:rsidRPr="00F76923">
              <w:rPr>
                <w:b/>
                <w:i/>
              </w:rPr>
              <w:t>omaduste ja spetsifikatsioonide kindlaksmääramine</w:t>
            </w:r>
            <w:r w:rsidRPr="00F76923">
              <w:t>, eeskätt võrgusilma suurus, konksu suurus, püügivahendi konstruktsioon, võrguniidi jämedus, püügivahendi suurus või selektiivsusvahendite kasutamine selektiivsuse säilitamiseks või parandamiseks</w:t>
            </w:r>
            <w:r w:rsidR="00C065BB" w:rsidRPr="00F76923">
              <w:rPr>
                <w:b/>
                <w:i/>
              </w:rPr>
              <w:t xml:space="preserve">, eelkõige </w:t>
            </w:r>
            <w:r w:rsidRPr="00F76923">
              <w:rPr>
                <w:b/>
                <w:i/>
              </w:rPr>
              <w:t>soovimatu kaaspüügi vähendamiseks</w:t>
            </w:r>
            <w:r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61</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shd w:val="clear" w:color="auto" w:fill="auto"/>
            <w:hideMark/>
          </w:tcPr>
          <w:p w:rsidR="00F42706" w:rsidRPr="00F76923" w:rsidRDefault="00C065BB" w:rsidP="00CB0D37">
            <w:pPr>
              <w:pStyle w:val="Normal6"/>
              <w:jc w:val="center"/>
            </w:pPr>
            <w:r w:rsidRPr="00F76923">
              <w:rPr>
                <w:b/>
                <w:i/>
              </w:rPr>
              <w:t>Artikkel 9</w:t>
            </w:r>
            <w:r w:rsidR="00F42706" w:rsidRPr="00F76923">
              <w:rPr>
                <w:b/>
                <w:i/>
              </w:rPr>
              <w:t>a</w:t>
            </w:r>
          </w:p>
        </w:tc>
      </w:tr>
      <w:tr w:rsidR="00F42706" w:rsidRPr="00F76923" w:rsidTr="00CB0D37">
        <w:trPr>
          <w:jc w:val="center"/>
        </w:trPr>
        <w:tc>
          <w:tcPr>
            <w:tcW w:w="4876" w:type="dxa"/>
          </w:tcPr>
          <w:p w:rsidR="00F42706" w:rsidRPr="00F76923" w:rsidRDefault="00F42706" w:rsidP="00CB0D37">
            <w:pPr>
              <w:pStyle w:val="Normal6"/>
            </w:pPr>
          </w:p>
        </w:tc>
        <w:tc>
          <w:tcPr>
            <w:tcW w:w="4876" w:type="dxa"/>
            <w:shd w:val="clear" w:color="auto" w:fill="auto"/>
          </w:tcPr>
          <w:p w:rsidR="00F42706" w:rsidRPr="00F76923" w:rsidRDefault="00F42706" w:rsidP="00CB0D37">
            <w:pPr>
              <w:pStyle w:val="Normal6"/>
              <w:jc w:val="center"/>
              <w:rPr>
                <w:b/>
                <w:i/>
              </w:rPr>
            </w:pPr>
            <w:r w:rsidRPr="00F76923">
              <w:rPr>
                <w:b/>
                <w:i/>
              </w:rPr>
              <w:t>Kudemispaikade ja kalavarude taastamise alade kindlaksmääramine</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065BB" w:rsidP="00CB0D37">
            <w:pPr>
              <w:pStyle w:val="Normal6"/>
            </w:pPr>
            <w:r w:rsidRPr="00F76923">
              <w:rPr>
                <w:b/>
                <w:i/>
              </w:rPr>
              <w:t>Hiljemalt 2020. </w:t>
            </w:r>
            <w:r w:rsidR="00F42706" w:rsidRPr="00F76923">
              <w:rPr>
                <w:b/>
                <w:i/>
              </w:rPr>
              <w:t>aastaks määravad liikmesriigid kindlaks kudemispaigad ja alad, mille puhul on olemas selged tõendid kalavarude kaitseks kehtestatud alammõõdust väiksemate kalade suure kontsentratsiooni kohta, ning koos</w:t>
            </w:r>
            <w:r w:rsidRPr="00F76923">
              <w:rPr>
                <w:b/>
                <w:i/>
              </w:rPr>
              <w:t>tavad käesoleva määruse artikli </w:t>
            </w:r>
            <w:r w:rsidR="00F42706" w:rsidRPr="00F76923">
              <w:rPr>
                <w:b/>
                <w:i/>
              </w:rPr>
              <w:t>12 lõ</w:t>
            </w:r>
            <w:r w:rsidRPr="00F76923">
              <w:rPr>
                <w:b/>
                <w:i/>
              </w:rPr>
              <w:t>ike </w:t>
            </w:r>
            <w:r w:rsidR="00F42706" w:rsidRPr="00F76923">
              <w:rPr>
                <w:b/>
                <w:i/>
              </w:rPr>
              <w:t>2 kohased ühised soovitused kalavarude taastamise alade rajamiseks käesoleva määruse kohaldamisalasse kuuluvate kalavarude puhul.</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62</w:t>
      </w:r>
    </w:p>
    <w:p w:rsidR="00F42706" w:rsidRPr="00F76923" w:rsidRDefault="00F42706" w:rsidP="00F42706">
      <w:pPr>
        <w:pStyle w:val="NormalBold12b"/>
      </w:pPr>
      <w:r w:rsidRPr="00F76923">
        <w:lastRenderedPageBreak/>
        <w:t>Ettepanek võtta vastu määrus</w:t>
      </w:r>
    </w:p>
    <w:p w:rsidR="00F42706" w:rsidRPr="00F76923" w:rsidRDefault="00F42706" w:rsidP="00F42706">
      <w:pPr>
        <w:pStyle w:val="NormalBold"/>
      </w:pPr>
      <w:r w:rsidRPr="00F76923">
        <w:t>Artikkel 10 – pealkiri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rPr>
                <w:b/>
                <w:i/>
              </w:rPr>
              <w:t>Lubatud kogupüük</w:t>
            </w:r>
          </w:p>
        </w:tc>
        <w:tc>
          <w:tcPr>
            <w:tcW w:w="4876" w:type="dxa"/>
            <w:hideMark/>
          </w:tcPr>
          <w:p w:rsidR="00F42706" w:rsidRPr="00F76923" w:rsidRDefault="00F42706" w:rsidP="00CB0D37">
            <w:pPr>
              <w:pStyle w:val="Normal6"/>
            </w:pPr>
            <w:r w:rsidRPr="00F76923">
              <w:rPr>
                <w:b/>
                <w:i/>
              </w:rPr>
              <w:t>Kalapüügivõimalused</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63</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10 – lõige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065BB" w:rsidP="00CB0D37">
            <w:pPr>
              <w:pStyle w:val="Normal6"/>
            </w:pPr>
            <w:r w:rsidRPr="00F76923">
              <w:rPr>
                <w:b/>
                <w:i/>
              </w:rPr>
              <w:t>1</w:t>
            </w:r>
            <w:r w:rsidR="00F42706" w:rsidRPr="00F76923">
              <w:rPr>
                <w:b/>
                <w:i/>
              </w:rPr>
              <w:t>a.</w:t>
            </w:r>
            <w:r w:rsidR="00F42706" w:rsidRPr="00F76923">
              <w:tab/>
            </w:r>
            <w:r w:rsidRPr="00F76923">
              <w:rPr>
                <w:b/>
                <w:i/>
              </w:rPr>
              <w:t xml:space="preserve">Kooskõlas määruse </w:t>
            </w:r>
            <w:r w:rsidR="00F42706" w:rsidRPr="00F76923">
              <w:rPr>
                <w:b/>
                <w:i/>
              </w:rPr>
              <w:t xml:space="preserve">(EL) nr 1380/2013 artikliga 17 peavad liikmesriigid kalapüügivõimaluste jaotamisel lähtuma objektiivsetest ja läbipaistvatest kriteeriumidest. </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64</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10 – lõige 1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C065BB" w:rsidP="00CB0D37">
            <w:pPr>
              <w:pStyle w:val="Normal6"/>
            </w:pPr>
            <w:r w:rsidRPr="00F76923">
              <w:rPr>
                <w:b/>
                <w:i/>
              </w:rPr>
              <w:t>1</w:t>
            </w:r>
            <w:r w:rsidR="00F42706" w:rsidRPr="00F76923">
              <w:rPr>
                <w:b/>
                <w:i/>
              </w:rPr>
              <w:t>b.</w:t>
            </w:r>
            <w:r w:rsidR="00F42706" w:rsidRPr="00F76923">
              <w:tab/>
            </w:r>
            <w:r w:rsidR="00F42706" w:rsidRPr="00F76923">
              <w:rPr>
                <w:b/>
                <w:i/>
              </w:rPr>
              <w:t>Kolmandate riikidega ühiselt majandatavate kalavarude majandamisel võimaldava</w:t>
            </w:r>
            <w:r w:rsidRPr="00F76923">
              <w:rPr>
                <w:b/>
                <w:i/>
              </w:rPr>
              <w:t>d liikmesriigid määruse (EL) nr </w:t>
            </w:r>
            <w:r w:rsidR="002A1D61" w:rsidRPr="00F76923">
              <w:rPr>
                <w:b/>
                <w:i/>
              </w:rPr>
              <w:t>1380/2013 artikli 33 lõike </w:t>
            </w:r>
            <w:r w:rsidR="00F42706" w:rsidRPr="00F76923">
              <w:rPr>
                <w:b/>
                <w:i/>
              </w:rPr>
              <w:t>2 kohaselt kalapüügivõimaluste vahetamist.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65</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10–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2.</w:t>
            </w:r>
            <w:r w:rsidRPr="00F76923">
              <w:tab/>
            </w:r>
            <w:r w:rsidRPr="00F76923">
              <w:rPr>
                <w:b/>
                <w:i/>
              </w:rPr>
              <w:t>Ilma et see piiraks artikli 8 kohaldamist, on norra</w:t>
            </w:r>
            <w:r w:rsidRPr="00F76923">
              <w:t xml:space="preserve"> salehomaari </w:t>
            </w:r>
            <w:r w:rsidRPr="00F76923">
              <w:rPr>
                <w:b/>
                <w:i/>
              </w:rPr>
              <w:t>lubatud kogupüük</w:t>
            </w:r>
            <w:r w:rsidRPr="00F76923">
              <w:t xml:space="preserve"> </w:t>
            </w:r>
            <w:proofErr w:type="spellStart"/>
            <w:r w:rsidRPr="00F76923">
              <w:t>ICESi</w:t>
            </w:r>
            <w:proofErr w:type="spellEnd"/>
            <w:r w:rsidRPr="00F76923">
              <w:t xml:space="preserve"> </w:t>
            </w:r>
            <w:proofErr w:type="spellStart"/>
            <w:r w:rsidRPr="00F76923">
              <w:t>IIa</w:t>
            </w:r>
            <w:proofErr w:type="spellEnd"/>
            <w:r w:rsidRPr="00F76923">
              <w:t xml:space="preserve"> ja IV püügipiirkonnas iga funktsionaalse üksuse </w:t>
            </w:r>
            <w:r w:rsidRPr="00F76923">
              <w:rPr>
                <w:b/>
                <w:i/>
              </w:rPr>
              <w:t>suhtes kehtestatud püügi piirnormide</w:t>
            </w:r>
            <w:r w:rsidRPr="00F76923">
              <w:t xml:space="preserve"> ning väljaspool funktsionaalseid üksusi asuvate statistiliste ruutude </w:t>
            </w:r>
            <w:r w:rsidRPr="00F76923">
              <w:rPr>
                <w:b/>
                <w:i/>
              </w:rPr>
              <w:t xml:space="preserve">püügi piirnormide </w:t>
            </w:r>
            <w:r w:rsidRPr="00F76923">
              <w:rPr>
                <w:b/>
                <w:i/>
              </w:rPr>
              <w:lastRenderedPageBreak/>
              <w:t>summa</w:t>
            </w:r>
            <w:r w:rsidRPr="00F76923">
              <w:t>.</w:t>
            </w:r>
          </w:p>
        </w:tc>
        <w:tc>
          <w:tcPr>
            <w:tcW w:w="4876" w:type="dxa"/>
            <w:hideMark/>
          </w:tcPr>
          <w:p w:rsidR="00F42706" w:rsidRPr="00F76923" w:rsidRDefault="00F42706" w:rsidP="00CB0D37">
            <w:pPr>
              <w:pStyle w:val="Normal6"/>
            </w:pPr>
            <w:r w:rsidRPr="00F76923">
              <w:lastRenderedPageBreak/>
              <w:t>2.</w:t>
            </w:r>
            <w:r w:rsidRPr="00F76923">
              <w:tab/>
            </w:r>
            <w:r w:rsidRPr="00F76923">
              <w:rPr>
                <w:b/>
                <w:i/>
              </w:rPr>
              <w:t>Norra</w:t>
            </w:r>
            <w:r w:rsidRPr="00F76923">
              <w:t xml:space="preserve"> salehomaari </w:t>
            </w:r>
            <w:r w:rsidRPr="00F76923">
              <w:rPr>
                <w:b/>
                <w:i/>
              </w:rPr>
              <w:t>püügi piirnormid</w:t>
            </w:r>
            <w:r w:rsidR="002A1D61" w:rsidRPr="00F76923">
              <w:t xml:space="preserve"> </w:t>
            </w:r>
            <w:proofErr w:type="spellStart"/>
            <w:r w:rsidR="002A1D61" w:rsidRPr="00F76923">
              <w:t>ICESi</w:t>
            </w:r>
            <w:proofErr w:type="spellEnd"/>
            <w:r w:rsidR="002A1D61" w:rsidRPr="00F76923">
              <w:t xml:space="preserve"> </w:t>
            </w:r>
            <w:proofErr w:type="spellStart"/>
            <w:r w:rsidR="002A1D61" w:rsidRPr="00F76923">
              <w:t>IIa</w:t>
            </w:r>
            <w:proofErr w:type="spellEnd"/>
            <w:r w:rsidR="002A1D61" w:rsidRPr="00F76923">
              <w:t> ja IV </w:t>
            </w:r>
            <w:r w:rsidRPr="00F76923">
              <w:t xml:space="preserve">püügipiirkonnas </w:t>
            </w:r>
            <w:r w:rsidRPr="00F76923">
              <w:rPr>
                <w:b/>
                <w:i/>
              </w:rPr>
              <w:t xml:space="preserve">kehtestatakse </w:t>
            </w:r>
            <w:r w:rsidRPr="00F76923">
              <w:t xml:space="preserve">iga funktsionaalse üksuse </w:t>
            </w:r>
            <w:r w:rsidRPr="00F76923">
              <w:rPr>
                <w:b/>
                <w:i/>
              </w:rPr>
              <w:t>kohta</w:t>
            </w:r>
            <w:r w:rsidRPr="00F76923">
              <w:t xml:space="preserve"> ning väljaspool funktsionaalseid üksusi asuvate statistiliste ruutude </w:t>
            </w:r>
            <w:r w:rsidRPr="00F76923">
              <w:rPr>
                <w:b/>
                <w:i/>
              </w:rPr>
              <w:t>kohta kehtestatakse ühtne lubatud kogupüük</w:t>
            </w:r>
            <w:r w:rsidRPr="00F76923">
              <w:t>.</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66</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10 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2A1D61" w:rsidP="00CB0D37">
            <w:pPr>
              <w:pStyle w:val="Normal6"/>
              <w:jc w:val="center"/>
            </w:pPr>
            <w:r w:rsidRPr="00F76923">
              <w:rPr>
                <w:b/>
                <w:i/>
              </w:rPr>
              <w:t>Artikkel 10</w:t>
            </w:r>
            <w:r w:rsidR="00F42706" w:rsidRPr="00F76923">
              <w:rPr>
                <w:b/>
                <w:i/>
              </w:rPr>
              <w:t>a</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jc w:val="center"/>
            </w:pPr>
            <w:r w:rsidRPr="00F76923">
              <w:rPr>
                <w:b/>
                <w:i/>
              </w:rPr>
              <w:t>Harrastuskalapüügi mõju</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1.</w:t>
            </w:r>
            <w:r w:rsidRPr="00F76923">
              <w:rPr>
                <w:b/>
                <w:i/>
              </w:rPr>
              <w:tab/>
              <w:t xml:space="preserve">Kõiki kättesaadavaid andmeid harrastuskalapüügi kohta analüüsitakse eesmärgiga hinnata selle tõenäolist mõju reguleeritavate liikide kalavarudele. </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2A1D61" w:rsidP="002A1D61">
            <w:pPr>
              <w:pStyle w:val="Normal6"/>
            </w:pPr>
            <w:r w:rsidRPr="00F76923">
              <w:rPr>
                <w:b/>
                <w:i/>
              </w:rPr>
              <w:t>2.</w:t>
            </w:r>
            <w:r w:rsidRPr="00F76923">
              <w:rPr>
                <w:b/>
                <w:i/>
              </w:rPr>
              <w:tab/>
              <w:t>Nõukogu arvestab lõikes </w:t>
            </w:r>
            <w:r w:rsidR="00F42706" w:rsidRPr="00F76923">
              <w:rPr>
                <w:b/>
                <w:i/>
              </w:rPr>
              <w:t>1 ette nähtud hindamist. Seoses nende kalavarudega, mille puhul harrastuskalapüüki peetakse märkimisväärseks, võtab nõukogu kalapüügivõimaluste kindlaksmääramisel harrastuskalapüüki arvesse muu hulgas järgmiselt:</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a)</w:t>
            </w:r>
            <w:r w:rsidRPr="00F76923">
              <w:rPr>
                <w:b/>
                <w:i/>
              </w:rPr>
              <w:tab/>
              <w:t>arvestades parimatel kättesaadavatel teaduslikel nõuannetel põhinevat harrastuskalapüügi hinnangulist koguhulka ning parimaid kättesaadavaid teaduslikke nõuandeid töönduslike kalapüügivõimaluste kui kalastussuremuse sihttasemele vastava kogupüügi kohta;</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b)</w:t>
            </w:r>
            <w:r w:rsidRPr="00F76923">
              <w:rPr>
                <w:b/>
                <w:i/>
              </w:rPr>
              <w:tab/>
              <w:t>kehtestades harrastuskalapüügile piiranguid, sealhulgas kaasavõetava saagi päevaseid piirmäärasid ja keeluaegasid; või</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c)</w:t>
            </w:r>
            <w:r w:rsidRPr="00F76923">
              <w:rPr>
                <w:b/>
                <w:i/>
              </w:rPr>
              <w:tab/>
              <w:t>muude asjakohaste vahenditega.</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67</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11 – pealkiri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Lossimiskohustusega seotud sätted</w:t>
            </w:r>
            <w:r w:rsidRPr="00F76923">
              <w:rPr>
                <w:b/>
                <w:i/>
              </w:rPr>
              <w:t xml:space="preserve"> 1.–7. </w:t>
            </w:r>
            <w:r w:rsidRPr="00F76923">
              <w:rPr>
                <w:b/>
                <w:i/>
              </w:rPr>
              <w:lastRenderedPageBreak/>
              <w:t>rühma puhul</w:t>
            </w:r>
          </w:p>
        </w:tc>
        <w:tc>
          <w:tcPr>
            <w:tcW w:w="4876" w:type="dxa"/>
            <w:hideMark/>
          </w:tcPr>
          <w:p w:rsidR="00F42706" w:rsidRPr="00F76923" w:rsidRDefault="00F42706" w:rsidP="00CB0D37">
            <w:pPr>
              <w:pStyle w:val="Normal6"/>
            </w:pPr>
            <w:r w:rsidRPr="00F76923">
              <w:lastRenderedPageBreak/>
              <w:t>Lossimiskohustusega seotud sätted</w:t>
            </w:r>
          </w:p>
        </w:tc>
      </w:tr>
    </w:tbl>
    <w:p w:rsidR="00F42706" w:rsidRPr="00F76923" w:rsidRDefault="00F42706" w:rsidP="00F42706"/>
    <w:p w:rsidR="00F42706" w:rsidRPr="00F76923" w:rsidRDefault="00F42706" w:rsidP="002A1D61">
      <w:pPr>
        <w:pStyle w:val="AMNumberTabs"/>
        <w:keepNext/>
      </w:pPr>
      <w:r w:rsidRPr="00F76923">
        <w:t xml:space="preserve">Muudatusettepanek </w:t>
      </w:r>
      <w:r w:rsidRPr="00F76923">
        <w:tab/>
        <w:t>68</w:t>
      </w:r>
    </w:p>
    <w:p w:rsidR="00F42706" w:rsidRPr="00F76923" w:rsidRDefault="00F42706" w:rsidP="002A1D61">
      <w:pPr>
        <w:pStyle w:val="NormalBold12b"/>
        <w:keepNext/>
      </w:pPr>
      <w:r w:rsidRPr="00F76923">
        <w:t>Ettepanek võtta vastu määrus</w:t>
      </w:r>
    </w:p>
    <w:p w:rsidR="00F42706" w:rsidRPr="00F76923" w:rsidRDefault="00F42706" w:rsidP="002A1D61">
      <w:pPr>
        <w:pStyle w:val="NormalBold"/>
        <w:keepNext/>
      </w:pPr>
      <w:r w:rsidRPr="00F76923">
        <w:t>Artikkel 11 – lõik 1 – punkt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a)</w:t>
            </w:r>
            <w:r w:rsidRPr="00F76923">
              <w:tab/>
              <w:t xml:space="preserve">lossimiskohustuse täitmist hõlbustavad erandid lossimiskohustuse kohaldamisest liikide puhul, mille kõrge ellujäämise määr on </w:t>
            </w:r>
            <w:r w:rsidRPr="00F76923">
              <w:rPr>
                <w:b/>
                <w:i/>
              </w:rPr>
              <w:t>teaduslikult</w:t>
            </w:r>
            <w:r w:rsidRPr="00F76923">
              <w:t xml:space="preserve"> tõendatud, võttes arvesse püügivahendi, püügimeetodite ja ökosüsteemi omadusi; ning</w:t>
            </w:r>
          </w:p>
        </w:tc>
        <w:tc>
          <w:tcPr>
            <w:tcW w:w="4876" w:type="dxa"/>
            <w:hideMark/>
          </w:tcPr>
          <w:p w:rsidR="00F42706" w:rsidRPr="00F76923" w:rsidRDefault="00F42706" w:rsidP="00CB0D37">
            <w:pPr>
              <w:pStyle w:val="Normal6"/>
            </w:pPr>
            <w:r w:rsidRPr="00F76923">
              <w:t>a)</w:t>
            </w:r>
            <w:r w:rsidRPr="00F76923">
              <w:tab/>
              <w:t xml:space="preserve">lossimiskohustuse täitmist hõlbustavad erandid lossimiskohustuse kohaldamisest liikide puhul, mille kõrge ellujäämise määr on </w:t>
            </w:r>
            <w:r w:rsidRPr="00F76923">
              <w:rPr>
                <w:b/>
                <w:i/>
              </w:rPr>
              <w:t>parimate kättesaadavate teaduslike nõuannetega</w:t>
            </w:r>
            <w:r w:rsidRPr="00F76923">
              <w:t xml:space="preserve"> tõendatud, võttes arvesse püügivahendi, püügimeetodite ja ökosüsteemi omadusi; ning</w:t>
            </w:r>
          </w:p>
        </w:tc>
      </w:tr>
    </w:tbl>
    <w:p w:rsidR="00F42706" w:rsidRPr="00F76923" w:rsidRDefault="00F42706" w:rsidP="00F42706"/>
    <w:p w:rsidR="00F42706" w:rsidRPr="00F76923" w:rsidRDefault="00F42706" w:rsidP="00F42706">
      <w:pPr>
        <w:pStyle w:val="AMNumberTabs"/>
      </w:pPr>
      <w:r w:rsidRPr="00F76923">
        <w:t xml:space="preserve">Muudatusettepanek </w:t>
      </w:r>
      <w:r w:rsidRPr="00F76923">
        <w:tab/>
        <w:t>69</w:t>
      </w:r>
    </w:p>
    <w:p w:rsidR="00F42706" w:rsidRPr="00F76923" w:rsidRDefault="00F42706" w:rsidP="00F42706">
      <w:pPr>
        <w:pStyle w:val="NormalBold12b"/>
      </w:pPr>
      <w:r w:rsidRPr="00F76923">
        <w:t>Ettepanek võtta vastu määrus</w:t>
      </w:r>
    </w:p>
    <w:p w:rsidR="00F42706" w:rsidRPr="00F76923" w:rsidRDefault="00F42706" w:rsidP="00F42706">
      <w:pPr>
        <w:pStyle w:val="NormalBold"/>
      </w:pPr>
      <w:r w:rsidRPr="00F76923">
        <w:t>Artikkel 11 – lõik 1 – punkt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CB0D37"/>
        </w:tc>
      </w:tr>
      <w:tr w:rsidR="00F42706" w:rsidRPr="00F76923" w:rsidTr="00CB0D37">
        <w:trPr>
          <w:trHeight w:val="240"/>
          <w:jc w:val="center"/>
        </w:trPr>
        <w:tc>
          <w:tcPr>
            <w:tcW w:w="4876" w:type="dxa"/>
            <w:hideMark/>
          </w:tcPr>
          <w:p w:rsidR="00F42706" w:rsidRPr="00F76923" w:rsidRDefault="00F42706" w:rsidP="00CB0D37">
            <w:pPr>
              <w:pStyle w:val="ColumnHeading"/>
            </w:pPr>
            <w:r w:rsidRPr="00F76923">
              <w:t>Komisjoni ettepanek</w:t>
            </w:r>
          </w:p>
        </w:tc>
        <w:tc>
          <w:tcPr>
            <w:tcW w:w="4876" w:type="dxa"/>
            <w:hideMark/>
          </w:tcPr>
          <w:p w:rsidR="00F42706" w:rsidRPr="00F76923" w:rsidRDefault="00F42706" w:rsidP="00CB0D37">
            <w:pPr>
              <w:pStyle w:val="ColumnHeading"/>
            </w:pPr>
            <w:r w:rsidRPr="00F76923">
              <w:t>Muudatusettepanek</w:t>
            </w:r>
          </w:p>
        </w:tc>
      </w:tr>
      <w:tr w:rsidR="00F42706" w:rsidRPr="00F76923" w:rsidTr="00CB0D37">
        <w:trPr>
          <w:jc w:val="center"/>
        </w:trPr>
        <w:tc>
          <w:tcPr>
            <w:tcW w:w="4876" w:type="dxa"/>
            <w:hideMark/>
          </w:tcPr>
          <w:p w:rsidR="00F42706" w:rsidRPr="00F76923" w:rsidRDefault="00F42706" w:rsidP="00CB0D37">
            <w:pPr>
              <w:pStyle w:val="Normal6"/>
            </w:pPr>
            <w:r w:rsidRPr="00F76923">
              <w:t>c)</w:t>
            </w:r>
            <w:r w:rsidRPr="00F76923">
              <w:tab/>
              <w:t xml:space="preserve">erisätted püügi dokumenteerimise kohta, mille eesmärk on eelkõige </w:t>
            </w:r>
            <w:r w:rsidRPr="00F76923">
              <w:rPr>
                <w:b/>
                <w:i/>
              </w:rPr>
              <w:t>jälgida</w:t>
            </w:r>
            <w:r w:rsidRPr="00F76923">
              <w:t xml:space="preserve"> lossimiskohustuse </w:t>
            </w:r>
            <w:r w:rsidRPr="00F76923">
              <w:rPr>
                <w:b/>
                <w:i/>
              </w:rPr>
              <w:t>täitmist</w:t>
            </w:r>
            <w:r w:rsidRPr="00F76923">
              <w:t>; ning</w:t>
            </w:r>
          </w:p>
        </w:tc>
        <w:tc>
          <w:tcPr>
            <w:tcW w:w="4876" w:type="dxa"/>
            <w:hideMark/>
          </w:tcPr>
          <w:p w:rsidR="00F42706" w:rsidRPr="00F76923" w:rsidRDefault="00F42706" w:rsidP="00CB0D37">
            <w:pPr>
              <w:pStyle w:val="Normal6"/>
            </w:pPr>
            <w:r w:rsidRPr="00F76923">
              <w:t>c)</w:t>
            </w:r>
            <w:r w:rsidRPr="00F76923">
              <w:tab/>
              <w:t xml:space="preserve">erisätted püügi dokumenteerimise kohta, mille eesmärk on eelkõige </w:t>
            </w:r>
            <w:r w:rsidRPr="00F76923">
              <w:rPr>
                <w:b/>
                <w:i/>
              </w:rPr>
              <w:t>järelevalve ja kontroll võrdsete tingimuste kindlustamiseks, tagades</w:t>
            </w:r>
            <w:r w:rsidRPr="00F76923">
              <w:t xml:space="preserve"> lossimiskohustuse </w:t>
            </w:r>
            <w:r w:rsidRPr="00F76923">
              <w:rPr>
                <w:b/>
                <w:i/>
              </w:rPr>
              <w:t>täieliku järgimise</w:t>
            </w:r>
            <w:r w:rsidRPr="00F76923">
              <w:t>; ning</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70</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pPr>
      <w:r w:rsidRPr="00F76923">
        <w:t>Artikkel 11 – lõik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hideMark/>
          </w:tcPr>
          <w:p w:rsidR="00F42706" w:rsidRPr="00F76923" w:rsidRDefault="00F42706" w:rsidP="00CB0D37">
            <w:pPr>
              <w:pStyle w:val="ColumnHeading"/>
              <w:keepNext/>
            </w:pPr>
            <w:r w:rsidRPr="00F76923">
              <w:t>Komisjoni ettepanek</w:t>
            </w:r>
          </w:p>
        </w:tc>
        <w:tc>
          <w:tcPr>
            <w:tcW w:w="4876" w:type="dxa"/>
            <w:hideMark/>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F42706" w:rsidP="00CB0D37">
            <w:pPr>
              <w:pStyle w:val="Normal6"/>
            </w:pPr>
            <w:r w:rsidRPr="00F76923">
              <w:rPr>
                <w:b/>
                <w:i/>
              </w:rPr>
              <w:t>Käesoleva artikli esimeses lõigus nimetatud meetmed aitavad saavu</w:t>
            </w:r>
            <w:r w:rsidR="002A1D61" w:rsidRPr="00F76923">
              <w:rPr>
                <w:b/>
                <w:i/>
              </w:rPr>
              <w:t>tada käesoleva määruse artiklis </w:t>
            </w:r>
            <w:r w:rsidRPr="00F76923">
              <w:rPr>
                <w:b/>
                <w:i/>
              </w:rPr>
              <w:t>3 sätestatud eesmärke, milleks on eelkõige noorkalade ja kudevate kalade kaitse.</w:t>
            </w:r>
          </w:p>
        </w:tc>
      </w:tr>
    </w:tbl>
    <w:p w:rsidR="00F42706" w:rsidRPr="00F76923" w:rsidRDefault="00F42706" w:rsidP="00F42706"/>
    <w:p w:rsidR="00F42706" w:rsidRPr="00F76923" w:rsidRDefault="00F42706" w:rsidP="002A1D61">
      <w:pPr>
        <w:pStyle w:val="AMNumberTabs"/>
        <w:keepNext/>
      </w:pPr>
      <w:r w:rsidRPr="00F76923">
        <w:lastRenderedPageBreak/>
        <w:t xml:space="preserve">Muudatusettepanek </w:t>
      </w:r>
      <w:r w:rsidRPr="00F76923">
        <w:tab/>
        <w:t>71</w:t>
      </w:r>
    </w:p>
    <w:p w:rsidR="00F42706" w:rsidRPr="00F76923" w:rsidRDefault="00F42706" w:rsidP="002A1D61">
      <w:pPr>
        <w:pStyle w:val="NormalBold12b"/>
        <w:keepNext/>
      </w:pPr>
      <w:r w:rsidRPr="00F76923">
        <w:t>Ettepanek võtta vastu määrus</w:t>
      </w:r>
    </w:p>
    <w:p w:rsidR="00F42706" w:rsidRPr="00F76923" w:rsidRDefault="00F42706" w:rsidP="002A1D61">
      <w:pPr>
        <w:pStyle w:val="NormalBold"/>
        <w:keepNext/>
      </w:pPr>
      <w:r w:rsidRPr="00F76923">
        <w:t>Artikkel 11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CB0D37">
        <w:trPr>
          <w:trHeight w:val="240"/>
          <w:jc w:val="center"/>
        </w:trPr>
        <w:tc>
          <w:tcPr>
            <w:tcW w:w="9752" w:type="dxa"/>
            <w:gridSpan w:val="2"/>
          </w:tcPr>
          <w:p w:rsidR="00F42706" w:rsidRPr="00F76923" w:rsidRDefault="00F42706" w:rsidP="002A1D61">
            <w:pPr>
              <w:keepNext/>
            </w:pPr>
          </w:p>
        </w:tc>
      </w:tr>
      <w:tr w:rsidR="00F42706" w:rsidRPr="00F76923" w:rsidTr="00CB0D37">
        <w:trPr>
          <w:trHeight w:val="240"/>
          <w:jc w:val="center"/>
        </w:trPr>
        <w:tc>
          <w:tcPr>
            <w:tcW w:w="4876" w:type="dxa"/>
            <w:hideMark/>
          </w:tcPr>
          <w:p w:rsidR="00F42706" w:rsidRPr="00F76923" w:rsidRDefault="00F42706" w:rsidP="002A1D61">
            <w:pPr>
              <w:pStyle w:val="ColumnHeading"/>
              <w:keepNext/>
            </w:pPr>
            <w:r w:rsidRPr="00F76923">
              <w:t>Komisjoni ettepanek</w:t>
            </w:r>
          </w:p>
        </w:tc>
        <w:tc>
          <w:tcPr>
            <w:tcW w:w="4876" w:type="dxa"/>
            <w:hideMark/>
          </w:tcPr>
          <w:p w:rsidR="00F42706" w:rsidRPr="00F76923" w:rsidRDefault="00F42706" w:rsidP="002A1D61">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jc w:val="center"/>
              <w:rPr>
                <w:b/>
                <w:bCs/>
                <w:i/>
                <w:iCs/>
              </w:rPr>
            </w:pPr>
            <w:r w:rsidRPr="00F76923">
              <w:rPr>
                <w:b/>
                <w:bCs/>
                <w:i/>
                <w:iCs/>
              </w:rPr>
              <w:t>Artikkel 11</w:t>
            </w:r>
            <w:r w:rsidR="00F42706" w:rsidRPr="00F76923">
              <w:rPr>
                <w:b/>
                <w:bCs/>
                <w:i/>
                <w:iCs/>
              </w:rPr>
              <w:t>a</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F42706" w:rsidP="00CB0D37">
            <w:pPr>
              <w:pStyle w:val="Normal6"/>
              <w:jc w:val="center"/>
              <w:rPr>
                <w:b/>
                <w:bCs/>
                <w:i/>
                <w:iCs/>
              </w:rPr>
            </w:pPr>
            <w:r w:rsidRPr="00F76923">
              <w:rPr>
                <w:b/>
                <w:bCs/>
                <w:i/>
                <w:iCs/>
              </w:rPr>
              <w:t>Tehnilised meetmed</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pPr>
            <w:r w:rsidRPr="00F76923">
              <w:rPr>
                <w:b/>
                <w:i/>
              </w:rPr>
              <w:t>1.</w:t>
            </w:r>
            <w:r w:rsidR="00F42706" w:rsidRPr="00F76923">
              <w:rPr>
                <w:b/>
                <w:i/>
              </w:rPr>
              <w:tab/>
              <w:t>Komisjonil on õigus võtta kooskõlas käesoleva määruse artikliga 18 ja määruse (EL) nr 1380/2013 artikliga 18 vastu delegeeritud õigusakte järgmiste tehniliste meetmete kohta:</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pPr>
            <w:r w:rsidRPr="00F76923">
              <w:rPr>
                <w:b/>
                <w:i/>
              </w:rPr>
              <w:t>a)</w:t>
            </w:r>
            <w:r w:rsidR="00F42706" w:rsidRPr="00F76923">
              <w:rPr>
                <w:b/>
                <w:i/>
              </w:rPr>
              <w:tab/>
              <w:t>püügivahendite omaduste spetsifikatsioonid ja nende kasutamise kord, et tagada või parandada selektiivsust, vähendada soovimatut püüki või minimeerida kahjulikku mõju ökosüsteemile;</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pPr>
            <w:r w:rsidRPr="00F76923">
              <w:rPr>
                <w:b/>
                <w:i/>
              </w:rPr>
              <w:t>b)</w:t>
            </w:r>
            <w:r w:rsidR="00F42706" w:rsidRPr="00F76923">
              <w:rPr>
                <w:b/>
                <w:i/>
              </w:rPr>
              <w:tab/>
              <w:t>püügivahendite muudatuste ja lisaseadmete spetsifikatsioonid, et tagada või parandada selektiivsust, vähendada soovimatut püüki või minimeerida kahjulikku mõju ökosüsteemile;</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pPr>
            <w:r w:rsidRPr="00F76923">
              <w:rPr>
                <w:b/>
                <w:i/>
              </w:rPr>
              <w:t>c)</w:t>
            </w:r>
            <w:r w:rsidR="00F42706" w:rsidRPr="00F76923">
              <w:rPr>
                <w:b/>
                <w:i/>
              </w:rPr>
              <w:tab/>
              <w:t xml:space="preserve">teatavate püügivahendite kasutamise ja püügitegevuse piiramine või keelamine teatavates piirkondades või teatavatel ajavahemikel, et kaitsta kudevaid kalu, </w:t>
            </w:r>
            <w:proofErr w:type="spellStart"/>
            <w:r w:rsidR="00F42706" w:rsidRPr="00F76923">
              <w:rPr>
                <w:b/>
                <w:i/>
              </w:rPr>
              <w:t>alamõõdulisi</w:t>
            </w:r>
            <w:proofErr w:type="spellEnd"/>
            <w:r w:rsidR="00F42706" w:rsidRPr="00F76923">
              <w:rPr>
                <w:b/>
                <w:i/>
              </w:rPr>
              <w:t xml:space="preserve"> kalu ja mittesihtliike või minimeerida kahjulikku mõju ökosüsteemile; ning</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pPr>
            <w:r w:rsidRPr="00F76923">
              <w:rPr>
                <w:b/>
                <w:i/>
              </w:rPr>
              <w:t>d)</w:t>
            </w:r>
            <w:r w:rsidR="00F42706" w:rsidRPr="00F76923">
              <w:rPr>
                <w:b/>
                <w:i/>
              </w:rPr>
              <w:tab/>
              <w:t>käesoleva määruse kohaldamisalasse kuuluvate kalavarude kaitseks alammõõtude kehtestamine, et tagada mereelustiku noorisendite kaitse.</w:t>
            </w:r>
          </w:p>
        </w:tc>
      </w:tr>
      <w:tr w:rsidR="00F42706" w:rsidRPr="00F76923" w:rsidTr="00CB0D37">
        <w:trPr>
          <w:jc w:val="center"/>
        </w:trPr>
        <w:tc>
          <w:tcPr>
            <w:tcW w:w="4876" w:type="dxa"/>
          </w:tcPr>
          <w:p w:rsidR="00F42706" w:rsidRPr="00F76923" w:rsidRDefault="00F42706" w:rsidP="00CB0D37">
            <w:pPr>
              <w:pStyle w:val="Normal6"/>
            </w:pPr>
          </w:p>
        </w:tc>
        <w:tc>
          <w:tcPr>
            <w:tcW w:w="4876" w:type="dxa"/>
            <w:hideMark/>
          </w:tcPr>
          <w:p w:rsidR="00F42706" w:rsidRPr="00F76923" w:rsidRDefault="002A1D61" w:rsidP="00CB0D37">
            <w:pPr>
              <w:pStyle w:val="Normal6"/>
            </w:pPr>
            <w:r w:rsidRPr="00F76923">
              <w:rPr>
                <w:b/>
                <w:i/>
              </w:rPr>
              <w:t>2.</w:t>
            </w:r>
            <w:r w:rsidR="00F42706" w:rsidRPr="00F76923">
              <w:rPr>
                <w:b/>
                <w:i/>
              </w:rPr>
              <w:tab/>
              <w:t>Käesoleva artikli lõikes 1 osutatud meetmed peavad aitama saavutada artiklis 3 sätestatud eesmärke.</w:t>
            </w:r>
          </w:p>
        </w:tc>
      </w:tr>
    </w:tbl>
    <w:p w:rsidR="00F42706" w:rsidRPr="00F76923" w:rsidRDefault="00F42706" w:rsidP="00F42706"/>
    <w:p w:rsidR="00197A04" w:rsidRPr="00F76923" w:rsidRDefault="00197A04" w:rsidP="00F76923">
      <w:pPr>
        <w:pStyle w:val="AMNumberTabs"/>
        <w:keepNext/>
      </w:pPr>
      <w:r w:rsidRPr="00F76923">
        <w:lastRenderedPageBreak/>
        <w:t>Muudatusettepanek</w:t>
      </w:r>
      <w:r w:rsidRPr="00F76923">
        <w:tab/>
      </w:r>
      <w:r w:rsidRPr="00F76923">
        <w:tab/>
        <w:t>97</w:t>
      </w:r>
    </w:p>
    <w:p w:rsidR="00197A04" w:rsidRPr="00F76923" w:rsidRDefault="00197A04" w:rsidP="00F76923">
      <w:pPr>
        <w:pStyle w:val="NormalBold"/>
        <w:keepNext/>
        <w:spacing w:before="240"/>
      </w:pPr>
      <w:r w:rsidRPr="00F76923">
        <w:t>Ettepanek võtta vastu määrus</w:t>
      </w:r>
    </w:p>
    <w:p w:rsidR="00197A04" w:rsidRPr="00F76923" w:rsidRDefault="00197A04" w:rsidP="00F76923">
      <w:pPr>
        <w:pStyle w:val="NormalBold"/>
        <w:keepNext/>
      </w:pPr>
      <w:r w:rsidRPr="00F76923">
        <w:t>Artikkel 12 – lõige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7A04" w:rsidRPr="00F76923" w:rsidTr="007717FA">
        <w:trPr>
          <w:jc w:val="center"/>
        </w:trPr>
        <w:tc>
          <w:tcPr>
            <w:tcW w:w="9752" w:type="dxa"/>
            <w:gridSpan w:val="2"/>
          </w:tcPr>
          <w:p w:rsidR="00197A04" w:rsidRPr="00F76923" w:rsidRDefault="00197A04" w:rsidP="007717FA">
            <w:pPr>
              <w:keepNext/>
            </w:pPr>
          </w:p>
        </w:tc>
      </w:tr>
      <w:tr w:rsidR="00197A04" w:rsidRPr="00F76923" w:rsidTr="007717FA">
        <w:trPr>
          <w:jc w:val="center"/>
        </w:trPr>
        <w:tc>
          <w:tcPr>
            <w:tcW w:w="4876" w:type="dxa"/>
          </w:tcPr>
          <w:p w:rsidR="00197A04" w:rsidRPr="00F76923" w:rsidRDefault="00197A04" w:rsidP="007717FA">
            <w:pPr>
              <w:pStyle w:val="ColumnHeading"/>
              <w:keepNext/>
            </w:pPr>
            <w:bookmarkStart w:id="10" w:name="DocEPTmp"/>
            <w:bookmarkEnd w:id="10"/>
            <w:r w:rsidRPr="00F76923">
              <w:t>Komisjoni ettepanek</w:t>
            </w:r>
            <w:bookmarkStart w:id="11" w:name="DocEPTmp2"/>
            <w:bookmarkEnd w:id="11"/>
          </w:p>
        </w:tc>
        <w:tc>
          <w:tcPr>
            <w:tcW w:w="4876" w:type="dxa"/>
          </w:tcPr>
          <w:p w:rsidR="00197A04" w:rsidRPr="00F76923" w:rsidRDefault="00197A04" w:rsidP="007717FA">
            <w:pPr>
              <w:pStyle w:val="ColumnHeading"/>
              <w:keepNext/>
            </w:pPr>
            <w:r w:rsidRPr="00F76923">
              <w:t>Muudatusettepanek</w:t>
            </w:r>
          </w:p>
        </w:tc>
      </w:tr>
      <w:tr w:rsidR="00197A04" w:rsidRPr="00F76923" w:rsidTr="007717FA">
        <w:trPr>
          <w:jc w:val="center"/>
        </w:trPr>
        <w:tc>
          <w:tcPr>
            <w:tcW w:w="4876" w:type="dxa"/>
          </w:tcPr>
          <w:p w:rsidR="00197A04" w:rsidRPr="00F76923" w:rsidRDefault="00197A04" w:rsidP="007717FA">
            <w:pPr>
              <w:pStyle w:val="Normal6"/>
            </w:pPr>
            <w:r w:rsidRPr="00F76923">
              <w:rPr>
                <w:szCs w:val="24"/>
              </w:rPr>
              <w:t>2.</w:t>
            </w:r>
            <w:r w:rsidRPr="00F76923">
              <w:rPr>
                <w:b/>
                <w:bCs/>
                <w:i/>
                <w:szCs w:val="24"/>
              </w:rPr>
              <w:tab/>
            </w:r>
            <w:r w:rsidRPr="00F76923">
              <w:rPr>
                <w:szCs w:val="24"/>
              </w:rPr>
              <w:t>Käesoleva artikli lõike 1 kohaldamiseks võivad otsese majandamishuviga liikmesriigid esitada määruse (EL) nr 1380/2013 artikli 18 lõike 1 kohaselt ühiseid soovitusi esimest korda hiljemalt 12 kuud pärast käesoleva määruse jõustumise kuupäeva ja seejärel iga kord 12 kuu jooksul pärast kava mõju hinnangu esitamist vastavalt artiklile 17. Asjaomased liikmesriigid võivad kõnealuseid soovitusi esitada ka juhul, kui nad seda vajalikuks peavad, eelkõige käesoleva määruse kohaldamisalasse kuuluvate varude olukorra järsu muutumise korral. Ühised soovitused konkreetseks kalendriaastaks kavandatud meetmete kohta tuleb esitada hiljemalt eelneva aasta 1. juuliks.</w:t>
            </w:r>
          </w:p>
        </w:tc>
        <w:tc>
          <w:tcPr>
            <w:tcW w:w="4876" w:type="dxa"/>
          </w:tcPr>
          <w:p w:rsidR="00197A04" w:rsidRPr="00F76923" w:rsidRDefault="00197A04" w:rsidP="007717FA">
            <w:pPr>
              <w:pStyle w:val="Normal6"/>
              <w:rPr>
                <w:szCs w:val="24"/>
              </w:rPr>
            </w:pPr>
            <w:r w:rsidRPr="00F76923">
              <w:rPr>
                <w:szCs w:val="24"/>
              </w:rPr>
              <w:t>2.</w:t>
            </w:r>
            <w:r w:rsidRPr="00F76923">
              <w:rPr>
                <w:szCs w:val="24"/>
              </w:rPr>
              <w:tab/>
              <w:t>Käesoleva artikli lõike 1 kohaldamiseks võivad otsese majandamishuviga liikmesriigid esitada määruse (EL) nr 1380/2013 artikli 18 lõike 1 kohaselt ühiseid soovitusi esimest korda hiljemalt 12 kuud pärast käesoleva määruse jõustumise kuupäeva ja seejärel iga kord 12 kuu jooksul pärast kava mõju hinnangu esitamist vastavalt artiklile 17. Asjaomased liikmesriigid võivad kõnealuseid soovitusi esitada ka juhul, kui nad seda vajalikuks peavad, eelkõige käesoleva määruse kohaldamisalasse kuuluvate varude olukorra järsu muutumise korral. Ühised soovitused konkreetseks kalendriaastaks kavandatud meetmete kohta tuleb esitada hiljemalt eelneva aasta 1. juuliks.</w:t>
            </w:r>
          </w:p>
        </w:tc>
      </w:tr>
      <w:tr w:rsidR="00197A04" w:rsidRPr="00F76923" w:rsidTr="007717FA">
        <w:trPr>
          <w:jc w:val="center"/>
        </w:trPr>
        <w:tc>
          <w:tcPr>
            <w:tcW w:w="4876" w:type="dxa"/>
          </w:tcPr>
          <w:p w:rsidR="00197A04" w:rsidRPr="00F76923" w:rsidRDefault="00197A04" w:rsidP="007717FA">
            <w:pPr>
              <w:pStyle w:val="Normal6"/>
              <w:rPr>
                <w:szCs w:val="24"/>
              </w:rPr>
            </w:pPr>
          </w:p>
        </w:tc>
        <w:tc>
          <w:tcPr>
            <w:tcW w:w="4876" w:type="dxa"/>
          </w:tcPr>
          <w:p w:rsidR="00197A04" w:rsidRPr="00F76923" w:rsidRDefault="00197A04" w:rsidP="007717FA">
            <w:pPr>
              <w:pStyle w:val="Normal6"/>
              <w:rPr>
                <w:b/>
                <w:i/>
                <w:szCs w:val="24"/>
              </w:rPr>
            </w:pPr>
            <w:r w:rsidRPr="00F76923">
              <w:rPr>
                <w:b/>
                <w:i/>
                <w:szCs w:val="24"/>
              </w:rPr>
              <w:t>Olenemata määruse (EL) nr 1380/2013 artikli 18 lõigetest 1 ja 3, võib komisjon delegeeritud õigusakte vastu võtta ka kõnealustes lõigetes nimetatud ühise soovituse puudumisel.</w:t>
            </w:r>
          </w:p>
        </w:tc>
      </w:tr>
    </w:tbl>
    <w:p w:rsidR="00197A04" w:rsidRPr="00F76923" w:rsidRDefault="00197A04" w:rsidP="00F42706"/>
    <w:p w:rsidR="00F42706" w:rsidRPr="00F76923" w:rsidRDefault="00F42706" w:rsidP="00F42706">
      <w:pPr>
        <w:pStyle w:val="AMNumberTabs"/>
        <w:keepNext/>
      </w:pPr>
      <w:r w:rsidRPr="00F76923">
        <w:t>Muudatusettepanek</w:t>
      </w:r>
      <w:r w:rsidRPr="00F76923">
        <w:tab/>
      </w:r>
      <w:r w:rsidRPr="00F76923">
        <w:tab/>
        <w:t>74</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Artikkel 17 – lõik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6" w:type="dxa"/>
          </w:tcPr>
          <w:p w:rsidR="00F42706" w:rsidRPr="00F76923" w:rsidRDefault="00F42706" w:rsidP="00CB0D37">
            <w:pPr>
              <w:pStyle w:val="ColumnHeading"/>
              <w:keepNext/>
            </w:pPr>
            <w:r w:rsidRPr="00F76923">
              <w:t>Komisjoni ettepanek</w:t>
            </w:r>
          </w:p>
        </w:tc>
        <w:tc>
          <w:tcPr>
            <w:tcW w:w="4876"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6" w:type="dxa"/>
          </w:tcPr>
          <w:p w:rsidR="00F42706" w:rsidRPr="00F76923" w:rsidRDefault="00F42706" w:rsidP="00CB0D37">
            <w:pPr>
              <w:pStyle w:val="Normal6"/>
            </w:pPr>
            <w:r w:rsidRPr="00F76923">
              <w:t xml:space="preserve">Hiljemalt </w:t>
            </w:r>
            <w:r w:rsidRPr="00F76923">
              <w:rPr>
                <w:b/>
                <w:i/>
              </w:rPr>
              <w:t>viis</w:t>
            </w:r>
            <w:r w:rsidRPr="00F76923">
              <w:t xml:space="preserve"> aastat pärast käesoleva määruse jõustumise kuupäeva ja seejärel iga viie aasta tagant hindab komisjon kava mõju käesoleva määruse kohaldamisalasse kuuluvatele kalavarudele ja nende varude püügile. Komisjon esitab hindamise tulemused Euroopa Parlamendile ja nõukogule.</w:t>
            </w:r>
          </w:p>
        </w:tc>
        <w:tc>
          <w:tcPr>
            <w:tcW w:w="4876" w:type="dxa"/>
          </w:tcPr>
          <w:p w:rsidR="00F42706" w:rsidRPr="00F76923" w:rsidRDefault="00F42706" w:rsidP="00CB0D37">
            <w:pPr>
              <w:pStyle w:val="Normal6"/>
            </w:pPr>
            <w:r w:rsidRPr="00F76923">
              <w:t xml:space="preserve">Hiljemalt </w:t>
            </w:r>
            <w:r w:rsidRPr="00F76923">
              <w:rPr>
                <w:b/>
                <w:i/>
              </w:rPr>
              <w:t>kolm</w:t>
            </w:r>
            <w:r w:rsidRPr="00F76923">
              <w:t xml:space="preserve"> aastat pärast käesoleva määruse jõustumise kuupäeva ja seejärel iga viie aasta tagant hindab komisjon kava mõju käesoleva määruse kohaldamisalasse kuuluvatele kalavarudele ja nende varude püügile</w:t>
            </w:r>
            <w:r w:rsidRPr="00F76923">
              <w:rPr>
                <w:b/>
                <w:i/>
              </w:rPr>
              <w:t xml:space="preserve"> ning käesoleva määruse eesmärkide täitmise ulatust, sealhulgas kalavarude taastumine maksimaalset jätkusuutlikku saagikust tagavast tasemest kõrgemale tasemele ning edusammud hea keskkonnaseisundi </w:t>
            </w:r>
            <w:r w:rsidRPr="00F76923">
              <w:rPr>
                <w:b/>
                <w:i/>
              </w:rPr>
              <w:lastRenderedPageBreak/>
              <w:t>saavutamise suunas</w:t>
            </w:r>
            <w:r w:rsidRPr="00F76923">
              <w:t xml:space="preserve">. Komisjon esitab hindamise tulemused Euroopa Parlamendile ja nõukogule. </w:t>
            </w:r>
            <w:r w:rsidRPr="00F76923">
              <w:rPr>
                <w:b/>
                <w:i/>
              </w:rPr>
              <w:t>Kui seda peetakse vajalikuks, võib komisjon aru anda varem.</w:t>
            </w:r>
            <w:r w:rsidRPr="00F76923">
              <w:t xml:space="preserve"> </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Komisjon esitab igal aastal Euroopa Parlamendile ja nõukogule aruande käesoleva määruse eesmärkide saavutamise edusammude ning käesoleva määruse kohaldamisalasse kuuluvate kalavarude olukorra kohta vetes niipea kui võimalik pärast seda, kui on vastu võetud iga-aastane määrus, millega määratakse kindlaks kalapüügivõimalused liidu vetes ja teatavates vetes väljaspool liitu. Asjaomane ar</w:t>
            </w:r>
            <w:r w:rsidR="002A1D61" w:rsidRPr="00F76923">
              <w:rPr>
                <w:b/>
                <w:i/>
              </w:rPr>
              <w:t>uanne lisatakse määruse (EL) nr 1380/2013 artiklis </w:t>
            </w:r>
            <w:r w:rsidRPr="00F76923">
              <w:rPr>
                <w:b/>
                <w:i/>
              </w:rPr>
              <w:t>50 osutatud aastaaruandele.</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42706" w:rsidP="00CB0D37">
            <w:pPr>
              <w:pStyle w:val="Normal6"/>
            </w:pPr>
            <w:r w:rsidRPr="00F76923">
              <w:rPr>
                <w:b/>
                <w:i/>
              </w:rPr>
              <w:t>Aruanne peab sisaldama järgmist:</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D7B20" w:rsidP="00CB0D37">
            <w:pPr>
              <w:pStyle w:val="Normal6"/>
            </w:pPr>
            <w:r w:rsidRPr="00F76923">
              <w:rPr>
                <w:b/>
                <w:i/>
              </w:rPr>
              <w:t>a</w:t>
            </w:r>
            <w:r w:rsidR="002A1D61" w:rsidRPr="00F76923">
              <w:rPr>
                <w:b/>
                <w:i/>
              </w:rPr>
              <w:t>)</w:t>
            </w:r>
            <w:r w:rsidR="00F42706" w:rsidRPr="00F76923">
              <w:rPr>
                <w:b/>
                <w:i/>
              </w:rPr>
              <w:tab/>
              <w:t>igakülgseid teaduslikke nõuandeid, mille alusel kalapüügivõimalused kindlaks määrati; ning</w:t>
            </w:r>
          </w:p>
        </w:tc>
      </w:tr>
      <w:tr w:rsidR="00F42706" w:rsidRPr="00F76923" w:rsidTr="00CB0D37">
        <w:trPr>
          <w:jc w:val="center"/>
        </w:trPr>
        <w:tc>
          <w:tcPr>
            <w:tcW w:w="4876" w:type="dxa"/>
          </w:tcPr>
          <w:p w:rsidR="00F42706" w:rsidRPr="00F76923" w:rsidRDefault="00F42706" w:rsidP="00CB0D37">
            <w:pPr>
              <w:pStyle w:val="Normal6"/>
            </w:pPr>
          </w:p>
        </w:tc>
        <w:tc>
          <w:tcPr>
            <w:tcW w:w="4876" w:type="dxa"/>
          </w:tcPr>
          <w:p w:rsidR="00F42706" w:rsidRPr="00F76923" w:rsidRDefault="00FD7B20" w:rsidP="00CB0D37">
            <w:pPr>
              <w:pStyle w:val="Normal6"/>
            </w:pPr>
            <w:r w:rsidRPr="00F76923">
              <w:rPr>
                <w:b/>
                <w:i/>
              </w:rPr>
              <w:t>b</w:t>
            </w:r>
            <w:r w:rsidR="002A1D61" w:rsidRPr="00F76923">
              <w:rPr>
                <w:b/>
                <w:i/>
              </w:rPr>
              <w:t>)</w:t>
            </w:r>
            <w:r w:rsidR="00F42706" w:rsidRPr="00F76923">
              <w:rPr>
                <w:b/>
                <w:i/>
              </w:rPr>
              <w:tab/>
              <w:t>teaduslikku põhjendust, millest nähtub, et kalapüügivõimalused määrati kindlaks kooskõlas käesoleva määruse eesmärkide ja sätetega ning eelkõige kalastussuremuse sihttasemetega.</w:t>
            </w:r>
          </w:p>
        </w:tc>
      </w:tr>
    </w:tbl>
    <w:p w:rsidR="00F42706" w:rsidRPr="00F76923" w:rsidRDefault="00F42706" w:rsidP="00F42706"/>
    <w:p w:rsidR="00F42706" w:rsidRPr="00F76923" w:rsidRDefault="00F42706" w:rsidP="00F42706">
      <w:pPr>
        <w:pStyle w:val="AMNumberTabs"/>
        <w:keepNext/>
      </w:pPr>
      <w:r w:rsidRPr="00F76923">
        <w:lastRenderedPageBreak/>
        <w:t>Muudatusettepanek</w:t>
      </w:r>
      <w:r w:rsidRPr="00F76923">
        <w:tab/>
      </w:r>
      <w:r w:rsidRPr="00F76923">
        <w:tab/>
        <w:t>75</w:t>
      </w:r>
    </w:p>
    <w:p w:rsidR="00F42706" w:rsidRPr="00F76923" w:rsidRDefault="00F42706" w:rsidP="00F42706">
      <w:pPr>
        <w:pStyle w:val="NormalBold12b"/>
        <w:keepNext/>
      </w:pPr>
      <w:r w:rsidRPr="00F76923">
        <w:t>Ettepanek võtta vastu määrus</w:t>
      </w:r>
    </w:p>
    <w:p w:rsidR="00F42706" w:rsidRPr="00F76923" w:rsidRDefault="00F42706" w:rsidP="00614498">
      <w:pPr>
        <w:pStyle w:val="NormalBold"/>
        <w:keepNext/>
      </w:pPr>
      <w:r w:rsidRPr="00F76923">
        <w:t>Artikkel 18 a (uus)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42706" w:rsidRPr="00F76923" w:rsidTr="00B23A35">
        <w:trPr>
          <w:jc w:val="center"/>
        </w:trPr>
        <w:tc>
          <w:tcPr>
            <w:tcW w:w="9752" w:type="dxa"/>
            <w:gridSpan w:val="2"/>
          </w:tcPr>
          <w:p w:rsidR="00F42706" w:rsidRPr="00F76923" w:rsidRDefault="00F42706" w:rsidP="009419F8">
            <w:pPr>
              <w:keepNext/>
            </w:pPr>
          </w:p>
        </w:tc>
      </w:tr>
      <w:tr w:rsidR="00F42706" w:rsidRPr="00F76923" w:rsidTr="00B23A35">
        <w:trPr>
          <w:jc w:val="center"/>
        </w:trPr>
        <w:tc>
          <w:tcPr>
            <w:tcW w:w="4876" w:type="dxa"/>
            <w:hideMark/>
          </w:tcPr>
          <w:p w:rsidR="00F42706" w:rsidRPr="00F76923" w:rsidRDefault="00F42706" w:rsidP="009419F8">
            <w:pPr>
              <w:pStyle w:val="ColumnHeading"/>
              <w:keepNext/>
            </w:pPr>
            <w:r w:rsidRPr="00F76923">
              <w:t>Komisjoni ettepanek</w:t>
            </w:r>
          </w:p>
        </w:tc>
        <w:tc>
          <w:tcPr>
            <w:tcW w:w="4876" w:type="dxa"/>
            <w:hideMark/>
          </w:tcPr>
          <w:p w:rsidR="00F42706" w:rsidRPr="00F76923" w:rsidRDefault="00F42706" w:rsidP="00807FC4">
            <w:pPr>
              <w:pStyle w:val="ColumnHeading"/>
              <w:keepNext/>
            </w:pPr>
            <w:r w:rsidRPr="00F76923">
              <w:t>Muudatusettepanek</w:t>
            </w:r>
          </w:p>
        </w:tc>
      </w:tr>
      <w:tr w:rsidR="00F42706" w:rsidRPr="00F76923" w:rsidTr="00B23A35">
        <w:trPr>
          <w:jc w:val="center"/>
        </w:trPr>
        <w:tc>
          <w:tcPr>
            <w:tcW w:w="4876" w:type="dxa"/>
          </w:tcPr>
          <w:p w:rsidR="00F42706" w:rsidRPr="00F76923" w:rsidRDefault="00F42706" w:rsidP="00614498">
            <w:pPr>
              <w:pStyle w:val="Normal6"/>
              <w:keepNext/>
            </w:pPr>
          </w:p>
        </w:tc>
        <w:tc>
          <w:tcPr>
            <w:tcW w:w="4876" w:type="dxa"/>
            <w:hideMark/>
          </w:tcPr>
          <w:p w:rsidR="00F42706" w:rsidRPr="00F76923" w:rsidRDefault="002A1D61" w:rsidP="00614498">
            <w:pPr>
              <w:pStyle w:val="Normal6"/>
              <w:keepNext/>
              <w:jc w:val="center"/>
            </w:pPr>
            <w:r w:rsidRPr="00F76923">
              <w:rPr>
                <w:b/>
                <w:i/>
              </w:rPr>
              <w:t>Artikkel 18</w:t>
            </w:r>
            <w:r w:rsidR="00F42706" w:rsidRPr="00F76923">
              <w:rPr>
                <w:b/>
                <w:i/>
              </w:rPr>
              <w:t>a</w:t>
            </w:r>
          </w:p>
        </w:tc>
      </w:tr>
      <w:tr w:rsidR="00F42706" w:rsidRPr="00F76923" w:rsidTr="00B23A35">
        <w:trPr>
          <w:jc w:val="center"/>
        </w:trPr>
        <w:tc>
          <w:tcPr>
            <w:tcW w:w="4876" w:type="dxa"/>
          </w:tcPr>
          <w:p w:rsidR="00F42706" w:rsidRPr="00F76923" w:rsidRDefault="00F42706" w:rsidP="00614498">
            <w:pPr>
              <w:pStyle w:val="Normal6"/>
              <w:keepNext/>
            </w:pPr>
          </w:p>
        </w:tc>
        <w:tc>
          <w:tcPr>
            <w:tcW w:w="4876" w:type="dxa"/>
            <w:hideMark/>
          </w:tcPr>
          <w:p w:rsidR="00F42706" w:rsidRPr="00F76923" w:rsidRDefault="00F42706" w:rsidP="00614498">
            <w:pPr>
              <w:pStyle w:val="Normal6"/>
              <w:keepNext/>
              <w:jc w:val="center"/>
            </w:pPr>
            <w:r w:rsidRPr="00F76923">
              <w:rPr>
                <w:b/>
                <w:i/>
              </w:rPr>
              <w:t>Euroopa Merendus- ja Kalandusfondist antav toetus</w:t>
            </w:r>
          </w:p>
        </w:tc>
      </w:tr>
      <w:tr w:rsidR="00F42706" w:rsidRPr="00F76923" w:rsidTr="00B23A35">
        <w:trPr>
          <w:jc w:val="center"/>
        </w:trPr>
        <w:tc>
          <w:tcPr>
            <w:tcW w:w="4876" w:type="dxa"/>
          </w:tcPr>
          <w:p w:rsidR="00F42706" w:rsidRPr="00F76923" w:rsidRDefault="00F42706" w:rsidP="00614498">
            <w:pPr>
              <w:pStyle w:val="Normal6"/>
              <w:keepNext/>
            </w:pPr>
          </w:p>
        </w:tc>
        <w:tc>
          <w:tcPr>
            <w:tcW w:w="4876" w:type="dxa"/>
            <w:hideMark/>
          </w:tcPr>
          <w:p w:rsidR="00F42706" w:rsidRPr="00F76923" w:rsidRDefault="00F42706" w:rsidP="00614498">
            <w:pPr>
              <w:pStyle w:val="Normal6"/>
              <w:keepNext/>
            </w:pPr>
            <w:r w:rsidRPr="00F76923">
              <w:rPr>
                <w:b/>
                <w:i/>
              </w:rPr>
              <w:t>Kava eesmärkide saavutamiseks võetud ajutisi peatamismeetmeid käsitatakse määruse (EL) nr 508/2</w:t>
            </w:r>
            <w:r w:rsidR="002A1D61" w:rsidRPr="00F76923">
              <w:rPr>
                <w:b/>
                <w:i/>
              </w:rPr>
              <w:t>014 artikli 33 lõike 1 punktide a ja </w:t>
            </w:r>
            <w:r w:rsidRPr="00F76923">
              <w:rPr>
                <w:b/>
                <w:i/>
              </w:rPr>
              <w:t>c kohaldamisel püügitegevuse ajutise peatamisena.</w:t>
            </w:r>
          </w:p>
        </w:tc>
      </w:tr>
    </w:tbl>
    <w:p w:rsidR="00B23A35" w:rsidRPr="00F76923" w:rsidRDefault="00B23A35" w:rsidP="00B23A35">
      <w:pPr>
        <w:pStyle w:val="CrossRef"/>
      </w:pPr>
      <w:r w:rsidRPr="00F76923">
        <w:t>(See artikkel tuleks lisada X peatükki.)</w:t>
      </w:r>
    </w:p>
    <w:p w:rsidR="00F42706" w:rsidRPr="00F76923" w:rsidRDefault="00F42706" w:rsidP="00F42706"/>
    <w:p w:rsidR="00A86701" w:rsidRPr="00F76923" w:rsidRDefault="00A86701" w:rsidP="00A86701">
      <w:pPr>
        <w:pStyle w:val="AMNumberTabs"/>
      </w:pPr>
      <w:r w:rsidRPr="00F76923">
        <w:t>Muudatusettepanek</w:t>
      </w:r>
      <w:r w:rsidRPr="00F76923">
        <w:tab/>
      </w:r>
      <w:r w:rsidRPr="00F76923">
        <w:tab/>
        <w:t>85</w:t>
      </w:r>
    </w:p>
    <w:p w:rsidR="00A86701" w:rsidRPr="00F76923" w:rsidRDefault="00A86701" w:rsidP="00D81010">
      <w:pPr>
        <w:pStyle w:val="NormalBold"/>
        <w:spacing w:before="240"/>
      </w:pPr>
      <w:r w:rsidRPr="00F76923">
        <w:t>Ettepanek võtta vastu määrus</w:t>
      </w:r>
    </w:p>
    <w:p w:rsidR="00A86701" w:rsidRPr="00F76923" w:rsidRDefault="00A86701" w:rsidP="00A86701">
      <w:pPr>
        <w:pStyle w:val="NormalBold"/>
        <w:spacing w:after="120"/>
      </w:pPr>
      <w:r w:rsidRPr="00F76923">
        <w:t>I lisa</w:t>
      </w:r>
    </w:p>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2977"/>
      </w:tblGrid>
      <w:tr w:rsidR="00A86701" w:rsidRPr="00F76923" w:rsidTr="007717FA">
        <w:tc>
          <w:tcPr>
            <w:tcW w:w="8075" w:type="dxa"/>
            <w:gridSpan w:val="3"/>
          </w:tcPr>
          <w:p w:rsidR="00A86701" w:rsidRPr="00F76923" w:rsidRDefault="00A86701" w:rsidP="007717FA">
            <w:pPr>
              <w:jc w:val="center"/>
            </w:pPr>
            <w:r w:rsidRPr="00F76923">
              <w:rPr>
                <w:i/>
              </w:rPr>
              <w:t>Komisjoni ettepanek</w:t>
            </w:r>
          </w:p>
        </w:tc>
      </w:tr>
      <w:tr w:rsidR="00A86701" w:rsidRPr="00F76923" w:rsidTr="007717FA">
        <w:tc>
          <w:tcPr>
            <w:tcW w:w="8075" w:type="dxa"/>
            <w:gridSpan w:val="3"/>
          </w:tcPr>
          <w:p w:rsidR="00A86701" w:rsidRPr="00F76923" w:rsidRDefault="00A86701" w:rsidP="007717FA">
            <w:pPr>
              <w:jc w:val="center"/>
            </w:pPr>
          </w:p>
        </w:tc>
      </w:tr>
      <w:tr w:rsidR="00A86701" w:rsidRPr="00F76923" w:rsidTr="007717FA">
        <w:tc>
          <w:tcPr>
            <w:tcW w:w="8075" w:type="dxa"/>
            <w:gridSpan w:val="3"/>
          </w:tcPr>
          <w:p w:rsidR="00A86701" w:rsidRPr="00F76923" w:rsidRDefault="00A86701" w:rsidP="007717FA">
            <w:r w:rsidRPr="00F76923">
              <w:t>1.</w:t>
            </w:r>
            <w:r w:rsidRPr="00F76923">
              <w:tab/>
              <w:t>1. rühm</w:t>
            </w:r>
          </w:p>
        </w:tc>
      </w:tr>
      <w:tr w:rsidR="00A86701" w:rsidRPr="00F76923" w:rsidTr="007717FA">
        <w:tc>
          <w:tcPr>
            <w:tcW w:w="2689" w:type="dxa"/>
            <w:tcBorders>
              <w:bottom w:val="single" w:sz="4" w:space="0" w:color="auto"/>
            </w:tcBorders>
          </w:tcPr>
          <w:p w:rsidR="00A86701" w:rsidRPr="00F76923" w:rsidRDefault="00A86701" w:rsidP="007717FA">
            <w:pPr>
              <w:rPr>
                <w:b/>
                <w:i/>
              </w:rPr>
            </w:pPr>
          </w:p>
        </w:tc>
        <w:tc>
          <w:tcPr>
            <w:tcW w:w="5386" w:type="dxa"/>
            <w:gridSpan w:val="2"/>
            <w:tcBorders>
              <w:bottom w:val="single" w:sz="4" w:space="0" w:color="auto"/>
            </w:tcBorders>
          </w:tcPr>
          <w:p w:rsidR="00A86701" w:rsidRPr="00F76923" w:rsidRDefault="00A86701" w:rsidP="007717FA">
            <w:pPr>
              <w:rPr>
                <w:b/>
                <w:i/>
              </w:rPr>
            </w:pPr>
          </w:p>
        </w:tc>
      </w:tr>
      <w:tr w:rsidR="00A86701" w:rsidRPr="00F76923" w:rsidTr="007717FA">
        <w:tc>
          <w:tcPr>
            <w:tcW w:w="2689" w:type="dxa"/>
            <w:vMerge w:val="restart"/>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Kalavaru</w:t>
            </w:r>
          </w:p>
        </w:tc>
        <w:tc>
          <w:tcPr>
            <w:tcW w:w="5386" w:type="dxa"/>
            <w:gridSpan w:val="2"/>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Maksimaalse jätkusuutliku saagikuse saavutamisele vastavad kalastussuremuse sihttasemete vahemikud (F</w:t>
            </w:r>
            <w:r w:rsidRPr="00F76923">
              <w:rPr>
                <w:vertAlign w:val="subscript"/>
              </w:rPr>
              <w:t>MSY</w:t>
            </w:r>
            <w:r w:rsidRPr="00F76923">
              <w:t>)</w:t>
            </w:r>
          </w:p>
        </w:tc>
      </w:tr>
      <w:tr w:rsidR="00A86701" w:rsidRPr="00F76923" w:rsidTr="007717FA">
        <w:tc>
          <w:tcPr>
            <w:tcW w:w="2689" w:type="dxa"/>
            <w:vMerge/>
            <w:tcBorders>
              <w:top w:val="single" w:sz="4" w:space="0" w:color="auto"/>
              <w:left w:val="single" w:sz="4" w:space="0" w:color="auto"/>
              <w:bottom w:val="single" w:sz="4" w:space="0" w:color="auto"/>
              <w:right w:val="single" w:sz="4" w:space="0" w:color="auto"/>
            </w:tcBorders>
          </w:tcPr>
          <w:p w:rsidR="00A86701" w:rsidRPr="00F76923" w:rsidRDefault="00A86701" w:rsidP="007717FA"/>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Veerg A</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Veerg B</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Põhjamere</w:t>
            </w:r>
            <w:r w:rsidRPr="00F76923">
              <w:t xml:space="preserve"> tursk</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0,22 – 0,33</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0,33 – 0,49</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Kilttursk</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0,25 – 0,37</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0,37 – 0,52</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Põhjamere</w:t>
            </w:r>
            <w:r w:rsidRPr="00F76923">
              <w:t xml:space="preserve"> merilest</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0,13 – 0,19</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0,19 – 0,27</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Põhjaatlandi süsikas</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0,20 – 0,32</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0,32 – 0,43</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Põhjamere</w:t>
            </w:r>
            <w:r w:rsidRPr="00F76923">
              <w:t xml:space="preserve"> harilik merikeel</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0,11 – 0,20</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0,20 – 0,37</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Kattegati</w:t>
            </w:r>
            <w:r w:rsidRPr="00F76923">
              <w:t xml:space="preserve"> harilik merikeel</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0,19 – 0,22</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0,22 – 0,26</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Põhjamere</w:t>
            </w:r>
            <w:r w:rsidRPr="00F76923">
              <w:t xml:space="preserve"> merlang</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ei ole määratud</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ei ole määratud</w:t>
            </w:r>
          </w:p>
        </w:tc>
      </w:tr>
      <w:tr w:rsidR="00A86701" w:rsidRPr="00F76923" w:rsidTr="007717FA">
        <w:tc>
          <w:tcPr>
            <w:tcW w:w="8075" w:type="dxa"/>
            <w:gridSpan w:val="3"/>
          </w:tcPr>
          <w:p w:rsidR="00A86701" w:rsidRPr="00F76923" w:rsidRDefault="00A86701" w:rsidP="007717FA">
            <w:pPr>
              <w:rPr>
                <w:b/>
                <w:i/>
              </w:rPr>
            </w:pPr>
          </w:p>
        </w:tc>
      </w:tr>
      <w:tr w:rsidR="00A86701" w:rsidRPr="00F76923" w:rsidTr="007717FA">
        <w:tc>
          <w:tcPr>
            <w:tcW w:w="8075" w:type="dxa"/>
            <w:gridSpan w:val="3"/>
          </w:tcPr>
          <w:p w:rsidR="00A86701" w:rsidRPr="00F76923" w:rsidRDefault="00A86701" w:rsidP="007717FA">
            <w:r w:rsidRPr="00F76923">
              <w:t>2.</w:t>
            </w:r>
            <w:r w:rsidRPr="00F76923">
              <w:tab/>
              <w:t>2. rühm</w:t>
            </w:r>
          </w:p>
        </w:tc>
      </w:tr>
      <w:tr w:rsidR="00A86701" w:rsidRPr="00F76923" w:rsidTr="007717FA">
        <w:tc>
          <w:tcPr>
            <w:tcW w:w="2689" w:type="dxa"/>
            <w:tcBorders>
              <w:bottom w:val="single" w:sz="4" w:space="0" w:color="auto"/>
            </w:tcBorders>
          </w:tcPr>
          <w:p w:rsidR="00A86701" w:rsidRPr="00F76923" w:rsidRDefault="00A86701" w:rsidP="007717FA">
            <w:pPr>
              <w:rPr>
                <w:b/>
                <w:i/>
              </w:rPr>
            </w:pPr>
          </w:p>
        </w:tc>
        <w:tc>
          <w:tcPr>
            <w:tcW w:w="5386" w:type="dxa"/>
            <w:gridSpan w:val="2"/>
            <w:tcBorders>
              <w:bottom w:val="single" w:sz="4" w:space="0" w:color="auto"/>
            </w:tcBorders>
          </w:tcPr>
          <w:p w:rsidR="00A86701" w:rsidRPr="00F76923" w:rsidRDefault="00A86701" w:rsidP="007717FA">
            <w:pPr>
              <w:rPr>
                <w:b/>
                <w:i/>
              </w:rPr>
            </w:pPr>
          </w:p>
        </w:tc>
      </w:tr>
      <w:tr w:rsidR="00A86701" w:rsidRPr="00F76923" w:rsidTr="007717FA">
        <w:tc>
          <w:tcPr>
            <w:tcW w:w="2689" w:type="dxa"/>
            <w:vMerge w:val="restart"/>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Norra salehomaari funktsionaalne üksus (FÜ)</w:t>
            </w:r>
          </w:p>
        </w:tc>
        <w:tc>
          <w:tcPr>
            <w:tcW w:w="5386" w:type="dxa"/>
            <w:gridSpan w:val="2"/>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Maksimaalse jätkusuutliku saagikuse saavutamisele vastavad kalastussuremuse sihttasemete vahemikud (F</w:t>
            </w:r>
            <w:r w:rsidRPr="00F76923">
              <w:rPr>
                <w:vertAlign w:val="subscript"/>
              </w:rPr>
              <w:t>MSY</w:t>
            </w:r>
            <w:r w:rsidRPr="00F76923">
              <w:t>) (püügimäärana)</w:t>
            </w:r>
          </w:p>
        </w:tc>
      </w:tr>
      <w:tr w:rsidR="00A86701" w:rsidRPr="00F76923" w:rsidTr="007717FA">
        <w:tc>
          <w:tcPr>
            <w:tcW w:w="2689" w:type="dxa"/>
            <w:vMerge/>
            <w:tcBorders>
              <w:top w:val="single" w:sz="4" w:space="0" w:color="auto"/>
              <w:left w:val="single" w:sz="4" w:space="0" w:color="auto"/>
              <w:bottom w:val="single" w:sz="4" w:space="0" w:color="auto"/>
              <w:right w:val="single" w:sz="4" w:space="0" w:color="auto"/>
            </w:tcBorders>
          </w:tcPr>
          <w:p w:rsidR="00A86701" w:rsidRPr="00F76923" w:rsidRDefault="00A86701" w:rsidP="007717FA"/>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t>Veerg A</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Veerg B</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t>IIIa</w:t>
            </w:r>
            <w:proofErr w:type="spellEnd"/>
            <w:r w:rsidRPr="00F76923">
              <w:t xml:space="preserve"> rajoon (FÜ 3 ja 4)</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0,056 – 0,079</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0,079 – 0,079</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t>Farne’i</w:t>
            </w:r>
            <w:proofErr w:type="spellEnd"/>
            <w:r w:rsidRPr="00F76923">
              <w:t xml:space="preserve"> sügavik (FÜ 6)</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0,07 – 0,081</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0,081 – 0,081</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lastRenderedPageBreak/>
              <w:t>Fladen</w:t>
            </w:r>
            <w:proofErr w:type="spellEnd"/>
            <w:r w:rsidRPr="00F76923">
              <w:t xml:space="preserve"> </w:t>
            </w:r>
            <w:proofErr w:type="spellStart"/>
            <w:r w:rsidRPr="00F76923">
              <w:t>Ground</w:t>
            </w:r>
            <w:proofErr w:type="spellEnd"/>
            <w:r w:rsidRPr="00F76923">
              <w:t xml:space="preserve"> (FÜ 7)</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0,066 – 0,075</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0,075 – 0,075</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t>Firth</w:t>
            </w:r>
            <w:proofErr w:type="spellEnd"/>
            <w:r w:rsidRPr="00F76923">
              <w:t xml:space="preserve"> of </w:t>
            </w:r>
            <w:proofErr w:type="spellStart"/>
            <w:r w:rsidRPr="00F76923">
              <w:t>Forth</w:t>
            </w:r>
            <w:proofErr w:type="spellEnd"/>
            <w:r w:rsidRPr="00F76923">
              <w:t xml:space="preserve"> (FÜ 8)</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0,106 – 0,163</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0,163 – 0,163</w:t>
            </w:r>
          </w:p>
        </w:tc>
      </w:tr>
      <w:tr w:rsidR="00A86701" w:rsidRPr="00F76923" w:rsidTr="007717FA">
        <w:tc>
          <w:tcPr>
            <w:tcW w:w="2689"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t>Moray</w:t>
            </w:r>
            <w:proofErr w:type="spellEnd"/>
            <w:r w:rsidRPr="00F76923">
              <w:t xml:space="preserve"> </w:t>
            </w:r>
            <w:proofErr w:type="spellStart"/>
            <w:r w:rsidRPr="00F76923">
              <w:t>Firth</w:t>
            </w:r>
            <w:proofErr w:type="spellEnd"/>
            <w:r w:rsidRPr="00F76923">
              <w:t xml:space="preserve"> (FÜ 9)</w:t>
            </w:r>
          </w:p>
        </w:tc>
        <w:tc>
          <w:tcPr>
            <w:tcW w:w="2409"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0,091 – 0,118</w:t>
            </w:r>
          </w:p>
        </w:tc>
        <w:tc>
          <w:tcPr>
            <w:tcW w:w="2977"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0,118 – 0,118</w:t>
            </w:r>
          </w:p>
        </w:tc>
      </w:tr>
    </w:tbl>
    <w:p w:rsidR="00A86701" w:rsidRPr="00F76923" w:rsidRDefault="00A86701" w:rsidP="00A86701">
      <w:pPr>
        <w:jc w:val="center"/>
      </w:pPr>
    </w:p>
    <w:p w:rsidR="00A86701" w:rsidRPr="00F76923" w:rsidRDefault="00A86701" w:rsidP="00A86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86701" w:rsidRPr="00F76923" w:rsidTr="007717FA">
        <w:tc>
          <w:tcPr>
            <w:tcW w:w="9016" w:type="dxa"/>
            <w:gridSpan w:val="3"/>
          </w:tcPr>
          <w:p w:rsidR="00A86701" w:rsidRPr="00F76923" w:rsidRDefault="00A86701" w:rsidP="007717FA">
            <w:pPr>
              <w:jc w:val="center"/>
            </w:pPr>
            <w:r w:rsidRPr="00F76923">
              <w:rPr>
                <w:i/>
              </w:rPr>
              <w:t>Muudatusettepanek</w:t>
            </w:r>
          </w:p>
        </w:tc>
      </w:tr>
      <w:tr w:rsidR="00A86701" w:rsidRPr="00F76923" w:rsidTr="007717FA">
        <w:tc>
          <w:tcPr>
            <w:tcW w:w="9016" w:type="dxa"/>
            <w:gridSpan w:val="3"/>
          </w:tcPr>
          <w:p w:rsidR="00A86701" w:rsidRPr="00F76923" w:rsidRDefault="00A86701" w:rsidP="007717FA">
            <w:pPr>
              <w:jc w:val="center"/>
              <w:rPr>
                <w:b/>
                <w:i/>
              </w:rPr>
            </w:pPr>
          </w:p>
        </w:tc>
      </w:tr>
      <w:tr w:rsidR="00A86701" w:rsidRPr="00F76923" w:rsidTr="007717FA">
        <w:tc>
          <w:tcPr>
            <w:tcW w:w="9016" w:type="dxa"/>
            <w:gridSpan w:val="3"/>
          </w:tcPr>
          <w:p w:rsidR="00A86701" w:rsidRPr="00F76923" w:rsidRDefault="00A86701" w:rsidP="007717FA">
            <w:r w:rsidRPr="00F76923">
              <w:t>1. 1. rühm</w:t>
            </w:r>
          </w:p>
        </w:tc>
      </w:tr>
      <w:tr w:rsidR="00A86701" w:rsidRPr="00F76923" w:rsidTr="007717FA">
        <w:tc>
          <w:tcPr>
            <w:tcW w:w="3005" w:type="dxa"/>
            <w:tcBorders>
              <w:bottom w:val="single" w:sz="4" w:space="0" w:color="auto"/>
            </w:tcBorders>
          </w:tcPr>
          <w:p w:rsidR="00A86701" w:rsidRPr="00F76923" w:rsidRDefault="00A86701" w:rsidP="007717FA">
            <w:pPr>
              <w:rPr>
                <w:b/>
                <w:i/>
              </w:rPr>
            </w:pPr>
          </w:p>
        </w:tc>
        <w:tc>
          <w:tcPr>
            <w:tcW w:w="6011" w:type="dxa"/>
            <w:gridSpan w:val="2"/>
            <w:tcBorders>
              <w:bottom w:val="single" w:sz="4" w:space="0" w:color="auto"/>
            </w:tcBorders>
          </w:tcPr>
          <w:p w:rsidR="00A86701" w:rsidRPr="00F76923" w:rsidRDefault="00A86701" w:rsidP="007717FA">
            <w:pPr>
              <w:rPr>
                <w:b/>
                <w:i/>
              </w:rPr>
            </w:pPr>
          </w:p>
        </w:tc>
      </w:tr>
      <w:tr w:rsidR="00A86701" w:rsidRPr="00F76923" w:rsidTr="007717FA">
        <w:tc>
          <w:tcPr>
            <w:tcW w:w="9016" w:type="dxa"/>
            <w:gridSpan w:val="3"/>
            <w:tcBorders>
              <w:top w:val="single" w:sz="4" w:space="0" w:color="auto"/>
              <w:left w:val="single" w:sz="4" w:space="0" w:color="auto"/>
              <w:bottom w:val="single" w:sz="4" w:space="0" w:color="auto"/>
              <w:right w:val="single" w:sz="4" w:space="0" w:color="auto"/>
            </w:tcBorders>
          </w:tcPr>
          <w:p w:rsidR="00A86701" w:rsidRPr="00F76923" w:rsidRDefault="00A86701" w:rsidP="007717FA">
            <w:pPr>
              <w:rPr>
                <w:b/>
                <w:i/>
              </w:rPr>
            </w:pPr>
            <w:r w:rsidRPr="00F76923">
              <w:rPr>
                <w:b/>
                <w:i/>
              </w:rPr>
              <w:t xml:space="preserve">Tabelis toodud väärtused vastavad eritaotlusel esitatud </w:t>
            </w:r>
            <w:proofErr w:type="spellStart"/>
            <w:r w:rsidRPr="00F76923">
              <w:rPr>
                <w:b/>
                <w:i/>
              </w:rPr>
              <w:t>uusimatele</w:t>
            </w:r>
            <w:proofErr w:type="spellEnd"/>
            <w:r w:rsidRPr="00F76923">
              <w:rPr>
                <w:b/>
                <w:i/>
              </w:rPr>
              <w:t xml:space="preserve"> </w:t>
            </w:r>
            <w:proofErr w:type="spellStart"/>
            <w:r w:rsidRPr="00F76923">
              <w:rPr>
                <w:b/>
                <w:i/>
              </w:rPr>
              <w:t>ICESi</w:t>
            </w:r>
            <w:proofErr w:type="spellEnd"/>
            <w:r w:rsidRPr="00F76923">
              <w:rPr>
                <w:b/>
                <w:i/>
              </w:rPr>
              <w:t xml:space="preserve"> nõuannetele „EU </w:t>
            </w:r>
            <w:proofErr w:type="spellStart"/>
            <w:r w:rsidRPr="00F76923">
              <w:rPr>
                <w:b/>
                <w:i/>
              </w:rPr>
              <w:t>request</w:t>
            </w:r>
            <w:proofErr w:type="spellEnd"/>
            <w:r w:rsidRPr="00F76923">
              <w:rPr>
                <w:b/>
                <w:i/>
              </w:rPr>
              <w:t xml:space="preserve"> </w:t>
            </w:r>
            <w:proofErr w:type="spellStart"/>
            <w:r w:rsidRPr="00F76923">
              <w:rPr>
                <w:b/>
                <w:i/>
              </w:rPr>
              <w:t>to</w:t>
            </w:r>
            <w:proofErr w:type="spellEnd"/>
            <w:r w:rsidRPr="00F76923">
              <w:rPr>
                <w:b/>
                <w:i/>
              </w:rPr>
              <w:t xml:space="preserve"> ICES </w:t>
            </w:r>
            <w:proofErr w:type="spellStart"/>
            <w:r w:rsidRPr="00F76923">
              <w:rPr>
                <w:b/>
                <w:i/>
              </w:rPr>
              <w:t>to</w:t>
            </w:r>
            <w:proofErr w:type="spellEnd"/>
            <w:r w:rsidRPr="00F76923">
              <w:rPr>
                <w:b/>
                <w:i/>
              </w:rPr>
              <w:t xml:space="preserve"> </w:t>
            </w:r>
            <w:proofErr w:type="spellStart"/>
            <w:r w:rsidRPr="00F76923">
              <w:rPr>
                <w:b/>
                <w:i/>
              </w:rPr>
              <w:t>provide</w:t>
            </w:r>
            <w:proofErr w:type="spellEnd"/>
            <w:r w:rsidRPr="00F76923">
              <w:rPr>
                <w:b/>
                <w:i/>
              </w:rPr>
              <w:t xml:space="preserve"> F</w:t>
            </w:r>
            <w:r w:rsidRPr="00F76923">
              <w:rPr>
                <w:b/>
                <w:i/>
                <w:vertAlign w:val="subscript"/>
              </w:rPr>
              <w:t>MSY</w:t>
            </w:r>
            <w:r w:rsidRPr="00F76923">
              <w:rPr>
                <w:b/>
                <w:i/>
              </w:rPr>
              <w:t xml:space="preserve"> ranges </w:t>
            </w:r>
            <w:proofErr w:type="spellStart"/>
            <w:r w:rsidRPr="00F76923">
              <w:rPr>
                <w:b/>
                <w:i/>
              </w:rPr>
              <w:t>for</w:t>
            </w:r>
            <w:proofErr w:type="spellEnd"/>
            <w:r w:rsidRPr="00F76923">
              <w:rPr>
                <w:b/>
                <w:i/>
              </w:rPr>
              <w:t xml:space="preserve"> </w:t>
            </w:r>
            <w:proofErr w:type="spellStart"/>
            <w:r w:rsidRPr="00F76923">
              <w:rPr>
                <w:b/>
                <w:i/>
              </w:rPr>
              <w:t>selected</w:t>
            </w:r>
            <w:proofErr w:type="spellEnd"/>
            <w:r w:rsidRPr="00F76923">
              <w:rPr>
                <w:b/>
                <w:i/>
              </w:rPr>
              <w:t xml:space="preserve"> </w:t>
            </w:r>
            <w:proofErr w:type="spellStart"/>
            <w:r w:rsidRPr="00F76923">
              <w:rPr>
                <w:b/>
                <w:i/>
              </w:rPr>
              <w:t>North</w:t>
            </w:r>
            <w:proofErr w:type="spellEnd"/>
            <w:r w:rsidRPr="00F76923">
              <w:rPr>
                <w:b/>
                <w:i/>
              </w:rPr>
              <w:t xml:space="preserve"> Sea and Baltic Sea </w:t>
            </w:r>
            <w:proofErr w:type="spellStart"/>
            <w:r w:rsidRPr="00F76923">
              <w:rPr>
                <w:b/>
                <w:i/>
              </w:rPr>
              <w:t>stocks</w:t>
            </w:r>
            <w:proofErr w:type="spellEnd"/>
            <w:r w:rsidRPr="00F76923">
              <w:rPr>
                <w:b/>
                <w:i/>
              </w:rPr>
              <w:t>“.</w:t>
            </w:r>
          </w:p>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KALAVARU</w:t>
            </w:r>
          </w:p>
        </w:tc>
        <w:tc>
          <w:tcPr>
            <w:tcW w:w="6011" w:type="dxa"/>
            <w:gridSpan w:val="2"/>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Maksimaalse jätkusuutliku saagikuse saavutamisele vastavad kalastussuremuse sihttasemete vahemikud (F</w:t>
            </w:r>
            <w:r w:rsidRPr="00F76923">
              <w:rPr>
                <w:vertAlign w:val="subscript"/>
              </w:rPr>
              <w:t>MSY</w:t>
            </w:r>
            <w:r w:rsidRPr="00F76923">
              <w:t>)</w:t>
            </w:r>
          </w:p>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IV alapiirkonna ning </w:t>
            </w:r>
            <w:proofErr w:type="spellStart"/>
            <w:r w:rsidRPr="00F76923">
              <w:rPr>
                <w:b/>
                <w:i/>
              </w:rPr>
              <w:t>VIId</w:t>
            </w:r>
            <w:proofErr w:type="spellEnd"/>
            <w:r w:rsidRPr="00F76923">
              <w:rPr>
                <w:b/>
                <w:i/>
              </w:rPr>
              <w:t xml:space="preserve"> ja </w:t>
            </w:r>
            <w:proofErr w:type="spellStart"/>
            <w:r w:rsidRPr="00F76923">
              <w:rPr>
                <w:b/>
                <w:i/>
              </w:rPr>
              <w:t>IIIa</w:t>
            </w:r>
            <w:proofErr w:type="spellEnd"/>
            <w:r w:rsidRPr="00F76923">
              <w:rPr>
                <w:b/>
                <w:i/>
              </w:rPr>
              <w:t xml:space="preserve"> läänepoolse rajooni</w:t>
            </w:r>
            <w:r w:rsidRPr="00F76923">
              <w:t xml:space="preserve"> tursk</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IV alapiirkonna ning </w:t>
            </w:r>
            <w:proofErr w:type="spellStart"/>
            <w:r w:rsidRPr="00F76923">
              <w:rPr>
                <w:b/>
                <w:i/>
              </w:rPr>
              <w:t>VIa</w:t>
            </w:r>
            <w:proofErr w:type="spellEnd"/>
            <w:r w:rsidRPr="00F76923">
              <w:rPr>
                <w:b/>
                <w:i/>
              </w:rPr>
              <w:t xml:space="preserve"> ja </w:t>
            </w:r>
            <w:proofErr w:type="spellStart"/>
            <w:r w:rsidRPr="00F76923">
              <w:rPr>
                <w:b/>
                <w:i/>
              </w:rPr>
              <w:t>IIIa</w:t>
            </w:r>
            <w:proofErr w:type="spellEnd"/>
            <w:r w:rsidRPr="00F76923">
              <w:rPr>
                <w:b/>
                <w:i/>
              </w:rPr>
              <w:t xml:space="preserve"> läänepoolse rajooni</w:t>
            </w:r>
            <w:r w:rsidRPr="00F76923">
              <w:t xml:space="preserve"> kilttursk</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IV alapiirkonna ja </w:t>
            </w:r>
            <w:proofErr w:type="spellStart"/>
            <w:r w:rsidRPr="00F76923">
              <w:rPr>
                <w:b/>
                <w:i/>
              </w:rPr>
              <w:t>IIIa</w:t>
            </w:r>
            <w:proofErr w:type="spellEnd"/>
            <w:r w:rsidRPr="00F76923">
              <w:rPr>
                <w:b/>
                <w:i/>
              </w:rPr>
              <w:t xml:space="preserve"> rajooni</w:t>
            </w:r>
            <w:r w:rsidRPr="00F76923">
              <w:t xml:space="preserve"> merilest</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IV ja VI alapiirkonna ning </w:t>
            </w:r>
            <w:proofErr w:type="spellStart"/>
            <w:r w:rsidRPr="00F76923">
              <w:rPr>
                <w:b/>
                <w:i/>
              </w:rPr>
              <w:t>IIIa</w:t>
            </w:r>
            <w:proofErr w:type="spellEnd"/>
            <w:r w:rsidRPr="00F76923">
              <w:rPr>
                <w:b/>
                <w:i/>
              </w:rPr>
              <w:t xml:space="preserve"> rajooni</w:t>
            </w:r>
            <w:r w:rsidRPr="00F76923">
              <w:t xml:space="preserve"> põhjaatlandi süsikas</w:t>
            </w:r>
            <w:r w:rsidRPr="00F76923">
              <w:rPr>
                <w:b/>
                <w:i/>
              </w:rPr>
              <w:t xml:space="preserve"> </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IV alapiirkonna</w:t>
            </w:r>
            <w:r w:rsidRPr="00F76923">
              <w:t xml:space="preserve"> harilik merikeel</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rPr>
                <w:b/>
                <w:i/>
              </w:rPr>
              <w:t>IIIa</w:t>
            </w:r>
            <w:proofErr w:type="spellEnd"/>
            <w:r w:rsidRPr="00F76923">
              <w:rPr>
                <w:b/>
                <w:i/>
              </w:rPr>
              <w:t xml:space="preserve"> rajooni ja alarajoonide 22–24</w:t>
            </w:r>
            <w:r w:rsidRPr="00F76923">
              <w:t xml:space="preserve"> harilik merikeel</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IV alapiirkonna ja </w:t>
            </w:r>
            <w:proofErr w:type="spellStart"/>
            <w:r w:rsidRPr="00F76923">
              <w:rPr>
                <w:b/>
                <w:i/>
              </w:rPr>
              <w:t>VIId</w:t>
            </w:r>
            <w:proofErr w:type="spellEnd"/>
            <w:r w:rsidRPr="00F76923">
              <w:rPr>
                <w:b/>
                <w:i/>
              </w:rPr>
              <w:t xml:space="preserve"> rajooni</w:t>
            </w:r>
            <w:r w:rsidRPr="00F76923">
              <w:t xml:space="preserve"> merlang</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rPr>
                <w:b/>
                <w:i/>
              </w:rPr>
              <w:t>IIIa</w:t>
            </w:r>
            <w:proofErr w:type="spellEnd"/>
            <w:r w:rsidRPr="00F76923">
              <w:rPr>
                <w:b/>
                <w:i/>
              </w:rPr>
              <w:t xml:space="preserve"> rajooni ning IV ja VI alapiirkonna euroopa merikurat</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roofErr w:type="spellStart"/>
            <w:r w:rsidRPr="00F76923">
              <w:rPr>
                <w:b/>
                <w:i/>
              </w:rPr>
              <w:t>IVa</w:t>
            </w:r>
            <w:proofErr w:type="spellEnd"/>
            <w:r w:rsidRPr="00F76923">
              <w:rPr>
                <w:b/>
                <w:i/>
              </w:rPr>
              <w:t xml:space="preserve"> rajooni idaosa ja </w:t>
            </w:r>
            <w:proofErr w:type="spellStart"/>
            <w:r w:rsidRPr="00F76923">
              <w:rPr>
                <w:b/>
                <w:i/>
              </w:rPr>
              <w:t>IIIa</w:t>
            </w:r>
            <w:proofErr w:type="spellEnd"/>
            <w:r w:rsidRPr="00F76923">
              <w:rPr>
                <w:b/>
                <w:i/>
              </w:rPr>
              <w:t xml:space="preserve"> rajooni harilik süvameregarneel</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9016" w:type="dxa"/>
            <w:gridSpan w:val="3"/>
            <w:tcBorders>
              <w:top w:val="single" w:sz="4" w:space="0" w:color="auto"/>
            </w:tcBorders>
          </w:tcPr>
          <w:p w:rsidR="00A86701" w:rsidRPr="00F76923" w:rsidRDefault="00A86701" w:rsidP="007717FA"/>
        </w:tc>
      </w:tr>
      <w:tr w:rsidR="00A86701" w:rsidRPr="00F76923" w:rsidTr="007717FA">
        <w:tc>
          <w:tcPr>
            <w:tcW w:w="9016" w:type="dxa"/>
            <w:gridSpan w:val="3"/>
          </w:tcPr>
          <w:p w:rsidR="00A86701" w:rsidRPr="00F76923" w:rsidRDefault="00A86701" w:rsidP="007717FA">
            <w:r w:rsidRPr="00F76923">
              <w:t>2. 2. rühm</w:t>
            </w:r>
          </w:p>
        </w:tc>
      </w:tr>
      <w:tr w:rsidR="00A86701" w:rsidRPr="00F76923" w:rsidTr="007717FA">
        <w:tc>
          <w:tcPr>
            <w:tcW w:w="3005" w:type="dxa"/>
            <w:tcBorders>
              <w:bottom w:val="single" w:sz="4" w:space="0" w:color="auto"/>
            </w:tcBorders>
          </w:tcPr>
          <w:p w:rsidR="00A86701" w:rsidRPr="00F76923" w:rsidRDefault="00A86701" w:rsidP="007717FA">
            <w:pPr>
              <w:rPr>
                <w:b/>
                <w:i/>
              </w:rPr>
            </w:pPr>
          </w:p>
        </w:tc>
        <w:tc>
          <w:tcPr>
            <w:tcW w:w="6011" w:type="dxa"/>
            <w:gridSpan w:val="2"/>
            <w:tcBorders>
              <w:bottom w:val="single" w:sz="4" w:space="0" w:color="auto"/>
            </w:tcBorders>
          </w:tcPr>
          <w:p w:rsidR="00A86701" w:rsidRPr="00F76923" w:rsidRDefault="00A86701" w:rsidP="007717FA">
            <w:pPr>
              <w:rPr>
                <w:b/>
                <w:i/>
              </w:rPr>
            </w:pPr>
          </w:p>
        </w:tc>
      </w:tr>
      <w:tr w:rsidR="00A86701" w:rsidRPr="00F76923" w:rsidTr="007717FA">
        <w:tc>
          <w:tcPr>
            <w:tcW w:w="9016" w:type="dxa"/>
            <w:gridSpan w:val="3"/>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rPr>
                <w:b/>
                <w:i/>
              </w:rPr>
            </w:pPr>
            <w:r w:rsidRPr="00F76923">
              <w:rPr>
                <w:b/>
                <w:i/>
              </w:rPr>
              <w:t xml:space="preserve">Tabelis toodud väärtused vastavad eritaotlusel esitatud </w:t>
            </w:r>
            <w:proofErr w:type="spellStart"/>
            <w:r w:rsidRPr="00F76923">
              <w:rPr>
                <w:b/>
                <w:i/>
              </w:rPr>
              <w:t>uusimatele</w:t>
            </w:r>
            <w:proofErr w:type="spellEnd"/>
            <w:r w:rsidRPr="00F76923">
              <w:rPr>
                <w:b/>
                <w:i/>
              </w:rPr>
              <w:t xml:space="preserve"> </w:t>
            </w:r>
            <w:proofErr w:type="spellStart"/>
            <w:r w:rsidRPr="00F76923">
              <w:rPr>
                <w:b/>
                <w:i/>
              </w:rPr>
              <w:t>ICESi</w:t>
            </w:r>
            <w:proofErr w:type="spellEnd"/>
            <w:r w:rsidRPr="00F76923">
              <w:rPr>
                <w:b/>
                <w:i/>
              </w:rPr>
              <w:t xml:space="preserve"> nõuannetele „EU </w:t>
            </w:r>
            <w:proofErr w:type="spellStart"/>
            <w:r w:rsidRPr="00F76923">
              <w:rPr>
                <w:b/>
                <w:i/>
              </w:rPr>
              <w:t>request</w:t>
            </w:r>
            <w:proofErr w:type="spellEnd"/>
            <w:r w:rsidRPr="00F76923">
              <w:rPr>
                <w:b/>
                <w:i/>
              </w:rPr>
              <w:t xml:space="preserve"> </w:t>
            </w:r>
            <w:proofErr w:type="spellStart"/>
            <w:r w:rsidRPr="00F76923">
              <w:rPr>
                <w:b/>
                <w:i/>
              </w:rPr>
              <w:t>to</w:t>
            </w:r>
            <w:proofErr w:type="spellEnd"/>
            <w:r w:rsidRPr="00F76923">
              <w:rPr>
                <w:b/>
                <w:i/>
              </w:rPr>
              <w:t xml:space="preserve"> ICES </w:t>
            </w:r>
            <w:proofErr w:type="spellStart"/>
            <w:r w:rsidRPr="00F76923">
              <w:rPr>
                <w:b/>
                <w:i/>
              </w:rPr>
              <w:t>to</w:t>
            </w:r>
            <w:proofErr w:type="spellEnd"/>
            <w:r w:rsidRPr="00F76923">
              <w:rPr>
                <w:b/>
                <w:i/>
              </w:rPr>
              <w:t xml:space="preserve"> </w:t>
            </w:r>
            <w:proofErr w:type="spellStart"/>
            <w:r w:rsidRPr="00F76923">
              <w:rPr>
                <w:b/>
                <w:i/>
              </w:rPr>
              <w:t>provide</w:t>
            </w:r>
            <w:proofErr w:type="spellEnd"/>
            <w:r w:rsidRPr="00F76923">
              <w:rPr>
                <w:b/>
                <w:i/>
              </w:rPr>
              <w:t xml:space="preserve"> F</w:t>
            </w:r>
            <w:r w:rsidRPr="00F76923">
              <w:rPr>
                <w:b/>
                <w:i/>
                <w:vertAlign w:val="subscript"/>
              </w:rPr>
              <w:t>MSY</w:t>
            </w:r>
            <w:r w:rsidRPr="00F76923">
              <w:rPr>
                <w:b/>
                <w:i/>
              </w:rPr>
              <w:t xml:space="preserve"> ranges </w:t>
            </w:r>
            <w:proofErr w:type="spellStart"/>
            <w:r w:rsidRPr="00F76923">
              <w:rPr>
                <w:b/>
                <w:i/>
              </w:rPr>
              <w:t>for</w:t>
            </w:r>
            <w:proofErr w:type="spellEnd"/>
            <w:r w:rsidRPr="00F76923">
              <w:rPr>
                <w:b/>
                <w:i/>
              </w:rPr>
              <w:t xml:space="preserve"> </w:t>
            </w:r>
            <w:proofErr w:type="spellStart"/>
            <w:r w:rsidRPr="00F76923">
              <w:rPr>
                <w:b/>
                <w:i/>
              </w:rPr>
              <w:t>selected</w:t>
            </w:r>
            <w:proofErr w:type="spellEnd"/>
            <w:r w:rsidRPr="00F76923">
              <w:rPr>
                <w:b/>
                <w:i/>
              </w:rPr>
              <w:t xml:space="preserve"> </w:t>
            </w:r>
            <w:proofErr w:type="spellStart"/>
            <w:r w:rsidRPr="00F76923">
              <w:rPr>
                <w:b/>
                <w:i/>
              </w:rPr>
              <w:t>North</w:t>
            </w:r>
            <w:proofErr w:type="spellEnd"/>
            <w:r w:rsidRPr="00F76923">
              <w:rPr>
                <w:b/>
                <w:i/>
              </w:rPr>
              <w:t xml:space="preserve"> Sea and Baltic Sea </w:t>
            </w:r>
            <w:proofErr w:type="spellStart"/>
            <w:r w:rsidRPr="00F76923">
              <w:rPr>
                <w:b/>
                <w:i/>
              </w:rPr>
              <w:t>stocks</w:t>
            </w:r>
            <w:proofErr w:type="spellEnd"/>
            <w:r w:rsidRPr="00F76923">
              <w:rPr>
                <w:b/>
                <w:i/>
              </w:rPr>
              <w:t>“.</w:t>
            </w:r>
          </w:p>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r w:rsidRPr="00F76923">
              <w:t>Norra salehomaari funktsionaalne üksus (FÜ)</w:t>
            </w:r>
          </w:p>
        </w:tc>
        <w:tc>
          <w:tcPr>
            <w:tcW w:w="6011" w:type="dxa"/>
            <w:gridSpan w:val="2"/>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t>Maksimaalse jätkusuutliku saagikuse saavutamisele vastavad kalastussuremuse sihttasemete vahemikud (F</w:t>
            </w:r>
            <w:r w:rsidRPr="00F76923">
              <w:rPr>
                <w:vertAlign w:val="subscript"/>
              </w:rPr>
              <w:t>MSY</w:t>
            </w:r>
            <w:r w:rsidRPr="00F76923">
              <w:t>) (püügimäärana)</w:t>
            </w:r>
          </w:p>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rPr>
                <w:b/>
                <w:i/>
              </w:rPr>
            </w:pP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t>Veerg A</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111A12" w:rsidP="007717FA">
            <w:proofErr w:type="spellStart"/>
            <w:r w:rsidRPr="00F76923">
              <w:t>IIIa</w:t>
            </w:r>
            <w:proofErr w:type="spellEnd"/>
            <w:r w:rsidRPr="00F76923">
              <w:t> rajoon (FÜ 3 ja </w:t>
            </w:r>
            <w:r w:rsidR="00A86701" w:rsidRPr="00F76923">
              <w:t>4)</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111A12" w:rsidP="007717FA">
            <w:proofErr w:type="spellStart"/>
            <w:r w:rsidRPr="00F76923">
              <w:t>Farne’i</w:t>
            </w:r>
            <w:proofErr w:type="spellEnd"/>
            <w:r w:rsidRPr="00F76923">
              <w:t xml:space="preserve"> sügavik (FÜ </w:t>
            </w:r>
            <w:r w:rsidR="00A86701" w:rsidRPr="00F76923">
              <w:t>6)</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111A12" w:rsidP="007717FA">
            <w:proofErr w:type="spellStart"/>
            <w:r w:rsidRPr="00F76923">
              <w:lastRenderedPageBreak/>
              <w:t>Fladen</w:t>
            </w:r>
            <w:proofErr w:type="spellEnd"/>
            <w:r w:rsidRPr="00F76923">
              <w:t xml:space="preserve"> </w:t>
            </w:r>
            <w:proofErr w:type="spellStart"/>
            <w:r w:rsidRPr="00F76923">
              <w:t>Ground</w:t>
            </w:r>
            <w:proofErr w:type="spellEnd"/>
            <w:r w:rsidRPr="00F76923">
              <w:t xml:space="preserve"> (FÜ </w:t>
            </w:r>
            <w:r w:rsidR="00A86701" w:rsidRPr="00F76923">
              <w:t>7)</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111A12" w:rsidP="007717FA">
            <w:proofErr w:type="spellStart"/>
            <w:r w:rsidRPr="00F76923">
              <w:t>Firth</w:t>
            </w:r>
            <w:proofErr w:type="spellEnd"/>
            <w:r w:rsidRPr="00F76923">
              <w:t xml:space="preserve"> of </w:t>
            </w:r>
            <w:proofErr w:type="spellStart"/>
            <w:r w:rsidRPr="00F76923">
              <w:t>Forth</w:t>
            </w:r>
            <w:proofErr w:type="spellEnd"/>
            <w:r w:rsidRPr="00F76923">
              <w:t xml:space="preserve"> (FÜ </w:t>
            </w:r>
            <w:r w:rsidR="00A86701" w:rsidRPr="00F76923">
              <w:t>8)</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r w:rsidR="00A86701" w:rsidRPr="00F76923" w:rsidTr="007717FA">
        <w:tc>
          <w:tcPr>
            <w:tcW w:w="3005" w:type="dxa"/>
            <w:tcBorders>
              <w:top w:val="single" w:sz="4" w:space="0" w:color="auto"/>
              <w:left w:val="single" w:sz="4" w:space="0" w:color="auto"/>
              <w:bottom w:val="single" w:sz="4" w:space="0" w:color="auto"/>
              <w:right w:val="single" w:sz="4" w:space="0" w:color="auto"/>
            </w:tcBorders>
          </w:tcPr>
          <w:p w:rsidR="00A86701" w:rsidRPr="00F76923" w:rsidRDefault="00111A12" w:rsidP="007717FA">
            <w:proofErr w:type="spellStart"/>
            <w:r w:rsidRPr="00F76923">
              <w:t>Moray</w:t>
            </w:r>
            <w:proofErr w:type="spellEnd"/>
            <w:r w:rsidRPr="00F76923">
              <w:t xml:space="preserve"> </w:t>
            </w:r>
            <w:proofErr w:type="spellStart"/>
            <w:r w:rsidRPr="00F76923">
              <w:t>Firth</w:t>
            </w:r>
            <w:proofErr w:type="spellEnd"/>
            <w:r w:rsidRPr="00F76923">
              <w:t xml:space="preserve"> (FÜ </w:t>
            </w:r>
            <w:r w:rsidR="00A86701" w:rsidRPr="00F76923">
              <w:t>9)</w:t>
            </w:r>
          </w:p>
        </w:tc>
        <w:tc>
          <w:tcPr>
            <w:tcW w:w="3005" w:type="dxa"/>
            <w:tcBorders>
              <w:top w:val="single" w:sz="4" w:space="0" w:color="auto"/>
              <w:left w:val="single" w:sz="4" w:space="0" w:color="auto"/>
              <w:bottom w:val="single" w:sz="4" w:space="0" w:color="auto"/>
              <w:right w:val="single" w:sz="4" w:space="0" w:color="auto"/>
            </w:tcBorders>
          </w:tcPr>
          <w:p w:rsidR="00A86701" w:rsidRPr="00F76923" w:rsidRDefault="00A86701" w:rsidP="007717FA">
            <w:pPr>
              <w:jc w:val="center"/>
            </w:pPr>
            <w:r w:rsidRPr="00F76923">
              <w:rPr>
                <w:b/>
                <w:i/>
              </w:rPr>
              <w:t xml:space="preserve">FMSY </w:t>
            </w:r>
            <w:proofErr w:type="spellStart"/>
            <w:r w:rsidRPr="00F76923">
              <w:rPr>
                <w:b/>
                <w:i/>
                <w:vertAlign w:val="subscript"/>
              </w:rPr>
              <w:t>lower</w:t>
            </w:r>
            <w:proofErr w:type="spellEnd"/>
            <w:r w:rsidRPr="00F76923">
              <w:rPr>
                <w:b/>
                <w:i/>
              </w:rPr>
              <w:t xml:space="preserve"> – FMSY</w:t>
            </w:r>
          </w:p>
        </w:tc>
        <w:tc>
          <w:tcPr>
            <w:tcW w:w="3006" w:type="dxa"/>
            <w:tcBorders>
              <w:top w:val="single" w:sz="4" w:space="0" w:color="auto"/>
              <w:left w:val="single" w:sz="4" w:space="0" w:color="auto"/>
              <w:bottom w:val="single" w:sz="4" w:space="0" w:color="auto"/>
              <w:right w:val="single" w:sz="4" w:space="0" w:color="auto"/>
            </w:tcBorders>
          </w:tcPr>
          <w:p w:rsidR="00A86701" w:rsidRPr="00F76923" w:rsidRDefault="00A86701" w:rsidP="007717FA"/>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77</w:t>
      </w:r>
    </w:p>
    <w:p w:rsidR="00F42706" w:rsidRPr="00F76923" w:rsidRDefault="00F42706" w:rsidP="00F42706">
      <w:pPr>
        <w:pStyle w:val="NormalBold12b"/>
        <w:keepNext/>
      </w:pPr>
      <w:r w:rsidRPr="00F76923">
        <w:t>Ettepanek võtta vastu määrus</w:t>
      </w:r>
    </w:p>
    <w:p w:rsidR="00F42706" w:rsidRPr="00F76923" w:rsidRDefault="00F76923" w:rsidP="00F42706">
      <w:pPr>
        <w:pStyle w:val="NormalBold"/>
        <w:keepNext/>
      </w:pPr>
      <w:r w:rsidRPr="00F76923">
        <w:t>II</w:t>
      </w:r>
      <w:r w:rsidR="00F42706" w:rsidRPr="00F76923">
        <w:t xml:space="preserve"> lisa</w:t>
      </w:r>
    </w:p>
    <w:tbl>
      <w:tblPr>
        <w:tblW w:w="10490" w:type="dxa"/>
        <w:jc w:val="center"/>
        <w:tblLayout w:type="fixed"/>
        <w:tblCellMar>
          <w:left w:w="340" w:type="dxa"/>
          <w:right w:w="340" w:type="dxa"/>
        </w:tblCellMar>
        <w:tblLook w:val="0000" w:firstRow="0" w:lastRow="0" w:firstColumn="0" w:lastColumn="0" w:noHBand="0" w:noVBand="0"/>
      </w:tblPr>
      <w:tblGrid>
        <w:gridCol w:w="1843"/>
        <w:gridCol w:w="1785"/>
        <w:gridCol w:w="1701"/>
        <w:gridCol w:w="1840"/>
        <w:gridCol w:w="1559"/>
        <w:gridCol w:w="1762"/>
      </w:tblGrid>
      <w:tr w:rsidR="00F42706" w:rsidRPr="00F76923" w:rsidTr="00CB0D37">
        <w:trPr>
          <w:jc w:val="center"/>
        </w:trPr>
        <w:tc>
          <w:tcPr>
            <w:tcW w:w="10490" w:type="dxa"/>
            <w:gridSpan w:val="6"/>
          </w:tcPr>
          <w:p w:rsidR="00F42706" w:rsidRPr="00F76923" w:rsidRDefault="00F42706" w:rsidP="00CB0D37">
            <w:pPr>
              <w:keepNext/>
            </w:pPr>
          </w:p>
        </w:tc>
      </w:tr>
      <w:tr w:rsidR="00F42706" w:rsidRPr="00F76923" w:rsidTr="00CB0D37">
        <w:trPr>
          <w:jc w:val="center"/>
        </w:trPr>
        <w:tc>
          <w:tcPr>
            <w:tcW w:w="5329" w:type="dxa"/>
            <w:gridSpan w:val="3"/>
          </w:tcPr>
          <w:p w:rsidR="00F42706" w:rsidRPr="00F76923" w:rsidRDefault="00F42706" w:rsidP="00CB0D37">
            <w:pPr>
              <w:pStyle w:val="ColumnHeading"/>
              <w:keepNext/>
            </w:pPr>
            <w:r w:rsidRPr="00F76923">
              <w:t>Komisjoni ettepanek</w:t>
            </w:r>
          </w:p>
        </w:tc>
        <w:tc>
          <w:tcPr>
            <w:tcW w:w="5161" w:type="dxa"/>
            <w:gridSpan w:val="3"/>
          </w:tcPr>
          <w:p w:rsidR="00F42706" w:rsidRPr="00F76923" w:rsidRDefault="00F42706" w:rsidP="00CB0D37">
            <w:pPr>
              <w:pStyle w:val="ColumnHeading"/>
              <w:keepNext/>
            </w:pPr>
            <w:r w:rsidRPr="00F76923">
              <w:t>Muudatusettepanek</w:t>
            </w:r>
          </w:p>
        </w:tc>
      </w:tr>
      <w:tr w:rsidR="00F42706" w:rsidRPr="00F76923" w:rsidTr="00CB0D37">
        <w:trPr>
          <w:jc w:val="center"/>
        </w:trPr>
        <w:tc>
          <w:tcPr>
            <w:tcW w:w="5329" w:type="dxa"/>
            <w:gridSpan w:val="3"/>
          </w:tcPr>
          <w:p w:rsidR="00F42706" w:rsidRPr="00F76923" w:rsidRDefault="00F42706" w:rsidP="00CB0D37">
            <w:pPr>
              <w:pStyle w:val="Normal6"/>
              <w:jc w:val="center"/>
            </w:pPr>
            <w:r w:rsidRPr="00F76923">
              <w:t>II lisa</w:t>
            </w:r>
          </w:p>
        </w:tc>
        <w:tc>
          <w:tcPr>
            <w:tcW w:w="5161" w:type="dxa"/>
            <w:gridSpan w:val="3"/>
          </w:tcPr>
          <w:p w:rsidR="00F42706" w:rsidRPr="00F76923" w:rsidRDefault="002A1D61" w:rsidP="00CB0D37">
            <w:pPr>
              <w:pStyle w:val="Normal6"/>
              <w:jc w:val="center"/>
            </w:pPr>
            <w:r w:rsidRPr="00F76923">
              <w:t>II </w:t>
            </w:r>
            <w:r w:rsidR="00F42706" w:rsidRPr="00F76923">
              <w:t>lisa</w:t>
            </w:r>
          </w:p>
        </w:tc>
      </w:tr>
      <w:tr w:rsidR="00F42706" w:rsidRPr="00F76923" w:rsidTr="00CB0D37">
        <w:trPr>
          <w:jc w:val="center"/>
        </w:trPr>
        <w:tc>
          <w:tcPr>
            <w:tcW w:w="5329" w:type="dxa"/>
            <w:gridSpan w:val="3"/>
          </w:tcPr>
          <w:p w:rsidR="00F42706" w:rsidRPr="00F76923" w:rsidRDefault="00F42706" w:rsidP="00CB0D37">
            <w:pPr>
              <w:pStyle w:val="Normal6"/>
              <w:jc w:val="center"/>
            </w:pPr>
            <w:r w:rsidRPr="00F76923">
              <w:t>Kaitse piirväärtused</w:t>
            </w:r>
          </w:p>
        </w:tc>
        <w:tc>
          <w:tcPr>
            <w:tcW w:w="5161" w:type="dxa"/>
            <w:gridSpan w:val="3"/>
          </w:tcPr>
          <w:p w:rsidR="00F42706" w:rsidRPr="00F76923" w:rsidRDefault="00F42706" w:rsidP="00CB0D37">
            <w:pPr>
              <w:pStyle w:val="Normal6"/>
              <w:jc w:val="center"/>
            </w:pPr>
            <w:r w:rsidRPr="00F76923">
              <w:t>Kaitse piirväärtused</w:t>
            </w:r>
          </w:p>
        </w:tc>
      </w:tr>
      <w:tr w:rsidR="00F42706" w:rsidRPr="00F76923" w:rsidTr="00CB0D37">
        <w:trPr>
          <w:jc w:val="center"/>
        </w:trPr>
        <w:tc>
          <w:tcPr>
            <w:tcW w:w="5329" w:type="dxa"/>
            <w:gridSpan w:val="3"/>
          </w:tcPr>
          <w:p w:rsidR="00F42706" w:rsidRPr="00F76923" w:rsidRDefault="00F42706" w:rsidP="00CB0D37">
            <w:pPr>
              <w:pStyle w:val="Normal6"/>
              <w:jc w:val="center"/>
            </w:pPr>
            <w:r w:rsidRPr="00F76923">
              <w:t>(millele on osutatud artiklis 7)</w:t>
            </w:r>
          </w:p>
        </w:tc>
        <w:tc>
          <w:tcPr>
            <w:tcW w:w="5161" w:type="dxa"/>
            <w:gridSpan w:val="3"/>
          </w:tcPr>
          <w:p w:rsidR="00F42706" w:rsidRPr="00F76923" w:rsidRDefault="002A1D61" w:rsidP="00CB0D37">
            <w:pPr>
              <w:pStyle w:val="Normal6"/>
              <w:jc w:val="center"/>
            </w:pPr>
            <w:r w:rsidRPr="00F76923">
              <w:t>(millele on osutatud artiklis </w:t>
            </w:r>
            <w:r w:rsidR="00F42706" w:rsidRPr="00F76923">
              <w:t>7)</w:t>
            </w:r>
          </w:p>
        </w:tc>
      </w:tr>
      <w:tr w:rsidR="00F42706" w:rsidRPr="00F76923" w:rsidTr="00CB0D37">
        <w:trPr>
          <w:jc w:val="center"/>
        </w:trPr>
        <w:tc>
          <w:tcPr>
            <w:tcW w:w="5329" w:type="dxa"/>
            <w:gridSpan w:val="3"/>
          </w:tcPr>
          <w:p w:rsidR="00F42706" w:rsidRPr="00F76923" w:rsidRDefault="00F42706" w:rsidP="00CB0D37">
            <w:pPr>
              <w:pStyle w:val="Normal6"/>
            </w:pPr>
            <w:r w:rsidRPr="00F76923">
              <w:t>1. 1. rühm</w:t>
            </w:r>
          </w:p>
        </w:tc>
        <w:tc>
          <w:tcPr>
            <w:tcW w:w="5161" w:type="dxa"/>
            <w:gridSpan w:val="3"/>
          </w:tcPr>
          <w:p w:rsidR="00F42706" w:rsidRPr="00F76923" w:rsidRDefault="002A1D61" w:rsidP="00CB0D37">
            <w:pPr>
              <w:pStyle w:val="Normal6"/>
            </w:pPr>
            <w:r w:rsidRPr="00F76923">
              <w:t>1. 1. </w:t>
            </w:r>
            <w:r w:rsidR="00F42706" w:rsidRPr="00F76923">
              <w:t>rühm</w:t>
            </w:r>
          </w:p>
        </w:tc>
      </w:tr>
      <w:tr w:rsidR="00F42706" w:rsidRPr="00F76923" w:rsidTr="00CB0D37">
        <w:trPr>
          <w:jc w:val="center"/>
        </w:trPr>
        <w:tc>
          <w:tcPr>
            <w:tcW w:w="1843" w:type="dxa"/>
          </w:tcPr>
          <w:p w:rsidR="00F42706" w:rsidRPr="00F76923" w:rsidRDefault="00F42706" w:rsidP="00CB0D37">
            <w:pPr>
              <w:pStyle w:val="Normal6"/>
              <w:ind w:right="-141"/>
            </w:pPr>
            <w:r w:rsidRPr="00F76923">
              <w:t>Kalavaru</w:t>
            </w:r>
          </w:p>
        </w:tc>
        <w:tc>
          <w:tcPr>
            <w:tcW w:w="1785" w:type="dxa"/>
          </w:tcPr>
          <w:p w:rsidR="00F42706" w:rsidRPr="00F76923" w:rsidRDefault="00F42706" w:rsidP="00CB0D37">
            <w:pPr>
              <w:pStyle w:val="Normal6"/>
              <w:ind w:left="-340" w:right="-57"/>
            </w:pPr>
            <w:r w:rsidRPr="00F76923">
              <w:t xml:space="preserve">Kudekarja </w:t>
            </w:r>
            <w:proofErr w:type="spellStart"/>
            <w:r w:rsidRPr="00F76923">
              <w:t>biomassi</w:t>
            </w:r>
            <w:proofErr w:type="spellEnd"/>
            <w:r w:rsidRPr="00F76923">
              <w:t xml:space="preserve"> piirväärtuse miinimumtase (tonnides) (MSY </w:t>
            </w:r>
            <w:proofErr w:type="spellStart"/>
            <w:r w:rsidRPr="00F76923">
              <w:t>B</w:t>
            </w:r>
            <w:r w:rsidRPr="00F76923">
              <w:rPr>
                <w:vertAlign w:val="subscript"/>
              </w:rPr>
              <w:t>trigger</w:t>
            </w:r>
            <w:proofErr w:type="spellEnd"/>
            <w:r w:rsidRPr="00F76923">
              <w:t>)</w:t>
            </w:r>
          </w:p>
        </w:tc>
        <w:tc>
          <w:tcPr>
            <w:tcW w:w="1701" w:type="dxa"/>
          </w:tcPr>
          <w:p w:rsidR="00F42706" w:rsidRPr="00F76923" w:rsidRDefault="00F42706" w:rsidP="00CB0D37">
            <w:pPr>
              <w:pStyle w:val="Normal6"/>
              <w:ind w:left="-140"/>
            </w:pPr>
            <w:proofErr w:type="spellStart"/>
            <w:r w:rsidRPr="00F76923">
              <w:t>Biomassi</w:t>
            </w:r>
            <w:proofErr w:type="spellEnd"/>
            <w:r w:rsidRPr="00F76923">
              <w:t xml:space="preserve"> piirväärtus (tonnides) (</w:t>
            </w:r>
            <w:proofErr w:type="spellStart"/>
            <w:r w:rsidRPr="00F76923">
              <w:t>B</w:t>
            </w:r>
            <w:r w:rsidRPr="00F76923">
              <w:rPr>
                <w:vertAlign w:val="subscript"/>
              </w:rPr>
              <w:t>lim</w:t>
            </w:r>
            <w:proofErr w:type="spellEnd"/>
            <w:r w:rsidRPr="00F76923">
              <w:t>)</w:t>
            </w:r>
          </w:p>
        </w:tc>
        <w:tc>
          <w:tcPr>
            <w:tcW w:w="1840" w:type="dxa"/>
          </w:tcPr>
          <w:p w:rsidR="00F42706" w:rsidRPr="00F76923" w:rsidRDefault="00F42706" w:rsidP="00CB0D37">
            <w:pPr>
              <w:pStyle w:val="Normal6"/>
              <w:ind w:left="-140"/>
            </w:pPr>
            <w:r w:rsidRPr="00F76923">
              <w:t>Kalavaru</w:t>
            </w:r>
          </w:p>
        </w:tc>
        <w:tc>
          <w:tcPr>
            <w:tcW w:w="1559" w:type="dxa"/>
          </w:tcPr>
          <w:p w:rsidR="00F42706" w:rsidRPr="00F76923" w:rsidRDefault="00F42706" w:rsidP="00CB0D37">
            <w:pPr>
              <w:pStyle w:val="Normal6"/>
              <w:ind w:left="-279"/>
            </w:pPr>
            <w:r w:rsidRPr="00F76923">
              <w:t xml:space="preserve">Kudekarja </w:t>
            </w:r>
            <w:proofErr w:type="spellStart"/>
            <w:r w:rsidRPr="00F76923">
              <w:t>biomassi</w:t>
            </w:r>
            <w:proofErr w:type="spellEnd"/>
            <w:r w:rsidRPr="00F76923">
              <w:t xml:space="preserve"> piirväärtuse miinimumtase (tonnides) (MSY </w:t>
            </w:r>
            <w:proofErr w:type="spellStart"/>
            <w:r w:rsidRPr="00F76923">
              <w:t>B</w:t>
            </w:r>
            <w:r w:rsidRPr="00F76923">
              <w:rPr>
                <w:vertAlign w:val="subscript"/>
              </w:rPr>
              <w:t>trigger</w:t>
            </w:r>
            <w:proofErr w:type="spellEnd"/>
            <w:r w:rsidRPr="00F76923">
              <w:t>)</w:t>
            </w:r>
          </w:p>
        </w:tc>
        <w:tc>
          <w:tcPr>
            <w:tcW w:w="1762" w:type="dxa"/>
          </w:tcPr>
          <w:p w:rsidR="00F42706" w:rsidRPr="00F76923" w:rsidRDefault="00F42706" w:rsidP="00CB0D37">
            <w:pPr>
              <w:pStyle w:val="Normal6"/>
              <w:ind w:left="-137"/>
            </w:pPr>
            <w:proofErr w:type="spellStart"/>
            <w:r w:rsidRPr="00F76923">
              <w:t>Biomassi</w:t>
            </w:r>
            <w:proofErr w:type="spellEnd"/>
            <w:r w:rsidRPr="00F76923">
              <w:t xml:space="preserve"> piirväärtus (tonnides) (</w:t>
            </w:r>
            <w:proofErr w:type="spellStart"/>
            <w:r w:rsidRPr="00F76923">
              <w:t>B</w:t>
            </w:r>
            <w:r w:rsidRPr="00F76923">
              <w:rPr>
                <w:vertAlign w:val="subscript"/>
              </w:rPr>
              <w:t>lim</w:t>
            </w:r>
            <w:proofErr w:type="spellEnd"/>
            <w:r w:rsidRPr="00F76923">
              <w:t>)</w:t>
            </w:r>
          </w:p>
        </w:tc>
      </w:tr>
      <w:tr w:rsidR="00F42706" w:rsidRPr="00F76923" w:rsidTr="00CB0D37">
        <w:trPr>
          <w:jc w:val="center"/>
        </w:trPr>
        <w:tc>
          <w:tcPr>
            <w:tcW w:w="5329" w:type="dxa"/>
            <w:gridSpan w:val="3"/>
          </w:tcPr>
          <w:p w:rsidR="00F42706" w:rsidRPr="00F76923" w:rsidRDefault="00F42706" w:rsidP="00CB0D37">
            <w:pPr>
              <w:pStyle w:val="Normal6"/>
            </w:pPr>
          </w:p>
        </w:tc>
        <w:tc>
          <w:tcPr>
            <w:tcW w:w="1840" w:type="dxa"/>
          </w:tcPr>
          <w:p w:rsidR="00F42706" w:rsidRPr="00F76923" w:rsidRDefault="00F42706" w:rsidP="00CB0D37">
            <w:pPr>
              <w:pStyle w:val="Normal6"/>
            </w:pPr>
          </w:p>
        </w:tc>
        <w:tc>
          <w:tcPr>
            <w:tcW w:w="1559" w:type="dxa"/>
          </w:tcPr>
          <w:p w:rsidR="00F42706" w:rsidRPr="00F76923" w:rsidRDefault="00F42706" w:rsidP="00CB0D37">
            <w:pPr>
              <w:pStyle w:val="Normal6"/>
              <w:rPr>
                <w:b/>
                <w:i/>
              </w:rPr>
            </w:pPr>
            <w:r w:rsidRPr="00F76923">
              <w:rPr>
                <w:b/>
                <w:i/>
              </w:rPr>
              <w:t>Veerg A</w:t>
            </w:r>
          </w:p>
        </w:tc>
        <w:tc>
          <w:tcPr>
            <w:tcW w:w="1762" w:type="dxa"/>
          </w:tcPr>
          <w:p w:rsidR="00F42706" w:rsidRPr="00F76923" w:rsidRDefault="00F42706" w:rsidP="00CB0D37">
            <w:pPr>
              <w:pStyle w:val="Normal6"/>
              <w:rPr>
                <w:b/>
                <w:i/>
              </w:rPr>
            </w:pPr>
            <w:r w:rsidRPr="00F76923">
              <w:rPr>
                <w:b/>
                <w:i/>
              </w:rPr>
              <w:t>Veerg B</w:t>
            </w:r>
          </w:p>
        </w:tc>
      </w:tr>
      <w:tr w:rsidR="00F42706" w:rsidRPr="00F76923" w:rsidTr="00CB0D37">
        <w:trPr>
          <w:jc w:val="center"/>
        </w:trPr>
        <w:tc>
          <w:tcPr>
            <w:tcW w:w="1843" w:type="dxa"/>
          </w:tcPr>
          <w:p w:rsidR="00F42706" w:rsidRPr="00F76923" w:rsidRDefault="00F42706" w:rsidP="00CB0D37">
            <w:pPr>
              <w:pStyle w:val="Normal6"/>
              <w:ind w:right="-57"/>
            </w:pPr>
            <w:r w:rsidRPr="00F76923">
              <w:rPr>
                <w:b/>
                <w:i/>
              </w:rPr>
              <w:t>Põhjamere</w:t>
            </w:r>
            <w:r w:rsidRPr="00F76923">
              <w:t xml:space="preserve"> tursk</w:t>
            </w:r>
          </w:p>
        </w:tc>
        <w:tc>
          <w:tcPr>
            <w:tcW w:w="1785" w:type="dxa"/>
          </w:tcPr>
          <w:p w:rsidR="00F42706" w:rsidRPr="00F76923" w:rsidRDefault="00F42706" w:rsidP="00CB0D37">
            <w:pPr>
              <w:pStyle w:val="Normal6"/>
              <w:ind w:left="-340"/>
            </w:pPr>
            <w:r w:rsidRPr="00F76923">
              <w:t>165 000</w:t>
            </w:r>
          </w:p>
        </w:tc>
        <w:tc>
          <w:tcPr>
            <w:tcW w:w="1701" w:type="dxa"/>
          </w:tcPr>
          <w:p w:rsidR="00F42706" w:rsidRPr="00F76923" w:rsidRDefault="00F42706" w:rsidP="00CB0D37">
            <w:pPr>
              <w:pStyle w:val="Normal6"/>
              <w:ind w:left="-140"/>
            </w:pPr>
            <w:r w:rsidRPr="00F76923">
              <w:t>118 000</w:t>
            </w:r>
          </w:p>
        </w:tc>
        <w:tc>
          <w:tcPr>
            <w:tcW w:w="1840" w:type="dxa"/>
          </w:tcPr>
          <w:p w:rsidR="00F42706" w:rsidRPr="00F76923" w:rsidRDefault="00F42706" w:rsidP="00CB0D37">
            <w:pPr>
              <w:pStyle w:val="Normal6"/>
              <w:ind w:left="-140"/>
            </w:pPr>
            <w:r w:rsidRPr="00F76923">
              <w:rPr>
                <w:b/>
                <w:i/>
              </w:rPr>
              <w:t xml:space="preserve">IV alapiirkonna ning </w:t>
            </w:r>
            <w:proofErr w:type="spellStart"/>
            <w:r w:rsidRPr="00F76923">
              <w:rPr>
                <w:b/>
                <w:i/>
              </w:rPr>
              <w:t>VIId</w:t>
            </w:r>
            <w:proofErr w:type="spellEnd"/>
            <w:r w:rsidRPr="00F76923">
              <w:rPr>
                <w:b/>
                <w:i/>
              </w:rPr>
              <w:t xml:space="preserve"> ja </w:t>
            </w:r>
            <w:proofErr w:type="spellStart"/>
            <w:r w:rsidRPr="00F76923">
              <w:rPr>
                <w:b/>
                <w:i/>
              </w:rPr>
              <w:t>IIIa</w:t>
            </w:r>
            <w:proofErr w:type="spellEnd"/>
            <w:r w:rsidRPr="00F76923">
              <w:rPr>
                <w:b/>
                <w:i/>
              </w:rPr>
              <w:t xml:space="preserve"> läänepoolse rajooni</w:t>
            </w:r>
            <w:r w:rsidRPr="00F76923">
              <w:t xml:space="preserve"> tursk</w:t>
            </w:r>
          </w:p>
        </w:tc>
        <w:tc>
          <w:tcPr>
            <w:tcW w:w="1559" w:type="dxa"/>
          </w:tcPr>
          <w:p w:rsidR="00F42706" w:rsidRPr="00F76923" w:rsidRDefault="00F42706" w:rsidP="00CB0D37">
            <w:pPr>
              <w:pStyle w:val="Normal6"/>
            </w:pPr>
            <w:r w:rsidRPr="00F76923">
              <w:t>165 000</w:t>
            </w:r>
          </w:p>
        </w:tc>
        <w:tc>
          <w:tcPr>
            <w:tcW w:w="1762" w:type="dxa"/>
          </w:tcPr>
          <w:p w:rsidR="00F42706" w:rsidRPr="00F76923" w:rsidRDefault="00F42706" w:rsidP="00CB0D37">
            <w:pPr>
              <w:pStyle w:val="Normal6"/>
            </w:pPr>
            <w:r w:rsidRPr="00F76923">
              <w:t>118 000</w:t>
            </w:r>
          </w:p>
        </w:tc>
      </w:tr>
      <w:tr w:rsidR="00F42706" w:rsidRPr="00F76923" w:rsidTr="00CB0D37">
        <w:trPr>
          <w:jc w:val="center"/>
        </w:trPr>
        <w:tc>
          <w:tcPr>
            <w:tcW w:w="1843" w:type="dxa"/>
          </w:tcPr>
          <w:p w:rsidR="00F42706" w:rsidRPr="00F76923" w:rsidRDefault="00F42706" w:rsidP="00CB0D37">
            <w:pPr>
              <w:pStyle w:val="Normal6"/>
            </w:pPr>
            <w:r w:rsidRPr="00F76923">
              <w:t>Kilttursk</w:t>
            </w:r>
          </w:p>
        </w:tc>
        <w:tc>
          <w:tcPr>
            <w:tcW w:w="1785" w:type="dxa"/>
          </w:tcPr>
          <w:p w:rsidR="00F42706" w:rsidRPr="00F76923" w:rsidRDefault="00F42706" w:rsidP="00CB0D37">
            <w:pPr>
              <w:pStyle w:val="Normal6"/>
            </w:pPr>
            <w:r w:rsidRPr="00F76923">
              <w:t>88 000</w:t>
            </w:r>
          </w:p>
        </w:tc>
        <w:tc>
          <w:tcPr>
            <w:tcW w:w="1701" w:type="dxa"/>
          </w:tcPr>
          <w:p w:rsidR="00F42706" w:rsidRPr="00F76923" w:rsidRDefault="00F42706" w:rsidP="00CB0D37">
            <w:pPr>
              <w:pStyle w:val="Normal6"/>
            </w:pPr>
            <w:r w:rsidRPr="00F76923">
              <w:t>63 000</w:t>
            </w:r>
          </w:p>
        </w:tc>
        <w:tc>
          <w:tcPr>
            <w:tcW w:w="1840" w:type="dxa"/>
          </w:tcPr>
          <w:p w:rsidR="00F42706" w:rsidRPr="00F76923" w:rsidRDefault="00F42706" w:rsidP="00CB0D37">
            <w:pPr>
              <w:pStyle w:val="Normal6"/>
              <w:ind w:left="-140"/>
            </w:pPr>
            <w:r w:rsidRPr="00F76923">
              <w:rPr>
                <w:b/>
                <w:i/>
              </w:rPr>
              <w:t xml:space="preserve">IV alapiirkonna ning </w:t>
            </w:r>
            <w:proofErr w:type="spellStart"/>
            <w:r w:rsidRPr="00F76923">
              <w:rPr>
                <w:b/>
                <w:i/>
              </w:rPr>
              <w:t>VIa</w:t>
            </w:r>
            <w:proofErr w:type="spellEnd"/>
            <w:r w:rsidRPr="00F76923">
              <w:rPr>
                <w:b/>
                <w:i/>
              </w:rPr>
              <w:t xml:space="preserve"> ja </w:t>
            </w:r>
            <w:proofErr w:type="spellStart"/>
            <w:r w:rsidRPr="00F76923">
              <w:rPr>
                <w:b/>
                <w:i/>
              </w:rPr>
              <w:t>IIIa</w:t>
            </w:r>
            <w:proofErr w:type="spellEnd"/>
            <w:r w:rsidRPr="00F76923">
              <w:rPr>
                <w:b/>
                <w:i/>
              </w:rPr>
              <w:t xml:space="preserve"> läänepoolse rajooni</w:t>
            </w:r>
            <w:r w:rsidRPr="00F76923">
              <w:t xml:space="preserve"> kilttursk</w:t>
            </w:r>
          </w:p>
        </w:tc>
        <w:tc>
          <w:tcPr>
            <w:tcW w:w="1559" w:type="dxa"/>
          </w:tcPr>
          <w:p w:rsidR="00F42706" w:rsidRPr="00F76923" w:rsidRDefault="00F42706" w:rsidP="00CB0D37">
            <w:pPr>
              <w:pStyle w:val="Normal6"/>
            </w:pPr>
            <w:r w:rsidRPr="00F76923">
              <w:t>88 000</w:t>
            </w:r>
          </w:p>
        </w:tc>
        <w:tc>
          <w:tcPr>
            <w:tcW w:w="1762" w:type="dxa"/>
          </w:tcPr>
          <w:p w:rsidR="00F42706" w:rsidRPr="00F76923" w:rsidRDefault="00F42706" w:rsidP="00CB0D37">
            <w:pPr>
              <w:pStyle w:val="Normal6"/>
            </w:pPr>
            <w:r w:rsidRPr="00F76923">
              <w:t>63 000</w:t>
            </w:r>
          </w:p>
        </w:tc>
      </w:tr>
      <w:tr w:rsidR="00F42706" w:rsidRPr="00F76923" w:rsidTr="00CB0D37">
        <w:trPr>
          <w:jc w:val="center"/>
        </w:trPr>
        <w:tc>
          <w:tcPr>
            <w:tcW w:w="1843" w:type="dxa"/>
          </w:tcPr>
          <w:p w:rsidR="00F42706" w:rsidRPr="00F76923" w:rsidRDefault="00F42706" w:rsidP="00CB0D37">
            <w:pPr>
              <w:pStyle w:val="Normal6"/>
            </w:pPr>
            <w:r w:rsidRPr="00F76923">
              <w:rPr>
                <w:b/>
                <w:i/>
              </w:rPr>
              <w:t>Põhjamere</w:t>
            </w:r>
            <w:r w:rsidRPr="00F76923">
              <w:t xml:space="preserve"> merilest</w:t>
            </w:r>
          </w:p>
        </w:tc>
        <w:tc>
          <w:tcPr>
            <w:tcW w:w="1785" w:type="dxa"/>
          </w:tcPr>
          <w:p w:rsidR="00F42706" w:rsidRPr="00F76923" w:rsidRDefault="00F42706" w:rsidP="00CB0D37">
            <w:pPr>
              <w:pStyle w:val="Normal6"/>
            </w:pPr>
            <w:r w:rsidRPr="00F76923">
              <w:t>230 000</w:t>
            </w:r>
          </w:p>
        </w:tc>
        <w:tc>
          <w:tcPr>
            <w:tcW w:w="1701" w:type="dxa"/>
          </w:tcPr>
          <w:p w:rsidR="00F42706" w:rsidRPr="00F76923" w:rsidRDefault="00F42706" w:rsidP="00CB0D37">
            <w:pPr>
              <w:pStyle w:val="Normal6"/>
            </w:pPr>
            <w:r w:rsidRPr="00F76923">
              <w:t>160 000</w:t>
            </w:r>
          </w:p>
        </w:tc>
        <w:tc>
          <w:tcPr>
            <w:tcW w:w="1840" w:type="dxa"/>
          </w:tcPr>
          <w:p w:rsidR="00F42706" w:rsidRPr="00F76923" w:rsidRDefault="00F42706" w:rsidP="00CB0D37">
            <w:pPr>
              <w:pStyle w:val="Normal6"/>
              <w:ind w:left="-140"/>
            </w:pPr>
            <w:r w:rsidRPr="00F76923">
              <w:rPr>
                <w:b/>
                <w:i/>
              </w:rPr>
              <w:t xml:space="preserve">IV alapiirkonna ja </w:t>
            </w:r>
            <w:proofErr w:type="spellStart"/>
            <w:r w:rsidRPr="00F76923">
              <w:rPr>
                <w:b/>
                <w:i/>
              </w:rPr>
              <w:t>IIIa</w:t>
            </w:r>
            <w:proofErr w:type="spellEnd"/>
            <w:r w:rsidRPr="00F76923">
              <w:rPr>
                <w:b/>
                <w:i/>
              </w:rPr>
              <w:t xml:space="preserve"> rajooni</w:t>
            </w:r>
            <w:r w:rsidRPr="00F76923">
              <w:t xml:space="preserve"> merilest</w:t>
            </w:r>
          </w:p>
        </w:tc>
        <w:tc>
          <w:tcPr>
            <w:tcW w:w="1559" w:type="dxa"/>
          </w:tcPr>
          <w:p w:rsidR="00F42706" w:rsidRPr="00F76923" w:rsidRDefault="00F42706" w:rsidP="00CB0D37">
            <w:pPr>
              <w:pStyle w:val="Normal6"/>
            </w:pPr>
            <w:r w:rsidRPr="00F76923">
              <w:t>230 000</w:t>
            </w:r>
          </w:p>
        </w:tc>
        <w:tc>
          <w:tcPr>
            <w:tcW w:w="1762" w:type="dxa"/>
          </w:tcPr>
          <w:p w:rsidR="00F42706" w:rsidRPr="00F76923" w:rsidRDefault="00F42706" w:rsidP="00CB0D37">
            <w:pPr>
              <w:pStyle w:val="Normal6"/>
            </w:pPr>
            <w:r w:rsidRPr="00F76923">
              <w:t>160 000</w:t>
            </w:r>
          </w:p>
        </w:tc>
      </w:tr>
      <w:tr w:rsidR="00F42706" w:rsidRPr="00F76923" w:rsidTr="00CB0D37">
        <w:trPr>
          <w:jc w:val="center"/>
        </w:trPr>
        <w:tc>
          <w:tcPr>
            <w:tcW w:w="1843" w:type="dxa"/>
          </w:tcPr>
          <w:p w:rsidR="00F42706" w:rsidRPr="00F76923" w:rsidRDefault="00F42706" w:rsidP="00CB0D37">
            <w:pPr>
              <w:pStyle w:val="Normal6"/>
            </w:pPr>
            <w:r w:rsidRPr="00F76923">
              <w:t>Põhjaatlandi süsikas</w:t>
            </w:r>
          </w:p>
        </w:tc>
        <w:tc>
          <w:tcPr>
            <w:tcW w:w="1785" w:type="dxa"/>
          </w:tcPr>
          <w:p w:rsidR="00F42706" w:rsidRPr="00F76923" w:rsidRDefault="00F42706" w:rsidP="00CB0D37">
            <w:pPr>
              <w:pStyle w:val="Normal6"/>
              <w:rPr>
                <w:b/>
                <w:i/>
              </w:rPr>
            </w:pPr>
            <w:r w:rsidRPr="00F76923">
              <w:rPr>
                <w:b/>
                <w:i/>
              </w:rPr>
              <w:t>200 000</w:t>
            </w:r>
          </w:p>
        </w:tc>
        <w:tc>
          <w:tcPr>
            <w:tcW w:w="1701" w:type="dxa"/>
          </w:tcPr>
          <w:p w:rsidR="00F42706" w:rsidRPr="00F76923" w:rsidRDefault="00F42706" w:rsidP="00CB0D37">
            <w:pPr>
              <w:pStyle w:val="Normal6"/>
            </w:pPr>
            <w:r w:rsidRPr="00F76923">
              <w:t>106 000</w:t>
            </w:r>
          </w:p>
        </w:tc>
        <w:tc>
          <w:tcPr>
            <w:tcW w:w="1840" w:type="dxa"/>
          </w:tcPr>
          <w:p w:rsidR="00F42706" w:rsidRPr="00F76923" w:rsidRDefault="00F42706" w:rsidP="00CB0D37">
            <w:pPr>
              <w:pStyle w:val="Normal6"/>
              <w:ind w:left="-140"/>
            </w:pPr>
            <w:r w:rsidRPr="00F76923">
              <w:rPr>
                <w:b/>
                <w:i/>
              </w:rPr>
              <w:t xml:space="preserve">IV ja VI alapiirkonna ning </w:t>
            </w:r>
            <w:proofErr w:type="spellStart"/>
            <w:r w:rsidRPr="00F76923">
              <w:rPr>
                <w:b/>
                <w:i/>
              </w:rPr>
              <w:t>IIIa</w:t>
            </w:r>
            <w:proofErr w:type="spellEnd"/>
            <w:r w:rsidRPr="00F76923">
              <w:rPr>
                <w:b/>
                <w:i/>
              </w:rPr>
              <w:t xml:space="preserve"> rajooni</w:t>
            </w:r>
            <w:r w:rsidRPr="00F76923">
              <w:t xml:space="preserve"> </w:t>
            </w:r>
            <w:r w:rsidRPr="00F76923">
              <w:lastRenderedPageBreak/>
              <w:t>põhjaatlandi süsikas</w:t>
            </w:r>
          </w:p>
        </w:tc>
        <w:tc>
          <w:tcPr>
            <w:tcW w:w="1559" w:type="dxa"/>
          </w:tcPr>
          <w:p w:rsidR="00F42706" w:rsidRPr="00F76923" w:rsidRDefault="00F42706" w:rsidP="00CB0D37">
            <w:pPr>
              <w:pStyle w:val="Normal6"/>
            </w:pPr>
            <w:r w:rsidRPr="00F76923">
              <w:rPr>
                <w:b/>
                <w:i/>
              </w:rPr>
              <w:lastRenderedPageBreak/>
              <w:t>150 000</w:t>
            </w:r>
          </w:p>
        </w:tc>
        <w:tc>
          <w:tcPr>
            <w:tcW w:w="1762" w:type="dxa"/>
          </w:tcPr>
          <w:p w:rsidR="00F42706" w:rsidRPr="00F76923" w:rsidRDefault="00F42706" w:rsidP="00CB0D37">
            <w:pPr>
              <w:pStyle w:val="Normal6"/>
            </w:pPr>
            <w:r w:rsidRPr="00F76923">
              <w:t>106 000</w:t>
            </w:r>
          </w:p>
        </w:tc>
      </w:tr>
      <w:tr w:rsidR="00F42706" w:rsidRPr="00F76923" w:rsidTr="00CB0D37">
        <w:trPr>
          <w:jc w:val="center"/>
        </w:trPr>
        <w:tc>
          <w:tcPr>
            <w:tcW w:w="1843" w:type="dxa"/>
          </w:tcPr>
          <w:p w:rsidR="00F42706" w:rsidRPr="00F76923" w:rsidRDefault="00F42706" w:rsidP="00CB0D37">
            <w:pPr>
              <w:pStyle w:val="Normal6"/>
            </w:pPr>
            <w:r w:rsidRPr="00F76923">
              <w:rPr>
                <w:b/>
                <w:i/>
              </w:rPr>
              <w:t>Põhjamere</w:t>
            </w:r>
            <w:r w:rsidRPr="00F76923">
              <w:t xml:space="preserve"> harilik merikeel</w:t>
            </w:r>
          </w:p>
        </w:tc>
        <w:tc>
          <w:tcPr>
            <w:tcW w:w="1785" w:type="dxa"/>
          </w:tcPr>
          <w:p w:rsidR="00F42706" w:rsidRPr="00F76923" w:rsidRDefault="00F42706" w:rsidP="00CB0D37">
            <w:pPr>
              <w:pStyle w:val="Normal6"/>
            </w:pPr>
            <w:r w:rsidRPr="00F76923">
              <w:t>37 000</w:t>
            </w:r>
          </w:p>
        </w:tc>
        <w:tc>
          <w:tcPr>
            <w:tcW w:w="1701" w:type="dxa"/>
          </w:tcPr>
          <w:p w:rsidR="00F42706" w:rsidRPr="00F76923" w:rsidRDefault="00F42706" w:rsidP="00CB0D37">
            <w:pPr>
              <w:pStyle w:val="Normal6"/>
            </w:pPr>
            <w:r w:rsidRPr="00F76923">
              <w:t>26 300</w:t>
            </w:r>
          </w:p>
        </w:tc>
        <w:tc>
          <w:tcPr>
            <w:tcW w:w="1840" w:type="dxa"/>
          </w:tcPr>
          <w:p w:rsidR="00F42706" w:rsidRPr="00F76923" w:rsidRDefault="00F42706" w:rsidP="00CB0D37">
            <w:pPr>
              <w:pStyle w:val="Normal6"/>
              <w:ind w:left="-140"/>
            </w:pPr>
            <w:r w:rsidRPr="00F76923">
              <w:rPr>
                <w:b/>
                <w:i/>
              </w:rPr>
              <w:t>IV alapiirkonna</w:t>
            </w:r>
            <w:r w:rsidRPr="00F76923">
              <w:t xml:space="preserve"> harilik merikeel</w:t>
            </w:r>
          </w:p>
        </w:tc>
        <w:tc>
          <w:tcPr>
            <w:tcW w:w="1559" w:type="dxa"/>
          </w:tcPr>
          <w:p w:rsidR="00F42706" w:rsidRPr="00F76923" w:rsidRDefault="00F42706" w:rsidP="00CB0D37">
            <w:pPr>
              <w:pStyle w:val="Normal6"/>
              <w:ind w:left="-138"/>
            </w:pPr>
            <w:r w:rsidRPr="00F76923">
              <w:t>37 000</w:t>
            </w:r>
          </w:p>
        </w:tc>
        <w:tc>
          <w:tcPr>
            <w:tcW w:w="1762" w:type="dxa"/>
          </w:tcPr>
          <w:p w:rsidR="00F42706" w:rsidRPr="00F76923" w:rsidRDefault="00F42706" w:rsidP="00CB0D37">
            <w:pPr>
              <w:pStyle w:val="Normal6"/>
            </w:pPr>
            <w:r w:rsidRPr="00F76923">
              <w:t>26 300</w:t>
            </w:r>
          </w:p>
        </w:tc>
      </w:tr>
      <w:tr w:rsidR="00F42706" w:rsidRPr="00F76923" w:rsidTr="00CB0D37">
        <w:trPr>
          <w:jc w:val="center"/>
        </w:trPr>
        <w:tc>
          <w:tcPr>
            <w:tcW w:w="1843" w:type="dxa"/>
          </w:tcPr>
          <w:p w:rsidR="00F42706" w:rsidRPr="00F76923" w:rsidRDefault="00F42706" w:rsidP="00CB0D37">
            <w:pPr>
              <w:pStyle w:val="Normal6"/>
            </w:pPr>
            <w:r w:rsidRPr="00F76923">
              <w:rPr>
                <w:b/>
                <w:i/>
              </w:rPr>
              <w:t>Kattegati</w:t>
            </w:r>
            <w:r w:rsidRPr="00F76923">
              <w:t xml:space="preserve"> harilik merikeel</w:t>
            </w:r>
          </w:p>
        </w:tc>
        <w:tc>
          <w:tcPr>
            <w:tcW w:w="1785" w:type="dxa"/>
          </w:tcPr>
          <w:p w:rsidR="00F42706" w:rsidRPr="00F76923" w:rsidRDefault="00F42706" w:rsidP="00CB0D37">
            <w:pPr>
              <w:pStyle w:val="Normal6"/>
            </w:pPr>
            <w:r w:rsidRPr="00F76923">
              <w:t>2 600</w:t>
            </w:r>
          </w:p>
        </w:tc>
        <w:tc>
          <w:tcPr>
            <w:tcW w:w="1701" w:type="dxa"/>
          </w:tcPr>
          <w:p w:rsidR="00F42706" w:rsidRPr="00F76923" w:rsidRDefault="00F42706" w:rsidP="00CB0D37">
            <w:pPr>
              <w:pStyle w:val="Normal6"/>
            </w:pPr>
            <w:r w:rsidRPr="00F76923">
              <w:t>1 850</w:t>
            </w:r>
          </w:p>
        </w:tc>
        <w:tc>
          <w:tcPr>
            <w:tcW w:w="1840" w:type="dxa"/>
          </w:tcPr>
          <w:p w:rsidR="00F42706" w:rsidRPr="00F76923" w:rsidRDefault="00F42706" w:rsidP="00CB0D37">
            <w:pPr>
              <w:pStyle w:val="Normal6"/>
              <w:ind w:left="-140"/>
            </w:pPr>
            <w:proofErr w:type="spellStart"/>
            <w:r w:rsidRPr="00F76923">
              <w:rPr>
                <w:b/>
                <w:i/>
              </w:rPr>
              <w:t>IIIa</w:t>
            </w:r>
            <w:proofErr w:type="spellEnd"/>
            <w:r w:rsidRPr="00F76923">
              <w:rPr>
                <w:b/>
                <w:i/>
              </w:rPr>
              <w:t xml:space="preserve"> rajooni ja alarajoonide 22–24</w:t>
            </w:r>
            <w:r w:rsidRPr="00F76923">
              <w:t xml:space="preserve"> harilik merikeel</w:t>
            </w:r>
          </w:p>
        </w:tc>
        <w:tc>
          <w:tcPr>
            <w:tcW w:w="1559" w:type="dxa"/>
          </w:tcPr>
          <w:p w:rsidR="00F42706" w:rsidRPr="00F76923" w:rsidRDefault="00F42706" w:rsidP="00CB0D37">
            <w:pPr>
              <w:pStyle w:val="Normal6"/>
              <w:ind w:left="-138"/>
            </w:pPr>
            <w:r w:rsidRPr="00F76923">
              <w:t>2 600</w:t>
            </w:r>
          </w:p>
        </w:tc>
        <w:tc>
          <w:tcPr>
            <w:tcW w:w="1762" w:type="dxa"/>
          </w:tcPr>
          <w:p w:rsidR="00F42706" w:rsidRPr="00F76923" w:rsidRDefault="00F42706" w:rsidP="00CB0D37">
            <w:pPr>
              <w:pStyle w:val="Normal6"/>
            </w:pPr>
            <w:r w:rsidRPr="00F76923">
              <w:t>1 850</w:t>
            </w:r>
          </w:p>
        </w:tc>
      </w:tr>
      <w:tr w:rsidR="00F42706" w:rsidRPr="00F76923" w:rsidTr="00CB0D37">
        <w:trPr>
          <w:jc w:val="center"/>
        </w:trPr>
        <w:tc>
          <w:tcPr>
            <w:tcW w:w="1843" w:type="dxa"/>
          </w:tcPr>
          <w:p w:rsidR="00F42706" w:rsidRPr="00F76923" w:rsidRDefault="00F42706" w:rsidP="00CB0D37">
            <w:pPr>
              <w:pStyle w:val="Normal6"/>
            </w:pPr>
            <w:r w:rsidRPr="00F76923">
              <w:rPr>
                <w:b/>
                <w:i/>
              </w:rPr>
              <w:t>Põhjamere</w:t>
            </w:r>
            <w:r w:rsidRPr="00F76923">
              <w:t xml:space="preserve"> merlang</w:t>
            </w:r>
          </w:p>
        </w:tc>
        <w:tc>
          <w:tcPr>
            <w:tcW w:w="1785" w:type="dxa"/>
          </w:tcPr>
          <w:p w:rsidR="00F42706" w:rsidRPr="00F76923" w:rsidRDefault="00F42706" w:rsidP="00CB0D37">
            <w:pPr>
              <w:pStyle w:val="Normal6"/>
            </w:pPr>
            <w:r w:rsidRPr="00F76923">
              <w:t>ei ole määratud</w:t>
            </w:r>
          </w:p>
        </w:tc>
        <w:tc>
          <w:tcPr>
            <w:tcW w:w="1701" w:type="dxa"/>
          </w:tcPr>
          <w:p w:rsidR="00F42706" w:rsidRPr="00F76923" w:rsidRDefault="00F42706" w:rsidP="00CB0D37">
            <w:pPr>
              <w:pStyle w:val="Normal6"/>
            </w:pPr>
            <w:r w:rsidRPr="00F76923">
              <w:t>ei ole määratud</w:t>
            </w:r>
          </w:p>
        </w:tc>
        <w:tc>
          <w:tcPr>
            <w:tcW w:w="1840" w:type="dxa"/>
          </w:tcPr>
          <w:p w:rsidR="00F42706" w:rsidRPr="00F76923" w:rsidRDefault="00F42706" w:rsidP="00CB0D37">
            <w:pPr>
              <w:pStyle w:val="Normal6"/>
              <w:ind w:left="-140"/>
            </w:pPr>
            <w:r w:rsidRPr="00F76923">
              <w:rPr>
                <w:b/>
                <w:i/>
              </w:rPr>
              <w:t xml:space="preserve">IV alapiirkonna ja </w:t>
            </w:r>
            <w:proofErr w:type="spellStart"/>
            <w:r w:rsidRPr="00F76923">
              <w:rPr>
                <w:b/>
                <w:i/>
              </w:rPr>
              <w:t>VIId</w:t>
            </w:r>
            <w:proofErr w:type="spellEnd"/>
            <w:r w:rsidRPr="00F76923">
              <w:rPr>
                <w:b/>
                <w:i/>
              </w:rPr>
              <w:t xml:space="preserve"> rajooni</w:t>
            </w:r>
            <w:r w:rsidRPr="00F76923">
              <w:t xml:space="preserve"> merlang</w:t>
            </w:r>
          </w:p>
        </w:tc>
        <w:tc>
          <w:tcPr>
            <w:tcW w:w="1559" w:type="dxa"/>
          </w:tcPr>
          <w:p w:rsidR="00F42706" w:rsidRPr="00F76923" w:rsidRDefault="00F42706" w:rsidP="00CB0D37">
            <w:pPr>
              <w:pStyle w:val="Normal6"/>
              <w:ind w:left="-138"/>
            </w:pPr>
            <w:r w:rsidRPr="00F76923">
              <w:t>ei ole määratud</w:t>
            </w:r>
          </w:p>
        </w:tc>
        <w:tc>
          <w:tcPr>
            <w:tcW w:w="1762" w:type="dxa"/>
          </w:tcPr>
          <w:p w:rsidR="00F42706" w:rsidRPr="00F76923" w:rsidRDefault="00F42706" w:rsidP="00CB0D37">
            <w:pPr>
              <w:pStyle w:val="Normal6"/>
            </w:pPr>
            <w:r w:rsidRPr="00F76923">
              <w:t>ei ole määratud</w:t>
            </w:r>
          </w:p>
        </w:tc>
      </w:tr>
      <w:tr w:rsidR="00F42706" w:rsidRPr="00F76923" w:rsidTr="00CB0D37">
        <w:trPr>
          <w:jc w:val="center"/>
        </w:trPr>
        <w:tc>
          <w:tcPr>
            <w:tcW w:w="1843" w:type="dxa"/>
          </w:tcPr>
          <w:p w:rsidR="00F42706" w:rsidRPr="00F76923" w:rsidRDefault="00F42706" w:rsidP="00CB0D37">
            <w:pPr>
              <w:pStyle w:val="Normal6"/>
              <w:rPr>
                <w:b/>
                <w:i/>
              </w:rPr>
            </w:pPr>
          </w:p>
        </w:tc>
        <w:tc>
          <w:tcPr>
            <w:tcW w:w="1785" w:type="dxa"/>
          </w:tcPr>
          <w:p w:rsidR="00F42706" w:rsidRPr="00F76923" w:rsidRDefault="00F42706" w:rsidP="00CB0D37">
            <w:pPr>
              <w:pStyle w:val="Normal6"/>
            </w:pPr>
          </w:p>
        </w:tc>
        <w:tc>
          <w:tcPr>
            <w:tcW w:w="1701" w:type="dxa"/>
          </w:tcPr>
          <w:p w:rsidR="00F42706" w:rsidRPr="00F76923" w:rsidRDefault="00F42706" w:rsidP="00CB0D37">
            <w:pPr>
              <w:pStyle w:val="Normal6"/>
            </w:pPr>
          </w:p>
        </w:tc>
        <w:tc>
          <w:tcPr>
            <w:tcW w:w="1840" w:type="dxa"/>
          </w:tcPr>
          <w:p w:rsidR="00F42706" w:rsidRPr="00F76923" w:rsidRDefault="00F42706" w:rsidP="00CB0D37">
            <w:pPr>
              <w:pStyle w:val="Normal6"/>
              <w:ind w:left="-140"/>
            </w:pPr>
            <w:proofErr w:type="spellStart"/>
            <w:r w:rsidRPr="00F76923">
              <w:rPr>
                <w:b/>
                <w:i/>
              </w:rPr>
              <w:t>IIIa</w:t>
            </w:r>
            <w:proofErr w:type="spellEnd"/>
            <w:r w:rsidRPr="00F76923">
              <w:rPr>
                <w:b/>
                <w:i/>
              </w:rPr>
              <w:t xml:space="preserve"> rajooni ning IV ja VI alapiirkonna euroopa merikurat</w:t>
            </w:r>
          </w:p>
        </w:tc>
        <w:tc>
          <w:tcPr>
            <w:tcW w:w="1559" w:type="dxa"/>
          </w:tcPr>
          <w:p w:rsidR="00F42706" w:rsidRPr="00F76923" w:rsidRDefault="00F42706" w:rsidP="00CB0D37">
            <w:pPr>
              <w:pStyle w:val="Normal6"/>
              <w:ind w:left="-138"/>
              <w:rPr>
                <w:b/>
                <w:i/>
              </w:rPr>
            </w:pPr>
            <w:r w:rsidRPr="00F76923">
              <w:rPr>
                <w:b/>
                <w:i/>
              </w:rPr>
              <w:t>ei ole määratud</w:t>
            </w:r>
          </w:p>
        </w:tc>
        <w:tc>
          <w:tcPr>
            <w:tcW w:w="1762" w:type="dxa"/>
          </w:tcPr>
          <w:p w:rsidR="00F42706" w:rsidRPr="00F76923" w:rsidRDefault="00F42706" w:rsidP="00CB0D37">
            <w:pPr>
              <w:pStyle w:val="Normal6"/>
              <w:ind w:right="-57"/>
              <w:rPr>
                <w:b/>
                <w:i/>
              </w:rPr>
            </w:pPr>
            <w:r w:rsidRPr="00F76923">
              <w:rPr>
                <w:b/>
                <w:i/>
              </w:rPr>
              <w:t>ei ole määratud</w:t>
            </w:r>
          </w:p>
        </w:tc>
      </w:tr>
      <w:tr w:rsidR="00F42706" w:rsidRPr="00F76923" w:rsidTr="00CB0D37">
        <w:trPr>
          <w:jc w:val="center"/>
        </w:trPr>
        <w:tc>
          <w:tcPr>
            <w:tcW w:w="1843" w:type="dxa"/>
          </w:tcPr>
          <w:p w:rsidR="00F42706" w:rsidRPr="00F76923" w:rsidRDefault="00F42706" w:rsidP="00CB0D37">
            <w:pPr>
              <w:pStyle w:val="Normal6"/>
              <w:rPr>
                <w:b/>
                <w:i/>
              </w:rPr>
            </w:pPr>
          </w:p>
        </w:tc>
        <w:tc>
          <w:tcPr>
            <w:tcW w:w="1785" w:type="dxa"/>
          </w:tcPr>
          <w:p w:rsidR="00F42706" w:rsidRPr="00F76923" w:rsidRDefault="00F42706" w:rsidP="00CB0D37">
            <w:pPr>
              <w:pStyle w:val="Normal6"/>
            </w:pPr>
          </w:p>
        </w:tc>
        <w:tc>
          <w:tcPr>
            <w:tcW w:w="1701" w:type="dxa"/>
          </w:tcPr>
          <w:p w:rsidR="00F42706" w:rsidRPr="00F76923" w:rsidRDefault="00F42706" w:rsidP="00CB0D37">
            <w:pPr>
              <w:pStyle w:val="Normal6"/>
            </w:pPr>
          </w:p>
        </w:tc>
        <w:tc>
          <w:tcPr>
            <w:tcW w:w="1840" w:type="dxa"/>
          </w:tcPr>
          <w:p w:rsidR="00F42706" w:rsidRPr="00F76923" w:rsidRDefault="00F42706" w:rsidP="00CB0D37">
            <w:pPr>
              <w:pStyle w:val="Normal6"/>
              <w:ind w:left="-140"/>
            </w:pPr>
            <w:proofErr w:type="spellStart"/>
            <w:r w:rsidRPr="00F76923">
              <w:rPr>
                <w:b/>
                <w:i/>
              </w:rPr>
              <w:t>IVa</w:t>
            </w:r>
            <w:proofErr w:type="spellEnd"/>
            <w:r w:rsidRPr="00F76923">
              <w:rPr>
                <w:b/>
                <w:i/>
              </w:rPr>
              <w:t xml:space="preserve"> rajooni idaosa ja </w:t>
            </w:r>
            <w:proofErr w:type="spellStart"/>
            <w:r w:rsidRPr="00F76923">
              <w:rPr>
                <w:b/>
                <w:i/>
              </w:rPr>
              <w:t>IIIa</w:t>
            </w:r>
            <w:proofErr w:type="spellEnd"/>
            <w:r w:rsidRPr="00F76923">
              <w:rPr>
                <w:b/>
                <w:i/>
              </w:rPr>
              <w:t xml:space="preserve"> rajooni harilik süvameregarneel</w:t>
            </w:r>
          </w:p>
        </w:tc>
        <w:tc>
          <w:tcPr>
            <w:tcW w:w="1559" w:type="dxa"/>
          </w:tcPr>
          <w:p w:rsidR="00F42706" w:rsidRPr="00F76923" w:rsidRDefault="00F42706" w:rsidP="00CB0D37">
            <w:pPr>
              <w:pStyle w:val="Normal6"/>
              <w:ind w:left="-138"/>
              <w:rPr>
                <w:b/>
                <w:i/>
              </w:rPr>
            </w:pPr>
            <w:r w:rsidRPr="00F76923">
              <w:rPr>
                <w:b/>
                <w:i/>
              </w:rPr>
              <w:t>ei ole määratud</w:t>
            </w:r>
          </w:p>
        </w:tc>
        <w:tc>
          <w:tcPr>
            <w:tcW w:w="1762" w:type="dxa"/>
          </w:tcPr>
          <w:p w:rsidR="00F42706" w:rsidRPr="00F76923" w:rsidRDefault="00F42706" w:rsidP="00CB0D37">
            <w:pPr>
              <w:pStyle w:val="Normal6"/>
              <w:rPr>
                <w:b/>
                <w:i/>
              </w:rPr>
            </w:pPr>
            <w:r w:rsidRPr="00F76923">
              <w:rPr>
                <w:b/>
                <w:i/>
              </w:rPr>
              <w:t>ei ole määratud</w:t>
            </w:r>
          </w:p>
        </w:tc>
      </w:tr>
      <w:tr w:rsidR="00F42706" w:rsidRPr="00F76923" w:rsidTr="00CB0D37">
        <w:trPr>
          <w:jc w:val="center"/>
        </w:trPr>
        <w:tc>
          <w:tcPr>
            <w:tcW w:w="5329" w:type="dxa"/>
            <w:gridSpan w:val="3"/>
          </w:tcPr>
          <w:p w:rsidR="00F42706" w:rsidRPr="00F76923" w:rsidRDefault="00F42706" w:rsidP="00CB0D37">
            <w:pPr>
              <w:pStyle w:val="Normal6"/>
            </w:pPr>
            <w:r w:rsidRPr="00F76923">
              <w:t>2. 2. rühm</w:t>
            </w:r>
          </w:p>
        </w:tc>
        <w:tc>
          <w:tcPr>
            <w:tcW w:w="5161" w:type="dxa"/>
            <w:gridSpan w:val="3"/>
          </w:tcPr>
          <w:p w:rsidR="00F42706" w:rsidRPr="00F76923" w:rsidRDefault="002A1D61" w:rsidP="00CB0D37">
            <w:pPr>
              <w:pStyle w:val="Normal6"/>
            </w:pPr>
            <w:r w:rsidRPr="00F76923">
              <w:t>2. 2. </w:t>
            </w:r>
            <w:r w:rsidR="00F42706" w:rsidRPr="00F76923">
              <w:t>rühm</w:t>
            </w:r>
          </w:p>
        </w:tc>
      </w:tr>
      <w:tr w:rsidR="00F42706" w:rsidRPr="00F76923" w:rsidTr="00CB0D37">
        <w:trPr>
          <w:jc w:val="center"/>
        </w:trPr>
        <w:tc>
          <w:tcPr>
            <w:tcW w:w="1843" w:type="dxa"/>
          </w:tcPr>
          <w:p w:rsidR="00F42706" w:rsidRPr="00F76923" w:rsidRDefault="00F42706" w:rsidP="00CB0D37">
            <w:pPr>
              <w:pStyle w:val="Normal6"/>
            </w:pPr>
            <w:r w:rsidRPr="00F76923">
              <w:t>Norra salehomaari funktsionaalne üksus</w:t>
            </w:r>
          </w:p>
        </w:tc>
        <w:tc>
          <w:tcPr>
            <w:tcW w:w="1785" w:type="dxa"/>
          </w:tcPr>
          <w:p w:rsidR="00F42706" w:rsidRPr="00F76923" w:rsidRDefault="00F42706" w:rsidP="00CB0D37">
            <w:pPr>
              <w:pStyle w:val="Normal6"/>
              <w:ind w:left="-56"/>
            </w:pPr>
            <w:r w:rsidRPr="00F76923">
              <w:t>Arvukuse piirväärtuse miinimumtase (miljonites) (</w:t>
            </w:r>
            <w:proofErr w:type="spellStart"/>
            <w:r w:rsidRPr="00F76923">
              <w:t>Abundance</w:t>
            </w:r>
            <w:r w:rsidRPr="00F76923">
              <w:rPr>
                <w:vertAlign w:val="subscript"/>
              </w:rPr>
              <w:t>buffer</w:t>
            </w:r>
            <w:proofErr w:type="spellEnd"/>
            <w:r w:rsidRPr="00F76923">
              <w:t>)</w:t>
            </w:r>
          </w:p>
        </w:tc>
        <w:tc>
          <w:tcPr>
            <w:tcW w:w="1701" w:type="dxa"/>
          </w:tcPr>
          <w:p w:rsidR="00F42706" w:rsidRPr="00F76923" w:rsidRDefault="00F42706" w:rsidP="00CB0D37">
            <w:pPr>
              <w:pStyle w:val="Normal6"/>
              <w:ind w:left="-140"/>
            </w:pPr>
            <w:r w:rsidRPr="00F76923">
              <w:t>Arvukuse piirväärtus (miljonites) (</w:t>
            </w:r>
            <w:proofErr w:type="spellStart"/>
            <w:r w:rsidRPr="00F76923">
              <w:t>Abundance</w:t>
            </w:r>
            <w:r w:rsidRPr="00F76923">
              <w:rPr>
                <w:vertAlign w:val="subscript"/>
              </w:rPr>
              <w:t>limit</w:t>
            </w:r>
            <w:proofErr w:type="spellEnd"/>
            <w:r w:rsidRPr="00F76923">
              <w:t>)</w:t>
            </w:r>
          </w:p>
        </w:tc>
        <w:tc>
          <w:tcPr>
            <w:tcW w:w="1840" w:type="dxa"/>
          </w:tcPr>
          <w:p w:rsidR="00F42706" w:rsidRPr="00F76923" w:rsidRDefault="00F42706" w:rsidP="00CB0D37">
            <w:pPr>
              <w:pStyle w:val="Normal6"/>
            </w:pPr>
            <w:r w:rsidRPr="00F76923">
              <w:t>Norra salehomaari funktsionaalne üksus</w:t>
            </w:r>
          </w:p>
        </w:tc>
        <w:tc>
          <w:tcPr>
            <w:tcW w:w="1559" w:type="dxa"/>
          </w:tcPr>
          <w:p w:rsidR="00F42706" w:rsidRPr="00F76923" w:rsidRDefault="00F42706" w:rsidP="00CB0D37">
            <w:pPr>
              <w:pStyle w:val="Normal6"/>
              <w:ind w:left="-138"/>
            </w:pPr>
            <w:r w:rsidRPr="00F76923">
              <w:t>Arvukuse piirväärtuse miinimumtase (miljonites) (</w:t>
            </w:r>
            <w:proofErr w:type="spellStart"/>
            <w:r w:rsidRPr="00F76923">
              <w:t>Abundance</w:t>
            </w:r>
            <w:r w:rsidRPr="00F76923">
              <w:rPr>
                <w:vertAlign w:val="subscript"/>
              </w:rPr>
              <w:t>buffer</w:t>
            </w:r>
            <w:proofErr w:type="spellEnd"/>
            <w:r w:rsidRPr="00F76923">
              <w:t>)</w:t>
            </w:r>
          </w:p>
        </w:tc>
        <w:tc>
          <w:tcPr>
            <w:tcW w:w="1762" w:type="dxa"/>
          </w:tcPr>
          <w:p w:rsidR="00F42706" w:rsidRPr="00F76923" w:rsidRDefault="00F42706" w:rsidP="00CB0D37">
            <w:pPr>
              <w:pStyle w:val="Normal6"/>
              <w:ind w:left="-137"/>
            </w:pPr>
            <w:r w:rsidRPr="00F76923">
              <w:t>Arvukuse piirväärtus (miljonites) (</w:t>
            </w:r>
            <w:proofErr w:type="spellStart"/>
            <w:r w:rsidRPr="00F76923">
              <w:t>Abundance</w:t>
            </w:r>
            <w:r w:rsidRPr="00F76923">
              <w:rPr>
                <w:vertAlign w:val="subscript"/>
              </w:rPr>
              <w:t>limit</w:t>
            </w:r>
            <w:proofErr w:type="spellEnd"/>
            <w:r w:rsidRPr="00F76923">
              <w:t>)</w:t>
            </w:r>
          </w:p>
        </w:tc>
      </w:tr>
      <w:tr w:rsidR="00F42706" w:rsidRPr="00F76923" w:rsidTr="00CB0D37">
        <w:trPr>
          <w:jc w:val="center"/>
        </w:trPr>
        <w:tc>
          <w:tcPr>
            <w:tcW w:w="5329" w:type="dxa"/>
            <w:gridSpan w:val="3"/>
          </w:tcPr>
          <w:p w:rsidR="00F42706" w:rsidRPr="00F76923" w:rsidRDefault="00F42706" w:rsidP="00CB0D37">
            <w:pPr>
              <w:pStyle w:val="Normal6"/>
            </w:pPr>
          </w:p>
        </w:tc>
        <w:tc>
          <w:tcPr>
            <w:tcW w:w="1840" w:type="dxa"/>
          </w:tcPr>
          <w:p w:rsidR="00F42706" w:rsidRPr="00F76923" w:rsidRDefault="00F42706" w:rsidP="00CB0D37">
            <w:pPr>
              <w:pStyle w:val="Normal6"/>
            </w:pPr>
          </w:p>
        </w:tc>
        <w:tc>
          <w:tcPr>
            <w:tcW w:w="1559" w:type="dxa"/>
          </w:tcPr>
          <w:p w:rsidR="00F42706" w:rsidRPr="00F76923" w:rsidRDefault="00F42706" w:rsidP="00CB0D37">
            <w:pPr>
              <w:pStyle w:val="Normal6"/>
              <w:rPr>
                <w:b/>
                <w:i/>
              </w:rPr>
            </w:pPr>
            <w:r w:rsidRPr="00F76923">
              <w:rPr>
                <w:b/>
                <w:i/>
              </w:rPr>
              <w:t>Veerg A</w:t>
            </w:r>
          </w:p>
        </w:tc>
        <w:tc>
          <w:tcPr>
            <w:tcW w:w="1762" w:type="dxa"/>
          </w:tcPr>
          <w:p w:rsidR="00F42706" w:rsidRPr="00F76923" w:rsidRDefault="00F42706" w:rsidP="00CB0D37">
            <w:pPr>
              <w:pStyle w:val="Normal6"/>
              <w:rPr>
                <w:b/>
                <w:i/>
              </w:rPr>
            </w:pPr>
            <w:r w:rsidRPr="00F76923">
              <w:rPr>
                <w:b/>
                <w:i/>
              </w:rPr>
              <w:t>Veerg B</w:t>
            </w:r>
          </w:p>
        </w:tc>
      </w:tr>
      <w:tr w:rsidR="00F42706" w:rsidRPr="00F76923" w:rsidTr="00CB0D37">
        <w:trPr>
          <w:jc w:val="center"/>
        </w:trPr>
        <w:tc>
          <w:tcPr>
            <w:tcW w:w="1843" w:type="dxa"/>
          </w:tcPr>
          <w:p w:rsidR="00F42706" w:rsidRPr="00F76923" w:rsidRDefault="00F42706" w:rsidP="00CB0D37">
            <w:pPr>
              <w:pStyle w:val="Normal6"/>
            </w:pPr>
            <w:proofErr w:type="spellStart"/>
            <w:r w:rsidRPr="00F76923">
              <w:t>IIIa</w:t>
            </w:r>
            <w:proofErr w:type="spellEnd"/>
            <w:r w:rsidRPr="00F76923">
              <w:t xml:space="preserve"> rajoon (FÜ 3 ja 4)</w:t>
            </w:r>
          </w:p>
        </w:tc>
        <w:tc>
          <w:tcPr>
            <w:tcW w:w="1785" w:type="dxa"/>
          </w:tcPr>
          <w:p w:rsidR="00F42706" w:rsidRPr="00F76923" w:rsidRDefault="00F42706" w:rsidP="00CB0D37">
            <w:pPr>
              <w:pStyle w:val="Normal6"/>
              <w:rPr>
                <w:rFonts w:eastAsia="Arial Unicode MS"/>
              </w:rPr>
            </w:pPr>
            <w:r w:rsidRPr="00F76923">
              <w:t>EI KOHALDATA</w:t>
            </w:r>
          </w:p>
        </w:tc>
        <w:tc>
          <w:tcPr>
            <w:tcW w:w="1701" w:type="dxa"/>
          </w:tcPr>
          <w:p w:rsidR="00F42706" w:rsidRPr="00F76923" w:rsidRDefault="00F42706" w:rsidP="00CB0D37">
            <w:pPr>
              <w:pStyle w:val="Normal6"/>
              <w:rPr>
                <w:rFonts w:eastAsia="Arial Unicode MS"/>
              </w:rPr>
            </w:pPr>
            <w:r w:rsidRPr="00F76923">
              <w:t>EI KOHALDATA</w:t>
            </w:r>
          </w:p>
        </w:tc>
        <w:tc>
          <w:tcPr>
            <w:tcW w:w="1840" w:type="dxa"/>
          </w:tcPr>
          <w:p w:rsidR="00F42706" w:rsidRPr="00F76923" w:rsidRDefault="00F42706" w:rsidP="00CB0D37">
            <w:pPr>
              <w:pStyle w:val="Normal6"/>
            </w:pPr>
            <w:proofErr w:type="spellStart"/>
            <w:r w:rsidRPr="00F76923">
              <w:t>IIIa</w:t>
            </w:r>
            <w:proofErr w:type="spellEnd"/>
            <w:r w:rsidRPr="00F76923">
              <w:t xml:space="preserve"> rajoon (FÜ 3 ja 4)</w:t>
            </w:r>
          </w:p>
        </w:tc>
        <w:tc>
          <w:tcPr>
            <w:tcW w:w="1559" w:type="dxa"/>
          </w:tcPr>
          <w:p w:rsidR="00F42706" w:rsidRPr="00F76923" w:rsidRDefault="00F42706" w:rsidP="00CB0D37">
            <w:pPr>
              <w:pStyle w:val="Normal6"/>
              <w:rPr>
                <w:rFonts w:eastAsia="Arial Unicode MS"/>
              </w:rPr>
            </w:pPr>
            <w:r w:rsidRPr="00F76923">
              <w:t>EI KOHALDATA</w:t>
            </w:r>
          </w:p>
        </w:tc>
        <w:tc>
          <w:tcPr>
            <w:tcW w:w="1762" w:type="dxa"/>
          </w:tcPr>
          <w:p w:rsidR="00F42706" w:rsidRPr="00F76923" w:rsidRDefault="00F42706" w:rsidP="00CB0D37">
            <w:pPr>
              <w:pStyle w:val="Normal6"/>
              <w:rPr>
                <w:rFonts w:eastAsia="Arial Unicode MS"/>
              </w:rPr>
            </w:pPr>
            <w:r w:rsidRPr="00F76923">
              <w:t>EI KOHALDATA</w:t>
            </w:r>
          </w:p>
        </w:tc>
      </w:tr>
      <w:tr w:rsidR="00F42706" w:rsidRPr="00F76923" w:rsidTr="00CB0D37">
        <w:trPr>
          <w:jc w:val="center"/>
        </w:trPr>
        <w:tc>
          <w:tcPr>
            <w:tcW w:w="1843" w:type="dxa"/>
          </w:tcPr>
          <w:p w:rsidR="00F42706" w:rsidRPr="00F76923" w:rsidRDefault="00F42706" w:rsidP="00CB0D37">
            <w:pPr>
              <w:pStyle w:val="Normal6"/>
            </w:pPr>
            <w:proofErr w:type="spellStart"/>
            <w:r w:rsidRPr="00F76923">
              <w:t>Farne’i</w:t>
            </w:r>
            <w:proofErr w:type="spellEnd"/>
            <w:r w:rsidRPr="00F76923">
              <w:t xml:space="preserve"> sügavik (FÜ 6)</w:t>
            </w:r>
          </w:p>
        </w:tc>
        <w:tc>
          <w:tcPr>
            <w:tcW w:w="1785" w:type="dxa"/>
          </w:tcPr>
          <w:p w:rsidR="00F42706" w:rsidRPr="00F76923" w:rsidRDefault="00F42706" w:rsidP="00CB0D37">
            <w:pPr>
              <w:pStyle w:val="Normal6"/>
              <w:rPr>
                <w:rFonts w:eastAsia="Arial Unicode MS"/>
              </w:rPr>
            </w:pPr>
            <w:r w:rsidRPr="00F76923">
              <w:t>999</w:t>
            </w:r>
          </w:p>
        </w:tc>
        <w:tc>
          <w:tcPr>
            <w:tcW w:w="1701" w:type="dxa"/>
          </w:tcPr>
          <w:p w:rsidR="00F42706" w:rsidRPr="00F76923" w:rsidRDefault="00F42706" w:rsidP="00CB0D37">
            <w:pPr>
              <w:pStyle w:val="Normal6"/>
              <w:rPr>
                <w:rFonts w:eastAsia="Arial Unicode MS"/>
              </w:rPr>
            </w:pPr>
            <w:r w:rsidRPr="00F76923">
              <w:t>858</w:t>
            </w:r>
          </w:p>
        </w:tc>
        <w:tc>
          <w:tcPr>
            <w:tcW w:w="1840" w:type="dxa"/>
          </w:tcPr>
          <w:p w:rsidR="00F42706" w:rsidRPr="00F76923" w:rsidRDefault="00F42706" w:rsidP="00CB0D37">
            <w:pPr>
              <w:pStyle w:val="Normal6"/>
            </w:pPr>
            <w:proofErr w:type="spellStart"/>
            <w:r w:rsidRPr="00F76923">
              <w:t>Farne’i</w:t>
            </w:r>
            <w:proofErr w:type="spellEnd"/>
            <w:r w:rsidRPr="00F76923">
              <w:t xml:space="preserve"> sügavik (FÜ 6)</w:t>
            </w:r>
          </w:p>
        </w:tc>
        <w:tc>
          <w:tcPr>
            <w:tcW w:w="1559" w:type="dxa"/>
          </w:tcPr>
          <w:p w:rsidR="00F42706" w:rsidRPr="00F76923" w:rsidRDefault="00F42706" w:rsidP="00CB0D37">
            <w:pPr>
              <w:pStyle w:val="Normal6"/>
              <w:rPr>
                <w:rFonts w:eastAsia="Arial Unicode MS"/>
              </w:rPr>
            </w:pPr>
            <w:r w:rsidRPr="00F76923">
              <w:t>999</w:t>
            </w:r>
          </w:p>
        </w:tc>
        <w:tc>
          <w:tcPr>
            <w:tcW w:w="1762" w:type="dxa"/>
          </w:tcPr>
          <w:p w:rsidR="00F42706" w:rsidRPr="00F76923" w:rsidRDefault="00F42706" w:rsidP="00CB0D37">
            <w:pPr>
              <w:pStyle w:val="Normal6"/>
              <w:rPr>
                <w:rFonts w:eastAsia="Arial Unicode MS"/>
              </w:rPr>
            </w:pPr>
            <w:r w:rsidRPr="00F76923">
              <w:t>858</w:t>
            </w:r>
          </w:p>
        </w:tc>
      </w:tr>
      <w:tr w:rsidR="00F42706" w:rsidRPr="00F76923" w:rsidTr="00CB0D37">
        <w:trPr>
          <w:jc w:val="center"/>
        </w:trPr>
        <w:tc>
          <w:tcPr>
            <w:tcW w:w="1843" w:type="dxa"/>
          </w:tcPr>
          <w:p w:rsidR="00F42706" w:rsidRPr="00F76923" w:rsidRDefault="00F42706" w:rsidP="00CB0D37">
            <w:pPr>
              <w:pStyle w:val="Normal6"/>
            </w:pPr>
            <w:proofErr w:type="spellStart"/>
            <w:r w:rsidRPr="00F76923">
              <w:lastRenderedPageBreak/>
              <w:t>Fladen</w:t>
            </w:r>
            <w:proofErr w:type="spellEnd"/>
            <w:r w:rsidRPr="00F76923">
              <w:t xml:space="preserve"> </w:t>
            </w:r>
            <w:proofErr w:type="spellStart"/>
            <w:r w:rsidRPr="00F76923">
              <w:t>Ground</w:t>
            </w:r>
            <w:proofErr w:type="spellEnd"/>
            <w:r w:rsidRPr="00F76923">
              <w:t xml:space="preserve"> (FÜ 7)</w:t>
            </w:r>
          </w:p>
        </w:tc>
        <w:tc>
          <w:tcPr>
            <w:tcW w:w="1785" w:type="dxa"/>
          </w:tcPr>
          <w:p w:rsidR="00F42706" w:rsidRPr="00F76923" w:rsidRDefault="00F42706" w:rsidP="00CB0D37">
            <w:pPr>
              <w:pStyle w:val="Normal6"/>
              <w:rPr>
                <w:rFonts w:eastAsia="Arial Unicode MS"/>
              </w:rPr>
            </w:pPr>
            <w:r w:rsidRPr="00F76923">
              <w:t>3583</w:t>
            </w:r>
          </w:p>
        </w:tc>
        <w:tc>
          <w:tcPr>
            <w:tcW w:w="1701" w:type="dxa"/>
          </w:tcPr>
          <w:p w:rsidR="00F42706" w:rsidRPr="00F76923" w:rsidRDefault="00F42706" w:rsidP="00CB0D37">
            <w:pPr>
              <w:pStyle w:val="Normal6"/>
              <w:rPr>
                <w:rFonts w:eastAsia="Arial Unicode MS"/>
              </w:rPr>
            </w:pPr>
            <w:r w:rsidRPr="00F76923">
              <w:t>2767</w:t>
            </w:r>
          </w:p>
        </w:tc>
        <w:tc>
          <w:tcPr>
            <w:tcW w:w="1840" w:type="dxa"/>
          </w:tcPr>
          <w:p w:rsidR="00F42706" w:rsidRPr="00F76923" w:rsidRDefault="00F42706" w:rsidP="00CB0D37">
            <w:pPr>
              <w:pStyle w:val="Normal6"/>
            </w:pPr>
            <w:proofErr w:type="spellStart"/>
            <w:r w:rsidRPr="00F76923">
              <w:t>Fladen</w:t>
            </w:r>
            <w:proofErr w:type="spellEnd"/>
            <w:r w:rsidRPr="00F76923">
              <w:t xml:space="preserve"> </w:t>
            </w:r>
            <w:proofErr w:type="spellStart"/>
            <w:r w:rsidRPr="00F76923">
              <w:t>Ground</w:t>
            </w:r>
            <w:proofErr w:type="spellEnd"/>
            <w:r w:rsidRPr="00F76923">
              <w:t xml:space="preserve"> (FÜ 7)</w:t>
            </w:r>
          </w:p>
        </w:tc>
        <w:tc>
          <w:tcPr>
            <w:tcW w:w="1559" w:type="dxa"/>
          </w:tcPr>
          <w:p w:rsidR="00F42706" w:rsidRPr="00F76923" w:rsidRDefault="00F42706" w:rsidP="00CB0D37">
            <w:pPr>
              <w:pStyle w:val="Normal6"/>
              <w:rPr>
                <w:rFonts w:eastAsia="Arial Unicode MS"/>
              </w:rPr>
            </w:pPr>
            <w:r w:rsidRPr="00F76923">
              <w:t>3583</w:t>
            </w:r>
          </w:p>
        </w:tc>
        <w:tc>
          <w:tcPr>
            <w:tcW w:w="1762" w:type="dxa"/>
          </w:tcPr>
          <w:p w:rsidR="00F42706" w:rsidRPr="00F76923" w:rsidRDefault="00F42706" w:rsidP="00CB0D37">
            <w:pPr>
              <w:pStyle w:val="Normal6"/>
              <w:rPr>
                <w:rFonts w:eastAsia="Arial Unicode MS"/>
              </w:rPr>
            </w:pPr>
            <w:r w:rsidRPr="00F76923">
              <w:t>2767</w:t>
            </w:r>
          </w:p>
        </w:tc>
      </w:tr>
      <w:tr w:rsidR="00F42706" w:rsidRPr="00F76923" w:rsidTr="00CB0D37">
        <w:trPr>
          <w:jc w:val="center"/>
        </w:trPr>
        <w:tc>
          <w:tcPr>
            <w:tcW w:w="1843" w:type="dxa"/>
          </w:tcPr>
          <w:p w:rsidR="00F42706" w:rsidRPr="00F76923" w:rsidRDefault="00F42706" w:rsidP="00CB0D37">
            <w:pPr>
              <w:pStyle w:val="Normal6"/>
            </w:pPr>
            <w:proofErr w:type="spellStart"/>
            <w:r w:rsidRPr="00F76923">
              <w:t>Firth</w:t>
            </w:r>
            <w:proofErr w:type="spellEnd"/>
            <w:r w:rsidRPr="00F76923">
              <w:t xml:space="preserve"> of </w:t>
            </w:r>
            <w:proofErr w:type="spellStart"/>
            <w:r w:rsidRPr="00F76923">
              <w:t>Forth</w:t>
            </w:r>
            <w:proofErr w:type="spellEnd"/>
            <w:r w:rsidRPr="00F76923">
              <w:t xml:space="preserve"> (FÜ 8)</w:t>
            </w:r>
          </w:p>
        </w:tc>
        <w:tc>
          <w:tcPr>
            <w:tcW w:w="1785" w:type="dxa"/>
          </w:tcPr>
          <w:p w:rsidR="00F42706" w:rsidRPr="00F76923" w:rsidRDefault="00F42706" w:rsidP="00CB0D37">
            <w:pPr>
              <w:pStyle w:val="Normal6"/>
              <w:rPr>
                <w:rFonts w:eastAsia="Arial Unicode MS"/>
              </w:rPr>
            </w:pPr>
            <w:r w:rsidRPr="00F76923">
              <w:t>362</w:t>
            </w:r>
          </w:p>
        </w:tc>
        <w:tc>
          <w:tcPr>
            <w:tcW w:w="1701" w:type="dxa"/>
          </w:tcPr>
          <w:p w:rsidR="00F42706" w:rsidRPr="00F76923" w:rsidRDefault="00F42706" w:rsidP="00CB0D37">
            <w:pPr>
              <w:pStyle w:val="Normal6"/>
              <w:rPr>
                <w:rFonts w:eastAsia="Arial Unicode MS"/>
              </w:rPr>
            </w:pPr>
            <w:r w:rsidRPr="00F76923">
              <w:t>292</w:t>
            </w:r>
          </w:p>
        </w:tc>
        <w:tc>
          <w:tcPr>
            <w:tcW w:w="1840" w:type="dxa"/>
          </w:tcPr>
          <w:p w:rsidR="00F42706" w:rsidRPr="00F76923" w:rsidRDefault="00F42706" w:rsidP="00CB0D37">
            <w:pPr>
              <w:pStyle w:val="Normal6"/>
            </w:pPr>
            <w:proofErr w:type="spellStart"/>
            <w:r w:rsidRPr="00F76923">
              <w:t>Firth</w:t>
            </w:r>
            <w:proofErr w:type="spellEnd"/>
            <w:r w:rsidRPr="00F76923">
              <w:t xml:space="preserve"> of </w:t>
            </w:r>
            <w:proofErr w:type="spellStart"/>
            <w:r w:rsidRPr="00F76923">
              <w:t>Forth</w:t>
            </w:r>
            <w:proofErr w:type="spellEnd"/>
            <w:r w:rsidRPr="00F76923">
              <w:t xml:space="preserve"> (FÜ 8)</w:t>
            </w:r>
          </w:p>
        </w:tc>
        <w:tc>
          <w:tcPr>
            <w:tcW w:w="1559" w:type="dxa"/>
          </w:tcPr>
          <w:p w:rsidR="00F42706" w:rsidRPr="00F76923" w:rsidRDefault="00F42706" w:rsidP="00CB0D37">
            <w:pPr>
              <w:pStyle w:val="Normal6"/>
              <w:rPr>
                <w:rFonts w:eastAsia="Arial Unicode MS"/>
              </w:rPr>
            </w:pPr>
            <w:r w:rsidRPr="00F76923">
              <w:t>362</w:t>
            </w:r>
          </w:p>
        </w:tc>
        <w:tc>
          <w:tcPr>
            <w:tcW w:w="1762" w:type="dxa"/>
          </w:tcPr>
          <w:p w:rsidR="00F42706" w:rsidRPr="00F76923" w:rsidRDefault="00F42706" w:rsidP="00CB0D37">
            <w:pPr>
              <w:pStyle w:val="Normal6"/>
              <w:rPr>
                <w:rFonts w:eastAsia="Arial Unicode MS"/>
              </w:rPr>
            </w:pPr>
            <w:r w:rsidRPr="00F76923">
              <w:t>292</w:t>
            </w:r>
          </w:p>
        </w:tc>
      </w:tr>
      <w:tr w:rsidR="00F42706" w:rsidRPr="00F76923" w:rsidTr="00CB0D37">
        <w:trPr>
          <w:jc w:val="center"/>
        </w:trPr>
        <w:tc>
          <w:tcPr>
            <w:tcW w:w="1843" w:type="dxa"/>
          </w:tcPr>
          <w:p w:rsidR="00F42706" w:rsidRPr="00F76923" w:rsidRDefault="00F42706" w:rsidP="00CB0D37">
            <w:pPr>
              <w:pStyle w:val="Normal6"/>
            </w:pPr>
            <w:proofErr w:type="spellStart"/>
            <w:r w:rsidRPr="00F76923">
              <w:t>Moray</w:t>
            </w:r>
            <w:proofErr w:type="spellEnd"/>
            <w:r w:rsidRPr="00F76923">
              <w:t xml:space="preserve"> </w:t>
            </w:r>
            <w:proofErr w:type="spellStart"/>
            <w:r w:rsidRPr="00F76923">
              <w:t>Firth</w:t>
            </w:r>
            <w:proofErr w:type="spellEnd"/>
            <w:r w:rsidRPr="00F76923">
              <w:t xml:space="preserve"> (FÜ 9)</w:t>
            </w:r>
          </w:p>
        </w:tc>
        <w:tc>
          <w:tcPr>
            <w:tcW w:w="1785" w:type="dxa"/>
          </w:tcPr>
          <w:p w:rsidR="00F42706" w:rsidRPr="00F76923" w:rsidRDefault="00F42706" w:rsidP="00CB0D37">
            <w:pPr>
              <w:pStyle w:val="Normal6"/>
              <w:rPr>
                <w:rFonts w:eastAsia="Arial Unicode MS"/>
              </w:rPr>
            </w:pPr>
            <w:r w:rsidRPr="00F76923">
              <w:t>262</w:t>
            </w:r>
          </w:p>
        </w:tc>
        <w:tc>
          <w:tcPr>
            <w:tcW w:w="1701" w:type="dxa"/>
          </w:tcPr>
          <w:p w:rsidR="00F42706" w:rsidRPr="00F76923" w:rsidRDefault="00F42706" w:rsidP="00CB0D37">
            <w:pPr>
              <w:pStyle w:val="Normal6"/>
              <w:rPr>
                <w:rFonts w:eastAsia="Arial Unicode MS"/>
              </w:rPr>
            </w:pPr>
            <w:r w:rsidRPr="00F76923">
              <w:t>262</w:t>
            </w:r>
          </w:p>
        </w:tc>
        <w:tc>
          <w:tcPr>
            <w:tcW w:w="1840" w:type="dxa"/>
          </w:tcPr>
          <w:p w:rsidR="00F42706" w:rsidRPr="00F76923" w:rsidRDefault="00F42706" w:rsidP="00CB0D37">
            <w:pPr>
              <w:pStyle w:val="Normal6"/>
            </w:pPr>
            <w:proofErr w:type="spellStart"/>
            <w:r w:rsidRPr="00F76923">
              <w:t>Moray</w:t>
            </w:r>
            <w:proofErr w:type="spellEnd"/>
            <w:r w:rsidRPr="00F76923">
              <w:t xml:space="preserve"> </w:t>
            </w:r>
            <w:proofErr w:type="spellStart"/>
            <w:r w:rsidRPr="00F76923">
              <w:t>Firth</w:t>
            </w:r>
            <w:proofErr w:type="spellEnd"/>
            <w:r w:rsidRPr="00F76923">
              <w:t xml:space="preserve"> (FÜ 9)</w:t>
            </w:r>
          </w:p>
        </w:tc>
        <w:tc>
          <w:tcPr>
            <w:tcW w:w="1559" w:type="dxa"/>
          </w:tcPr>
          <w:p w:rsidR="00F42706" w:rsidRPr="00F76923" w:rsidRDefault="00F42706" w:rsidP="00CB0D37">
            <w:pPr>
              <w:pStyle w:val="Normal6"/>
              <w:rPr>
                <w:rFonts w:eastAsia="Arial Unicode MS"/>
              </w:rPr>
            </w:pPr>
            <w:r w:rsidRPr="00F76923">
              <w:t>262</w:t>
            </w:r>
          </w:p>
        </w:tc>
        <w:tc>
          <w:tcPr>
            <w:tcW w:w="1762" w:type="dxa"/>
          </w:tcPr>
          <w:p w:rsidR="00F42706" w:rsidRPr="00F76923" w:rsidRDefault="00F42706" w:rsidP="00CB0D37">
            <w:pPr>
              <w:pStyle w:val="Normal6"/>
              <w:rPr>
                <w:rFonts w:eastAsia="Arial Unicode MS"/>
              </w:rPr>
            </w:pPr>
            <w:r w:rsidRPr="00F76923">
              <w:t>262</w:t>
            </w:r>
          </w:p>
        </w:tc>
      </w:tr>
    </w:tbl>
    <w:p w:rsidR="00F42706" w:rsidRPr="00F76923" w:rsidRDefault="00F42706" w:rsidP="00F42706"/>
    <w:p w:rsidR="00F42706" w:rsidRPr="00F76923" w:rsidRDefault="00F42706" w:rsidP="00F42706">
      <w:pPr>
        <w:pStyle w:val="AMNumberTabs"/>
        <w:keepNext/>
      </w:pPr>
      <w:r w:rsidRPr="00F76923">
        <w:t>Muudatusettepanek</w:t>
      </w:r>
      <w:r w:rsidRPr="00F76923">
        <w:tab/>
      </w:r>
      <w:r w:rsidRPr="00F76923">
        <w:tab/>
        <w:t>78</w:t>
      </w:r>
    </w:p>
    <w:p w:rsidR="00F42706" w:rsidRPr="00F76923" w:rsidRDefault="00F42706" w:rsidP="00F42706">
      <w:pPr>
        <w:pStyle w:val="NormalBold12b"/>
        <w:keepNext/>
      </w:pPr>
      <w:r w:rsidRPr="00F76923">
        <w:t>Ettepanek võtta vastu määrus</w:t>
      </w:r>
    </w:p>
    <w:p w:rsidR="00F42706" w:rsidRPr="00F76923" w:rsidRDefault="00F42706" w:rsidP="00F42706">
      <w:pPr>
        <w:pStyle w:val="NormalBold"/>
        <w:keepNext/>
      </w:pPr>
      <w:r w:rsidRPr="00F76923">
        <w:t>II a lisa (uus)</w:t>
      </w:r>
    </w:p>
    <w:tbl>
      <w:tblPr>
        <w:tblW w:w="9752" w:type="dxa"/>
        <w:jc w:val="center"/>
        <w:tblLayout w:type="fixed"/>
        <w:tblCellMar>
          <w:left w:w="340" w:type="dxa"/>
          <w:right w:w="340" w:type="dxa"/>
        </w:tblCellMar>
        <w:tblLook w:val="0000" w:firstRow="0" w:lastRow="0" w:firstColumn="0" w:lastColumn="0" w:noHBand="0" w:noVBand="0"/>
      </w:tblPr>
      <w:tblGrid>
        <w:gridCol w:w="4877"/>
        <w:gridCol w:w="4875"/>
      </w:tblGrid>
      <w:tr w:rsidR="00F42706" w:rsidRPr="00F76923" w:rsidTr="00CB0D37">
        <w:trPr>
          <w:jc w:val="center"/>
        </w:trPr>
        <w:tc>
          <w:tcPr>
            <w:tcW w:w="9752" w:type="dxa"/>
            <w:gridSpan w:val="2"/>
          </w:tcPr>
          <w:p w:rsidR="00F42706" w:rsidRPr="00F76923" w:rsidRDefault="00F42706" w:rsidP="00CB0D37">
            <w:pPr>
              <w:keepNext/>
            </w:pPr>
          </w:p>
        </w:tc>
      </w:tr>
      <w:tr w:rsidR="00F42706" w:rsidRPr="00F76923" w:rsidTr="00CB0D37">
        <w:trPr>
          <w:jc w:val="center"/>
        </w:trPr>
        <w:tc>
          <w:tcPr>
            <w:tcW w:w="4877" w:type="dxa"/>
          </w:tcPr>
          <w:p w:rsidR="00F42706" w:rsidRPr="00F76923" w:rsidRDefault="00F42706" w:rsidP="00CB0D37">
            <w:pPr>
              <w:pStyle w:val="ColumnHeading"/>
              <w:keepNext/>
            </w:pPr>
            <w:r w:rsidRPr="00F76923">
              <w:t>Komisjoni ettepanek</w:t>
            </w:r>
          </w:p>
        </w:tc>
        <w:tc>
          <w:tcPr>
            <w:tcW w:w="4875" w:type="dxa"/>
          </w:tcPr>
          <w:p w:rsidR="00F42706" w:rsidRPr="00F76923" w:rsidRDefault="00F42706" w:rsidP="00CB0D37">
            <w:pPr>
              <w:pStyle w:val="ColumnHeading"/>
              <w:keepNext/>
            </w:pPr>
            <w:r w:rsidRPr="00F76923">
              <w:t>Muudatusettepanek</w:t>
            </w:r>
          </w:p>
        </w:tc>
      </w:tr>
      <w:tr w:rsidR="00F42706" w:rsidRPr="00F76923" w:rsidTr="00CB0D37">
        <w:trPr>
          <w:jc w:val="center"/>
        </w:trPr>
        <w:tc>
          <w:tcPr>
            <w:tcW w:w="4877" w:type="dxa"/>
          </w:tcPr>
          <w:p w:rsidR="00F42706" w:rsidRPr="00F76923" w:rsidRDefault="00F42706" w:rsidP="00CB0D37">
            <w:pPr>
              <w:pStyle w:val="Normal6"/>
              <w:jc w:val="center"/>
            </w:pPr>
          </w:p>
        </w:tc>
        <w:tc>
          <w:tcPr>
            <w:tcW w:w="4875" w:type="dxa"/>
          </w:tcPr>
          <w:p w:rsidR="00F42706" w:rsidRPr="00F76923" w:rsidRDefault="002A1D61" w:rsidP="00CB0D37">
            <w:pPr>
              <w:pStyle w:val="Normal6"/>
              <w:jc w:val="center"/>
              <w:rPr>
                <w:b/>
                <w:i/>
              </w:rPr>
            </w:pPr>
            <w:proofErr w:type="spellStart"/>
            <w:r w:rsidRPr="00F76923">
              <w:rPr>
                <w:b/>
                <w:i/>
              </w:rPr>
              <w:t>IIa</w:t>
            </w:r>
            <w:proofErr w:type="spellEnd"/>
            <w:r w:rsidRPr="00F76923">
              <w:rPr>
                <w:b/>
                <w:i/>
              </w:rPr>
              <w:t> </w:t>
            </w:r>
            <w:r w:rsidR="00F42706" w:rsidRPr="00F76923">
              <w:rPr>
                <w:b/>
                <w:i/>
              </w:rPr>
              <w:t>lisa</w:t>
            </w:r>
          </w:p>
        </w:tc>
      </w:tr>
      <w:tr w:rsidR="00F42706" w:rsidRPr="00F76923" w:rsidTr="00CB0D37">
        <w:trPr>
          <w:jc w:val="center"/>
        </w:trPr>
        <w:tc>
          <w:tcPr>
            <w:tcW w:w="4877" w:type="dxa"/>
          </w:tcPr>
          <w:p w:rsidR="00F42706" w:rsidRPr="00F76923" w:rsidRDefault="00F42706" w:rsidP="00CB0D37">
            <w:pPr>
              <w:pStyle w:val="Normal6"/>
              <w:jc w:val="center"/>
            </w:pPr>
          </w:p>
        </w:tc>
        <w:tc>
          <w:tcPr>
            <w:tcW w:w="4875" w:type="dxa"/>
          </w:tcPr>
          <w:p w:rsidR="00F42706" w:rsidRPr="00F76923" w:rsidRDefault="00F42706" w:rsidP="00CB0D37">
            <w:pPr>
              <w:pStyle w:val="Normal6"/>
              <w:jc w:val="center"/>
            </w:pPr>
            <w:r w:rsidRPr="00F76923">
              <w:rPr>
                <w:b/>
                <w:i/>
              </w:rPr>
              <w:t>Keelatud liigid</w:t>
            </w:r>
          </w:p>
        </w:tc>
      </w:tr>
      <w:tr w:rsidR="00F42706" w:rsidRPr="00F76923" w:rsidTr="00CB0D37">
        <w:trPr>
          <w:jc w:val="center"/>
        </w:trPr>
        <w:tc>
          <w:tcPr>
            <w:tcW w:w="4877" w:type="dxa"/>
          </w:tcPr>
          <w:p w:rsidR="00F42706" w:rsidRPr="00F76923" w:rsidRDefault="00F42706" w:rsidP="00CB0D37">
            <w:pPr>
              <w:pStyle w:val="Normal6"/>
            </w:pPr>
          </w:p>
        </w:tc>
        <w:tc>
          <w:tcPr>
            <w:tcW w:w="4875" w:type="dxa"/>
          </w:tcPr>
          <w:p w:rsidR="00F42706" w:rsidRPr="00F76923" w:rsidRDefault="00F42706" w:rsidP="00CB0D37">
            <w:pPr>
              <w:pStyle w:val="Normal6"/>
            </w:pPr>
            <w:r w:rsidRPr="00F76923">
              <w:rPr>
                <w:b/>
                <w:i/>
              </w:rPr>
              <w:t>a)</w:t>
            </w:r>
            <w:r w:rsidRPr="00F76923">
              <w:tab/>
            </w:r>
            <w:r w:rsidRPr="00F76923">
              <w:rPr>
                <w:b/>
                <w:i/>
              </w:rPr>
              <w:t>täht-sünkrai (</w:t>
            </w:r>
            <w:proofErr w:type="spellStart"/>
            <w:r w:rsidRPr="00F76923">
              <w:rPr>
                <w:b/>
                <w:i/>
              </w:rPr>
              <w:t>Amblyraja</w:t>
            </w:r>
            <w:proofErr w:type="spellEnd"/>
            <w:r w:rsidRPr="00F76923">
              <w:rPr>
                <w:b/>
                <w:i/>
              </w:rPr>
              <w:t xml:space="preserve"> </w:t>
            </w:r>
            <w:proofErr w:type="spellStart"/>
            <w:r w:rsidRPr="00F76923">
              <w:rPr>
                <w:b/>
                <w:i/>
              </w:rPr>
              <w:t>radiata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pPr>
          </w:p>
        </w:tc>
        <w:tc>
          <w:tcPr>
            <w:tcW w:w="4875" w:type="dxa"/>
          </w:tcPr>
          <w:p w:rsidR="00F42706" w:rsidRPr="00F76923" w:rsidRDefault="00F42706" w:rsidP="00CB0D37">
            <w:pPr>
              <w:pStyle w:val="Normal6"/>
            </w:pPr>
            <w:r w:rsidRPr="00F76923">
              <w:rPr>
                <w:b/>
                <w:i/>
              </w:rPr>
              <w:t>b)</w:t>
            </w:r>
            <w:r w:rsidRPr="00F76923">
              <w:tab/>
            </w:r>
            <w:r w:rsidRPr="00F76923">
              <w:rPr>
                <w:b/>
                <w:i/>
              </w:rPr>
              <w:t>järgmised saagraide liigid:</w:t>
            </w:r>
          </w:p>
        </w:tc>
      </w:tr>
      <w:tr w:rsidR="00F42706" w:rsidRPr="00F76923" w:rsidTr="00CB0D37">
        <w:trPr>
          <w:jc w:val="center"/>
        </w:trPr>
        <w:tc>
          <w:tcPr>
            <w:tcW w:w="4877" w:type="dxa"/>
          </w:tcPr>
          <w:p w:rsidR="00F42706" w:rsidRPr="00F76923" w:rsidRDefault="00F42706" w:rsidP="00CB0D37">
            <w:pPr>
              <w:pStyle w:val="Normal6"/>
            </w:pPr>
          </w:p>
        </w:tc>
        <w:tc>
          <w:tcPr>
            <w:tcW w:w="4875" w:type="dxa"/>
          </w:tcPr>
          <w:p w:rsidR="00F42706" w:rsidRPr="00F76923" w:rsidRDefault="00F42706" w:rsidP="00CB0D37">
            <w:pPr>
              <w:pStyle w:val="Normal6"/>
            </w:pPr>
            <w:r w:rsidRPr="00F76923">
              <w:rPr>
                <w:b/>
                <w:i/>
              </w:rPr>
              <w:t>i)</w:t>
            </w:r>
            <w:r w:rsidRPr="00F76923">
              <w:tab/>
            </w:r>
            <w:r w:rsidRPr="00F76923">
              <w:rPr>
                <w:b/>
                <w:i/>
              </w:rPr>
              <w:t>salesaagrai (</w:t>
            </w:r>
            <w:proofErr w:type="spellStart"/>
            <w:r w:rsidRPr="00F76923">
              <w:rPr>
                <w:b/>
                <w:i/>
              </w:rPr>
              <w:t>Anoxypristis</w:t>
            </w:r>
            <w:proofErr w:type="spellEnd"/>
            <w:r w:rsidRPr="00F76923">
              <w:rPr>
                <w:b/>
                <w:i/>
              </w:rPr>
              <w:t xml:space="preserve"> </w:t>
            </w:r>
            <w:proofErr w:type="spellStart"/>
            <w:r w:rsidRPr="00F76923">
              <w:rPr>
                <w:b/>
                <w:i/>
              </w:rPr>
              <w:t>cuspidata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pPr>
          </w:p>
        </w:tc>
        <w:tc>
          <w:tcPr>
            <w:tcW w:w="4875" w:type="dxa"/>
          </w:tcPr>
          <w:p w:rsidR="00F42706" w:rsidRPr="00F76923" w:rsidRDefault="00F42706" w:rsidP="00CB0D37">
            <w:pPr>
              <w:pStyle w:val="Normal6"/>
              <w:rPr>
                <w:i/>
              </w:rPr>
            </w:pPr>
            <w:r w:rsidRPr="00F76923">
              <w:rPr>
                <w:b/>
                <w:i/>
              </w:rPr>
              <w:t>ii)</w:t>
            </w:r>
            <w:r w:rsidRPr="00F76923">
              <w:tab/>
            </w:r>
            <w:r w:rsidRPr="00F76923">
              <w:rPr>
                <w:b/>
                <w:i/>
              </w:rPr>
              <w:t>väike saagrai (</w:t>
            </w:r>
            <w:proofErr w:type="spellStart"/>
            <w:r w:rsidRPr="00F76923">
              <w:rPr>
                <w:b/>
                <w:i/>
              </w:rPr>
              <w:t>Pristis</w:t>
            </w:r>
            <w:proofErr w:type="spellEnd"/>
            <w:r w:rsidRPr="00F76923">
              <w:rPr>
                <w:b/>
                <w:i/>
              </w:rPr>
              <w:t xml:space="preserve"> </w:t>
            </w:r>
            <w:proofErr w:type="spellStart"/>
            <w:r w:rsidRPr="00F76923">
              <w:rPr>
                <w:b/>
                <w:i/>
              </w:rPr>
              <w:t>clavata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pPr>
          </w:p>
        </w:tc>
        <w:tc>
          <w:tcPr>
            <w:tcW w:w="4875" w:type="dxa"/>
          </w:tcPr>
          <w:p w:rsidR="00F42706" w:rsidRPr="00F76923" w:rsidRDefault="00F42706" w:rsidP="00CB0D37">
            <w:pPr>
              <w:pStyle w:val="Normal6"/>
            </w:pPr>
            <w:r w:rsidRPr="00F76923">
              <w:rPr>
                <w:b/>
                <w:i/>
              </w:rPr>
              <w:t>iii)</w:t>
            </w:r>
            <w:r w:rsidRPr="00F76923">
              <w:tab/>
            </w:r>
            <w:r w:rsidRPr="00F76923">
              <w:rPr>
                <w:b/>
                <w:i/>
              </w:rPr>
              <w:t>väikehammas-saagrai (</w:t>
            </w:r>
            <w:proofErr w:type="spellStart"/>
            <w:r w:rsidRPr="00F76923">
              <w:rPr>
                <w:b/>
                <w:i/>
              </w:rPr>
              <w:t>Pristis</w:t>
            </w:r>
            <w:proofErr w:type="spellEnd"/>
            <w:r w:rsidRPr="00F76923">
              <w:rPr>
                <w:b/>
                <w:i/>
              </w:rPr>
              <w:t xml:space="preserve"> </w:t>
            </w:r>
            <w:proofErr w:type="spellStart"/>
            <w:r w:rsidRPr="00F76923">
              <w:rPr>
                <w:b/>
                <w:i/>
              </w:rPr>
              <w:t>pectinata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pPr>
          </w:p>
        </w:tc>
        <w:tc>
          <w:tcPr>
            <w:tcW w:w="4875" w:type="dxa"/>
          </w:tcPr>
          <w:p w:rsidR="00F42706" w:rsidRPr="00F76923" w:rsidRDefault="00F42706" w:rsidP="00CB0D37">
            <w:pPr>
              <w:pStyle w:val="Normal6"/>
            </w:pPr>
            <w:r w:rsidRPr="00F76923">
              <w:rPr>
                <w:b/>
                <w:i/>
              </w:rPr>
              <w:t>iv)</w:t>
            </w:r>
            <w:r w:rsidRPr="00F76923">
              <w:tab/>
            </w:r>
            <w:r w:rsidRPr="00F76923">
              <w:rPr>
                <w:b/>
                <w:i/>
              </w:rPr>
              <w:t>harilik saagrai (</w:t>
            </w:r>
            <w:proofErr w:type="spellStart"/>
            <w:r w:rsidRPr="00F76923">
              <w:rPr>
                <w:b/>
                <w:i/>
              </w:rPr>
              <w:t>Pristis</w:t>
            </w:r>
            <w:proofErr w:type="spellEnd"/>
            <w:r w:rsidRPr="00F76923">
              <w:rPr>
                <w:b/>
                <w:i/>
              </w:rPr>
              <w:t xml:space="preserve"> </w:t>
            </w:r>
            <w:proofErr w:type="spellStart"/>
            <w:r w:rsidRPr="00F76923">
              <w:rPr>
                <w:b/>
                <w:i/>
              </w:rPr>
              <w:t>pristis</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v)</w:t>
            </w:r>
            <w:r w:rsidRPr="00F76923">
              <w:tab/>
            </w:r>
            <w:r w:rsidRPr="00F76923">
              <w:rPr>
                <w:b/>
                <w:i/>
              </w:rPr>
              <w:t>roheline saagrai (</w:t>
            </w:r>
            <w:proofErr w:type="spellStart"/>
            <w:r w:rsidRPr="00F76923">
              <w:rPr>
                <w:b/>
                <w:i/>
              </w:rPr>
              <w:t>Pristis</w:t>
            </w:r>
            <w:proofErr w:type="spellEnd"/>
            <w:r w:rsidRPr="00F76923">
              <w:rPr>
                <w:b/>
                <w:i/>
              </w:rPr>
              <w:t xml:space="preserve"> </w:t>
            </w:r>
            <w:proofErr w:type="spellStart"/>
            <w:r w:rsidRPr="00F76923">
              <w:rPr>
                <w:b/>
                <w:i/>
              </w:rPr>
              <w:t>zijsron</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c)</w:t>
            </w:r>
            <w:r w:rsidRPr="00F76923">
              <w:tab/>
            </w:r>
            <w:r w:rsidRPr="00F76923">
              <w:rPr>
                <w:b/>
                <w:i/>
              </w:rPr>
              <w:t>hiidhai (</w:t>
            </w:r>
            <w:proofErr w:type="spellStart"/>
            <w:r w:rsidRPr="00F76923">
              <w:rPr>
                <w:b/>
                <w:i/>
              </w:rPr>
              <w:t>Cetorhinus</w:t>
            </w:r>
            <w:proofErr w:type="spellEnd"/>
            <w:r w:rsidRPr="00F76923">
              <w:rPr>
                <w:b/>
                <w:i/>
              </w:rPr>
              <w:t xml:space="preserve"> </w:t>
            </w:r>
            <w:proofErr w:type="spellStart"/>
            <w:r w:rsidRPr="00F76923">
              <w:rPr>
                <w:b/>
                <w:i/>
              </w:rPr>
              <w:t>maximus</w:t>
            </w:r>
            <w:proofErr w:type="spellEnd"/>
            <w:r w:rsidRPr="00F76923">
              <w:rPr>
                <w:b/>
                <w:i/>
              </w:rPr>
              <w:t xml:space="preserve">) ja </w:t>
            </w:r>
            <w:proofErr w:type="spellStart"/>
            <w:r w:rsidRPr="00F76923">
              <w:rPr>
                <w:b/>
                <w:i/>
              </w:rPr>
              <w:t>mõrtsukhai</w:t>
            </w:r>
            <w:proofErr w:type="spellEnd"/>
            <w:r w:rsidRPr="00F76923">
              <w:rPr>
                <w:b/>
                <w:i/>
              </w:rPr>
              <w:t xml:space="preserve"> (</w:t>
            </w:r>
            <w:proofErr w:type="spellStart"/>
            <w:r w:rsidRPr="00F76923">
              <w:rPr>
                <w:b/>
                <w:i/>
              </w:rPr>
              <w:t>Carcharodon</w:t>
            </w:r>
            <w:proofErr w:type="spellEnd"/>
            <w:r w:rsidRPr="00F76923">
              <w:rPr>
                <w:b/>
                <w:i/>
              </w:rPr>
              <w:t xml:space="preserve"> </w:t>
            </w:r>
            <w:proofErr w:type="spellStart"/>
            <w:r w:rsidRPr="00F76923">
              <w:rPr>
                <w:b/>
                <w:i/>
              </w:rPr>
              <w:t>carcharias</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d)</w:t>
            </w:r>
            <w:r w:rsidRPr="00F76923">
              <w:tab/>
            </w:r>
            <w:r w:rsidRPr="00F76923">
              <w:rPr>
                <w:b/>
                <w:i/>
              </w:rPr>
              <w:t>sileda tiibrai (</w:t>
            </w:r>
            <w:proofErr w:type="spellStart"/>
            <w:r w:rsidRPr="00F76923">
              <w:rPr>
                <w:b/>
                <w:i/>
              </w:rPr>
              <w:t>Dipturus</w:t>
            </w:r>
            <w:proofErr w:type="spellEnd"/>
            <w:r w:rsidRPr="00F76923">
              <w:rPr>
                <w:b/>
                <w:i/>
              </w:rPr>
              <w:t xml:space="preserve"> </w:t>
            </w:r>
            <w:proofErr w:type="spellStart"/>
            <w:r w:rsidRPr="00F76923">
              <w:rPr>
                <w:b/>
                <w:i/>
              </w:rPr>
              <w:t>batis</w:t>
            </w:r>
            <w:proofErr w:type="spellEnd"/>
            <w:r w:rsidRPr="00F76923">
              <w:rPr>
                <w:b/>
                <w:i/>
              </w:rPr>
              <w:t>) kompleks (</w:t>
            </w:r>
            <w:proofErr w:type="spellStart"/>
            <w:r w:rsidRPr="00F76923">
              <w:rPr>
                <w:b/>
                <w:i/>
              </w:rPr>
              <w:t>Dipturus</w:t>
            </w:r>
            <w:proofErr w:type="spellEnd"/>
            <w:r w:rsidRPr="00F76923">
              <w:rPr>
                <w:b/>
                <w:i/>
              </w:rPr>
              <w:t xml:space="preserve"> </w:t>
            </w:r>
            <w:proofErr w:type="spellStart"/>
            <w:r w:rsidRPr="00F76923">
              <w:rPr>
                <w:b/>
                <w:i/>
              </w:rPr>
              <w:t>cf</w:t>
            </w:r>
            <w:proofErr w:type="spellEnd"/>
            <w:r w:rsidRPr="00F76923">
              <w:rPr>
                <w:b/>
                <w:i/>
              </w:rPr>
              <w:t xml:space="preserve">. </w:t>
            </w:r>
            <w:proofErr w:type="spellStart"/>
            <w:r w:rsidRPr="00F76923">
              <w:rPr>
                <w:b/>
                <w:i/>
              </w:rPr>
              <w:t>flossada</w:t>
            </w:r>
            <w:proofErr w:type="spellEnd"/>
            <w:r w:rsidRPr="00F76923">
              <w:rPr>
                <w:b/>
                <w:i/>
              </w:rPr>
              <w:t xml:space="preserve"> ja </w:t>
            </w:r>
            <w:proofErr w:type="spellStart"/>
            <w:r w:rsidRPr="00F76923">
              <w:rPr>
                <w:b/>
                <w:i/>
              </w:rPr>
              <w:t>Dipturus</w:t>
            </w:r>
            <w:proofErr w:type="spellEnd"/>
            <w:r w:rsidRPr="00F76923">
              <w:rPr>
                <w:b/>
                <w:i/>
              </w:rPr>
              <w:t xml:space="preserve"> </w:t>
            </w:r>
            <w:proofErr w:type="spellStart"/>
            <w:r w:rsidRPr="00F76923">
              <w:rPr>
                <w:b/>
                <w:i/>
              </w:rPr>
              <w:t>cf</w:t>
            </w:r>
            <w:proofErr w:type="spellEnd"/>
            <w:r w:rsidRPr="00F76923">
              <w:rPr>
                <w:b/>
                <w:i/>
              </w:rPr>
              <w:t xml:space="preserve">. </w:t>
            </w:r>
            <w:proofErr w:type="spellStart"/>
            <w:r w:rsidRPr="00F76923">
              <w:rPr>
                <w:b/>
                <w:i/>
              </w:rPr>
              <w:t>intermedia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e)</w:t>
            </w:r>
            <w:r w:rsidRPr="00F76923">
              <w:tab/>
            </w:r>
            <w:proofErr w:type="spellStart"/>
            <w:r w:rsidRPr="00F76923">
              <w:rPr>
                <w:b/>
                <w:i/>
              </w:rPr>
              <w:t>ronkjas</w:t>
            </w:r>
            <w:proofErr w:type="spellEnd"/>
            <w:r w:rsidRPr="00F76923">
              <w:rPr>
                <w:b/>
                <w:i/>
              </w:rPr>
              <w:t xml:space="preserve"> tumehai (</w:t>
            </w:r>
            <w:proofErr w:type="spellStart"/>
            <w:r w:rsidRPr="00F76923">
              <w:rPr>
                <w:b/>
                <w:i/>
              </w:rPr>
              <w:t>Etmopterus</w:t>
            </w:r>
            <w:proofErr w:type="spellEnd"/>
            <w:r w:rsidRPr="00F76923">
              <w:rPr>
                <w:b/>
                <w:i/>
              </w:rPr>
              <w:t xml:space="preserve"> </w:t>
            </w:r>
            <w:proofErr w:type="spellStart"/>
            <w:r w:rsidRPr="00F76923">
              <w:rPr>
                <w:b/>
                <w:i/>
              </w:rPr>
              <w:t>pusillus</w:t>
            </w:r>
            <w:proofErr w:type="spellEnd"/>
            <w:r w:rsidRPr="00F76923">
              <w:rPr>
                <w:b/>
                <w:i/>
              </w:rPr>
              <w:t xml:space="preserve">) </w:t>
            </w:r>
            <w:proofErr w:type="spellStart"/>
            <w:r w:rsidRPr="00F76923">
              <w:rPr>
                <w:b/>
                <w:i/>
              </w:rPr>
              <w:t>ICESi</w:t>
            </w:r>
            <w:proofErr w:type="spellEnd"/>
            <w:r w:rsidRPr="00F76923">
              <w:rPr>
                <w:b/>
                <w:i/>
              </w:rPr>
              <w:t xml:space="preserve"> IV alapiirkonna ja </w:t>
            </w:r>
            <w:proofErr w:type="spellStart"/>
            <w:r w:rsidRPr="00F76923">
              <w:rPr>
                <w:b/>
                <w:i/>
              </w:rPr>
              <w:t>ICESi</w:t>
            </w:r>
            <w:proofErr w:type="spellEnd"/>
            <w:r w:rsidRPr="00F76923">
              <w:rPr>
                <w:b/>
                <w:i/>
              </w:rPr>
              <w:t xml:space="preserve"> </w:t>
            </w:r>
            <w:proofErr w:type="spellStart"/>
            <w:r w:rsidRPr="00F76923">
              <w:rPr>
                <w:b/>
                <w:i/>
              </w:rPr>
              <w:t>IIIa</w:t>
            </w:r>
            <w:proofErr w:type="spellEnd"/>
            <w:r w:rsidRPr="00F76923">
              <w:rPr>
                <w:b/>
                <w:i/>
              </w:rPr>
              <w:t xml:space="preserve"> rajooni liidu vetes;</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f)</w:t>
            </w:r>
            <w:r w:rsidRPr="00F76923">
              <w:tab/>
            </w:r>
            <w:r w:rsidRPr="00F76923">
              <w:rPr>
                <w:b/>
                <w:i/>
              </w:rPr>
              <w:t>Alfredi sarvikrai (</w:t>
            </w:r>
            <w:proofErr w:type="spellStart"/>
            <w:r w:rsidRPr="00F76923">
              <w:rPr>
                <w:b/>
                <w:i/>
              </w:rPr>
              <w:t>Manta</w:t>
            </w:r>
            <w:proofErr w:type="spellEnd"/>
            <w:r w:rsidRPr="00F76923">
              <w:rPr>
                <w:b/>
                <w:i/>
              </w:rPr>
              <w:t xml:space="preserve"> </w:t>
            </w:r>
            <w:proofErr w:type="spellStart"/>
            <w:r w:rsidRPr="00F76923">
              <w:rPr>
                <w:b/>
                <w:i/>
              </w:rPr>
              <w:t>alfredi</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g)</w:t>
            </w:r>
            <w:r w:rsidRPr="00F76923">
              <w:tab/>
            </w:r>
            <w:r w:rsidRPr="00F76923">
              <w:rPr>
                <w:b/>
                <w:i/>
              </w:rPr>
              <w:t>hiid-sarvikrai (</w:t>
            </w:r>
            <w:proofErr w:type="spellStart"/>
            <w:r w:rsidRPr="00F76923">
              <w:rPr>
                <w:b/>
                <w:i/>
              </w:rPr>
              <w:t>Manta</w:t>
            </w:r>
            <w:proofErr w:type="spellEnd"/>
            <w:r w:rsidRPr="00F76923">
              <w:rPr>
                <w:b/>
                <w:i/>
              </w:rPr>
              <w:t xml:space="preserve"> </w:t>
            </w:r>
            <w:proofErr w:type="spellStart"/>
            <w:r w:rsidRPr="00F76923">
              <w:rPr>
                <w:b/>
                <w:i/>
              </w:rPr>
              <w:t>birostris</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h)</w:t>
            </w:r>
            <w:r w:rsidRPr="00F76923">
              <w:tab/>
            </w:r>
            <w:r w:rsidRPr="00F76923">
              <w:rPr>
                <w:b/>
                <w:i/>
              </w:rPr>
              <w:t>järgmised merisarvikute liigid:</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i)</w:t>
            </w:r>
            <w:r w:rsidRPr="00F76923">
              <w:tab/>
            </w:r>
            <w:r w:rsidRPr="00F76923">
              <w:rPr>
                <w:b/>
                <w:i/>
              </w:rPr>
              <w:t>vahemere merisarvik (</w:t>
            </w:r>
            <w:proofErr w:type="spellStart"/>
            <w:r w:rsidRPr="00F76923">
              <w:rPr>
                <w:b/>
                <w:i/>
              </w:rPr>
              <w:t>Mobula</w:t>
            </w:r>
            <w:proofErr w:type="spellEnd"/>
            <w:r w:rsidRPr="00F76923">
              <w:rPr>
                <w:b/>
                <w:i/>
              </w:rPr>
              <w:t xml:space="preserve"> </w:t>
            </w:r>
            <w:proofErr w:type="spellStart"/>
            <w:r w:rsidRPr="00F76923">
              <w:rPr>
                <w:b/>
                <w:i/>
              </w:rPr>
              <w:t>mobular</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ii)</w:t>
            </w:r>
            <w:r w:rsidRPr="00F76923">
              <w:tab/>
            </w:r>
            <w:proofErr w:type="spellStart"/>
            <w:r w:rsidRPr="00F76923">
              <w:rPr>
                <w:b/>
                <w:i/>
              </w:rPr>
              <w:t>Mobula</w:t>
            </w:r>
            <w:proofErr w:type="spellEnd"/>
            <w:r w:rsidRPr="00F76923">
              <w:rPr>
                <w:b/>
                <w:i/>
              </w:rPr>
              <w:t xml:space="preserve"> </w:t>
            </w:r>
            <w:proofErr w:type="spellStart"/>
            <w:r w:rsidRPr="00F76923">
              <w:rPr>
                <w:b/>
                <w:i/>
              </w:rPr>
              <w:t>rochebrunei</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iii)</w:t>
            </w:r>
            <w:r w:rsidRPr="00F76923">
              <w:tab/>
            </w:r>
            <w:r w:rsidRPr="00F76923">
              <w:rPr>
                <w:b/>
                <w:i/>
              </w:rPr>
              <w:t>astelsaba-merisarvik (</w:t>
            </w:r>
            <w:proofErr w:type="spellStart"/>
            <w:r w:rsidRPr="00F76923">
              <w:rPr>
                <w:b/>
                <w:i/>
              </w:rPr>
              <w:t>Mobula</w:t>
            </w:r>
            <w:proofErr w:type="spellEnd"/>
            <w:r w:rsidRPr="00F76923">
              <w:rPr>
                <w:b/>
                <w:i/>
              </w:rPr>
              <w:t xml:space="preserve"> </w:t>
            </w:r>
            <w:proofErr w:type="spellStart"/>
            <w:r w:rsidRPr="00F76923">
              <w:rPr>
                <w:b/>
                <w:i/>
              </w:rPr>
              <w:t>japanica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iv)</w:t>
            </w:r>
            <w:r w:rsidRPr="00F76923">
              <w:tab/>
            </w:r>
            <w:r w:rsidRPr="00F76923">
              <w:rPr>
                <w:b/>
                <w:i/>
              </w:rPr>
              <w:t>silesaba-merisarvik (</w:t>
            </w:r>
            <w:proofErr w:type="spellStart"/>
            <w:r w:rsidRPr="00F76923">
              <w:rPr>
                <w:b/>
                <w:i/>
              </w:rPr>
              <w:t>Mobula</w:t>
            </w:r>
            <w:proofErr w:type="spellEnd"/>
            <w:r w:rsidRPr="00F76923">
              <w:rPr>
                <w:b/>
                <w:i/>
              </w:rPr>
              <w:t xml:space="preserve"> </w:t>
            </w:r>
            <w:proofErr w:type="spellStart"/>
            <w:r w:rsidRPr="00F76923">
              <w:rPr>
                <w:b/>
                <w:i/>
              </w:rPr>
              <w:t>thurstoni</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v)</w:t>
            </w:r>
            <w:r w:rsidRPr="00F76923">
              <w:tab/>
            </w:r>
            <w:r w:rsidRPr="00F76923">
              <w:rPr>
                <w:b/>
                <w:i/>
              </w:rPr>
              <w:t>väike merisarvik (</w:t>
            </w:r>
            <w:proofErr w:type="spellStart"/>
            <w:r w:rsidRPr="00F76923">
              <w:rPr>
                <w:b/>
                <w:i/>
              </w:rPr>
              <w:t>Mobula</w:t>
            </w:r>
            <w:proofErr w:type="spellEnd"/>
            <w:r w:rsidRPr="00F76923">
              <w:rPr>
                <w:b/>
                <w:i/>
              </w:rPr>
              <w:t xml:space="preserve"> </w:t>
            </w:r>
            <w:proofErr w:type="spellStart"/>
            <w:r w:rsidRPr="00F76923">
              <w:rPr>
                <w:b/>
                <w:i/>
              </w:rPr>
              <w:t>eregoodootenkee</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vi)</w:t>
            </w:r>
            <w:r w:rsidRPr="00F76923">
              <w:tab/>
            </w:r>
            <w:r w:rsidRPr="00F76923">
              <w:rPr>
                <w:b/>
                <w:i/>
              </w:rPr>
              <w:t>Munki merisarvik (</w:t>
            </w:r>
            <w:proofErr w:type="spellStart"/>
            <w:r w:rsidRPr="00F76923">
              <w:rPr>
                <w:b/>
                <w:i/>
              </w:rPr>
              <w:t>Mobula</w:t>
            </w:r>
            <w:proofErr w:type="spellEnd"/>
            <w:r w:rsidRPr="00F76923">
              <w:rPr>
                <w:b/>
                <w:i/>
              </w:rPr>
              <w:t xml:space="preserve"> </w:t>
            </w:r>
            <w:proofErr w:type="spellStart"/>
            <w:r w:rsidRPr="00F76923">
              <w:rPr>
                <w:b/>
                <w:i/>
              </w:rPr>
              <w:t>munkiana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vii)</w:t>
            </w:r>
            <w:r w:rsidRPr="00F76923">
              <w:tab/>
            </w:r>
            <w:r w:rsidRPr="00F76923">
              <w:rPr>
                <w:b/>
                <w:i/>
              </w:rPr>
              <w:t>sirpuim-merisarvik (</w:t>
            </w:r>
            <w:proofErr w:type="spellStart"/>
            <w:r w:rsidRPr="00F76923">
              <w:rPr>
                <w:b/>
                <w:i/>
              </w:rPr>
              <w:t>Mobula</w:t>
            </w:r>
            <w:proofErr w:type="spellEnd"/>
            <w:r w:rsidRPr="00F76923">
              <w:rPr>
                <w:b/>
                <w:i/>
              </w:rPr>
              <w:t xml:space="preserve"> </w:t>
            </w:r>
            <w:proofErr w:type="spellStart"/>
            <w:r w:rsidRPr="00F76923">
              <w:rPr>
                <w:b/>
                <w:i/>
              </w:rPr>
              <w:t>tarapacana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viii)</w:t>
            </w:r>
            <w:r w:rsidRPr="00F76923">
              <w:tab/>
            </w:r>
            <w:r w:rsidRPr="00F76923">
              <w:rPr>
                <w:b/>
                <w:i/>
              </w:rPr>
              <w:t>lühiuim-merisarvik (</w:t>
            </w:r>
            <w:proofErr w:type="spellStart"/>
            <w:r w:rsidRPr="00F76923">
              <w:rPr>
                <w:b/>
                <w:i/>
              </w:rPr>
              <w:t>Mobula</w:t>
            </w:r>
            <w:proofErr w:type="spellEnd"/>
            <w:r w:rsidRPr="00F76923">
              <w:rPr>
                <w:b/>
                <w:i/>
              </w:rPr>
              <w:t xml:space="preserve"> </w:t>
            </w:r>
            <w:proofErr w:type="spellStart"/>
            <w:r w:rsidRPr="00F76923">
              <w:rPr>
                <w:b/>
                <w:i/>
              </w:rPr>
              <w:t>kuhlii</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ix)</w:t>
            </w:r>
            <w:r w:rsidRPr="00F76923">
              <w:tab/>
            </w:r>
            <w:r w:rsidRPr="00F76923">
              <w:rPr>
                <w:b/>
                <w:i/>
              </w:rPr>
              <w:t>atlandi merisarvik (</w:t>
            </w:r>
            <w:proofErr w:type="spellStart"/>
            <w:r w:rsidRPr="00F76923">
              <w:rPr>
                <w:b/>
                <w:i/>
              </w:rPr>
              <w:t>Mobula</w:t>
            </w:r>
            <w:proofErr w:type="spellEnd"/>
            <w:r w:rsidRPr="00F76923">
              <w:rPr>
                <w:b/>
                <w:i/>
              </w:rPr>
              <w:t xml:space="preserve"> </w:t>
            </w:r>
            <w:proofErr w:type="spellStart"/>
            <w:r w:rsidRPr="00F76923">
              <w:rPr>
                <w:b/>
                <w:i/>
              </w:rPr>
              <w:t>hypostoma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i)</w:t>
            </w:r>
            <w:r w:rsidRPr="00F76923">
              <w:tab/>
            </w:r>
            <w:proofErr w:type="spellStart"/>
            <w:r w:rsidRPr="00F76923">
              <w:rPr>
                <w:b/>
                <w:i/>
              </w:rPr>
              <w:t>ogarai</w:t>
            </w:r>
            <w:proofErr w:type="spellEnd"/>
            <w:r w:rsidRPr="00F76923">
              <w:rPr>
                <w:b/>
                <w:i/>
              </w:rPr>
              <w:t xml:space="preserve"> (Raja </w:t>
            </w:r>
            <w:proofErr w:type="spellStart"/>
            <w:r w:rsidRPr="00F76923">
              <w:rPr>
                <w:b/>
                <w:i/>
              </w:rPr>
              <w:t>clavata</w:t>
            </w:r>
            <w:proofErr w:type="spellEnd"/>
            <w:r w:rsidRPr="00F76923">
              <w:rPr>
                <w:b/>
                <w:i/>
              </w:rPr>
              <w:t xml:space="preserve">) </w:t>
            </w:r>
            <w:proofErr w:type="spellStart"/>
            <w:r w:rsidRPr="00F76923">
              <w:rPr>
                <w:b/>
                <w:i/>
              </w:rPr>
              <w:t>ICESi</w:t>
            </w:r>
            <w:proofErr w:type="spellEnd"/>
            <w:r w:rsidRPr="00F76923">
              <w:rPr>
                <w:b/>
                <w:i/>
              </w:rPr>
              <w:t xml:space="preserve"> </w:t>
            </w:r>
            <w:proofErr w:type="spellStart"/>
            <w:r w:rsidRPr="00F76923">
              <w:rPr>
                <w:b/>
                <w:i/>
              </w:rPr>
              <w:t>IIIa</w:t>
            </w:r>
            <w:proofErr w:type="spellEnd"/>
            <w:r w:rsidRPr="00F76923">
              <w:rPr>
                <w:b/>
                <w:i/>
              </w:rPr>
              <w:t xml:space="preserve"> rajooni liidu vetes;</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j)</w:t>
            </w:r>
            <w:r w:rsidRPr="00F76923">
              <w:tab/>
            </w:r>
            <w:r w:rsidRPr="00F76923">
              <w:rPr>
                <w:b/>
                <w:i/>
              </w:rPr>
              <w:t>logardrailased (</w:t>
            </w:r>
            <w:proofErr w:type="spellStart"/>
            <w:r w:rsidRPr="00F76923">
              <w:rPr>
                <w:b/>
                <w:i/>
              </w:rPr>
              <w:t>Rhinobatidae</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k)</w:t>
            </w:r>
            <w:r w:rsidRPr="00F76923">
              <w:tab/>
            </w:r>
            <w:r w:rsidRPr="00F76923">
              <w:rPr>
                <w:b/>
                <w:i/>
              </w:rPr>
              <w:t>euroopa ingelhai (</w:t>
            </w:r>
            <w:proofErr w:type="spellStart"/>
            <w:r w:rsidRPr="00F76923">
              <w:rPr>
                <w:b/>
                <w:i/>
              </w:rPr>
              <w:t>Squatina</w:t>
            </w:r>
            <w:proofErr w:type="spellEnd"/>
            <w:r w:rsidRPr="00F76923">
              <w:rPr>
                <w:b/>
                <w:i/>
              </w:rPr>
              <w:t xml:space="preserve"> </w:t>
            </w:r>
            <w:proofErr w:type="spellStart"/>
            <w:r w:rsidRPr="00F76923">
              <w:rPr>
                <w:b/>
                <w:i/>
              </w:rPr>
              <w:t>squatina</w:t>
            </w:r>
            <w:proofErr w:type="spellEnd"/>
            <w:r w:rsidRPr="00F76923">
              <w:rPr>
                <w:b/>
                <w:i/>
              </w:rPr>
              <w:t>);</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l)</w:t>
            </w:r>
            <w:r w:rsidRPr="00F76923">
              <w:tab/>
            </w:r>
            <w:r w:rsidRPr="00F76923">
              <w:rPr>
                <w:b/>
                <w:i/>
              </w:rPr>
              <w:t>lõhe (</w:t>
            </w:r>
            <w:proofErr w:type="spellStart"/>
            <w:r w:rsidRPr="00F76923">
              <w:rPr>
                <w:b/>
                <w:i/>
              </w:rPr>
              <w:t>Salmo</w:t>
            </w:r>
            <w:proofErr w:type="spellEnd"/>
            <w:r w:rsidRPr="00F76923">
              <w:rPr>
                <w:b/>
                <w:i/>
              </w:rPr>
              <w:t xml:space="preserve"> </w:t>
            </w:r>
            <w:proofErr w:type="spellStart"/>
            <w:r w:rsidRPr="00F76923">
              <w:rPr>
                <w:b/>
                <w:i/>
              </w:rPr>
              <w:t>salar</w:t>
            </w:r>
            <w:proofErr w:type="spellEnd"/>
            <w:r w:rsidRPr="00F76923">
              <w:rPr>
                <w:b/>
                <w:i/>
              </w:rPr>
              <w:t>) ja meriforell (</w:t>
            </w:r>
            <w:proofErr w:type="spellStart"/>
            <w:r w:rsidRPr="00F76923">
              <w:rPr>
                <w:b/>
                <w:i/>
              </w:rPr>
              <w:t>Salmo</w:t>
            </w:r>
            <w:proofErr w:type="spellEnd"/>
            <w:r w:rsidRPr="00F76923">
              <w:rPr>
                <w:b/>
                <w:i/>
              </w:rPr>
              <w:t xml:space="preserve"> </w:t>
            </w:r>
            <w:proofErr w:type="spellStart"/>
            <w:r w:rsidRPr="00F76923">
              <w:rPr>
                <w:b/>
                <w:i/>
              </w:rPr>
              <w:t>trutta</w:t>
            </w:r>
            <w:proofErr w:type="spellEnd"/>
            <w:r w:rsidRPr="00F76923">
              <w:rPr>
                <w:b/>
                <w:i/>
              </w:rPr>
              <w:t xml:space="preserve">), kui neid püütakse traaliga vetes, mis jäävad </w:t>
            </w:r>
            <w:proofErr w:type="spellStart"/>
            <w:r w:rsidRPr="00F76923">
              <w:rPr>
                <w:b/>
                <w:i/>
              </w:rPr>
              <w:t>ICESi</w:t>
            </w:r>
            <w:proofErr w:type="spellEnd"/>
            <w:r w:rsidRPr="00F76923">
              <w:rPr>
                <w:b/>
                <w:i/>
              </w:rPr>
              <w:t xml:space="preserve"> II ja IV alapiirkonnas (liidu veed) liikmesriikide lähtejoontest mõõtes kaugemale kui kuus miili;</w:t>
            </w:r>
          </w:p>
        </w:tc>
      </w:tr>
      <w:tr w:rsidR="00F42706" w:rsidRPr="00F76923" w:rsidTr="00CB0D37">
        <w:trPr>
          <w:jc w:val="center"/>
        </w:trPr>
        <w:tc>
          <w:tcPr>
            <w:tcW w:w="4877" w:type="dxa"/>
          </w:tcPr>
          <w:p w:rsidR="00F42706" w:rsidRPr="00F76923" w:rsidRDefault="00F42706" w:rsidP="00CB0D37">
            <w:pPr>
              <w:pStyle w:val="Normal6"/>
              <w:rPr>
                <w:b/>
                <w:bCs/>
                <w:i/>
                <w:iCs/>
              </w:rPr>
            </w:pPr>
          </w:p>
        </w:tc>
        <w:tc>
          <w:tcPr>
            <w:tcW w:w="4875" w:type="dxa"/>
          </w:tcPr>
          <w:p w:rsidR="00F42706" w:rsidRPr="00F76923" w:rsidRDefault="00F42706" w:rsidP="00CB0D37">
            <w:pPr>
              <w:pStyle w:val="Normal6"/>
              <w:rPr>
                <w:b/>
                <w:bCs/>
                <w:i/>
                <w:iCs/>
              </w:rPr>
            </w:pPr>
            <w:r w:rsidRPr="00F76923">
              <w:rPr>
                <w:b/>
                <w:i/>
              </w:rPr>
              <w:t>m)</w:t>
            </w:r>
            <w:r w:rsidRPr="00F76923">
              <w:tab/>
            </w:r>
            <w:r w:rsidRPr="00F76923">
              <w:rPr>
                <w:b/>
                <w:i/>
              </w:rPr>
              <w:t>viljastatud emased langustid (</w:t>
            </w:r>
            <w:proofErr w:type="spellStart"/>
            <w:r w:rsidRPr="00F76923">
              <w:rPr>
                <w:b/>
                <w:i/>
              </w:rPr>
              <w:t>Palinuridae</w:t>
            </w:r>
            <w:proofErr w:type="spellEnd"/>
            <w:r w:rsidRPr="00F76923">
              <w:rPr>
                <w:b/>
                <w:i/>
              </w:rPr>
              <w:t xml:space="preserve"> </w:t>
            </w:r>
            <w:proofErr w:type="spellStart"/>
            <w:r w:rsidRPr="00F76923">
              <w:rPr>
                <w:b/>
                <w:i/>
              </w:rPr>
              <w:t>spp</w:t>
            </w:r>
            <w:proofErr w:type="spellEnd"/>
            <w:r w:rsidRPr="00F76923">
              <w:rPr>
                <w:b/>
                <w:i/>
              </w:rPr>
              <w:t>.) ja viljastatud emased homaarid (</w:t>
            </w:r>
            <w:proofErr w:type="spellStart"/>
            <w:r w:rsidRPr="00F76923">
              <w:rPr>
                <w:b/>
                <w:i/>
              </w:rPr>
              <w:t>Homarus</w:t>
            </w:r>
            <w:proofErr w:type="spellEnd"/>
            <w:r w:rsidRPr="00F76923">
              <w:rPr>
                <w:b/>
                <w:i/>
              </w:rPr>
              <w:t xml:space="preserve"> </w:t>
            </w:r>
            <w:proofErr w:type="spellStart"/>
            <w:r w:rsidRPr="00F76923">
              <w:rPr>
                <w:b/>
                <w:i/>
              </w:rPr>
              <w:t>gammarus</w:t>
            </w:r>
            <w:proofErr w:type="spellEnd"/>
            <w:r w:rsidRPr="00F76923">
              <w:rPr>
                <w:b/>
                <w:i/>
              </w:rPr>
              <w:t xml:space="preserve">), välja arvatud siis, kui neid kasutatakse otsese </w:t>
            </w:r>
            <w:proofErr w:type="spellStart"/>
            <w:r w:rsidRPr="00F76923">
              <w:rPr>
                <w:b/>
                <w:i/>
              </w:rPr>
              <w:t>taasasustamise</w:t>
            </w:r>
            <w:proofErr w:type="spellEnd"/>
            <w:r w:rsidRPr="00F76923">
              <w:rPr>
                <w:b/>
                <w:i/>
              </w:rPr>
              <w:t xml:space="preserve"> või ümberasustamise eesmärgil.</w:t>
            </w:r>
          </w:p>
        </w:tc>
      </w:tr>
    </w:tbl>
    <w:p w:rsidR="00F42706" w:rsidRPr="00F76923" w:rsidRDefault="00F42706" w:rsidP="00F42706"/>
    <w:p w:rsidR="00F42706" w:rsidRPr="00F76923" w:rsidRDefault="00F42706" w:rsidP="00F42706"/>
    <w:p w:rsidR="00F42706" w:rsidRPr="00F76923" w:rsidRDefault="00F42706" w:rsidP="00F42706"/>
    <w:p w:rsidR="00E365E1" w:rsidRPr="00F76923" w:rsidRDefault="00E365E1" w:rsidP="00F42706">
      <w:bookmarkStart w:id="12" w:name="TextBodyEnd"/>
      <w:bookmarkEnd w:id="12"/>
    </w:p>
    <w:sectPr w:rsidR="00E365E1" w:rsidRPr="00F76923" w:rsidSect="006B3B5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37" w:rsidRPr="00746C87" w:rsidRDefault="00CB0D37">
      <w:r w:rsidRPr="00746C87">
        <w:separator/>
      </w:r>
    </w:p>
  </w:endnote>
  <w:endnote w:type="continuationSeparator" w:id="0">
    <w:p w:rsidR="00CB0D37" w:rsidRPr="00746C87" w:rsidRDefault="00CB0D37">
      <w:r w:rsidRPr="00746C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7" w:rsidRDefault="00CB0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7" w:rsidRDefault="00CB0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7" w:rsidRDefault="00CB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37" w:rsidRPr="00746C87" w:rsidRDefault="00CB0D37">
      <w:r w:rsidRPr="00746C87">
        <w:separator/>
      </w:r>
    </w:p>
  </w:footnote>
  <w:footnote w:type="continuationSeparator" w:id="0">
    <w:p w:rsidR="00CB0D37" w:rsidRPr="00746C87" w:rsidRDefault="00CB0D37">
      <w:r w:rsidRPr="00746C87">
        <w:continuationSeparator/>
      </w:r>
    </w:p>
  </w:footnote>
  <w:footnote w:id="1">
    <w:p w:rsidR="00840508" w:rsidRPr="00F76923" w:rsidRDefault="00840508" w:rsidP="00840508">
      <w:pPr>
        <w:pStyle w:val="FootnoteText"/>
        <w:ind w:left="720" w:hanging="720"/>
        <w:rPr>
          <w:sz w:val="24"/>
          <w:szCs w:val="24"/>
          <w:lang w:val="et-EE"/>
        </w:rPr>
      </w:pPr>
      <w:r w:rsidRPr="00F76923">
        <w:rPr>
          <w:rStyle w:val="FootnoteReference"/>
          <w:sz w:val="24"/>
          <w:szCs w:val="24"/>
        </w:rPr>
        <w:footnoteRef/>
      </w:r>
      <w:r w:rsidRPr="00F76923">
        <w:rPr>
          <w:sz w:val="24"/>
          <w:szCs w:val="24"/>
          <w:lang w:val="fi-FI"/>
        </w:rPr>
        <w:t xml:space="preserve"> </w:t>
      </w:r>
      <w:r w:rsidRPr="00F76923">
        <w:rPr>
          <w:sz w:val="24"/>
          <w:szCs w:val="24"/>
          <w:lang w:val="et-EE"/>
        </w:rPr>
        <w:tab/>
        <w:t>Asi saadeti vastavalt kodukorra artikli 59 lõike 4 neljandale lõigule vastutavale komisjonile uuesti läbivaatamiseks (A8</w:t>
      </w:r>
      <w:r w:rsidRPr="00F76923">
        <w:rPr>
          <w:sz w:val="24"/>
          <w:szCs w:val="24"/>
          <w:lang w:val="et-EE"/>
        </w:rPr>
        <w:noBreakHyphen/>
        <w:t>0263/2017)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7" w:rsidRDefault="00CB0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7" w:rsidRDefault="00CB0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7" w:rsidRDefault="00CB0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D4D61ED"/>
    <w:multiLevelType w:val="hybridMultilevel"/>
    <w:tmpl w:val="180028B2"/>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63/2017"/>
    <w:docVar w:name="dvlangue" w:val="ET"/>
    <w:docVar w:name="dvnumam" w:val="53"/>
    <w:docVar w:name="dvpe" w:val="594.033"/>
    <w:docVar w:name="dvrapporteur" w:val="Raportöör: "/>
    <w:docVar w:name="dvtitre" w:val="Euroopa Parlamendi .... 2017. aasta seadusandlik resolutsioon ettepaneku kohta võtta vastu Euroopa Parlamendi ja nõukogu määrus, millega kehtestatakse Põhjamere põhjalähedaste kalavarude ja nende varude püügi mitmeaastane kava ning tunnistatakse kehtetuks nõukogu määrused (EÜ) nr 676/2007 ja (EÜ) nr 1342/2008 (COM(2016)0493 – C8-0336/2016 – 2016/0238(COD))"/>
  </w:docVars>
  <w:rsids>
    <w:rsidRoot w:val="00746C87"/>
    <w:rsid w:val="00002272"/>
    <w:rsid w:val="000607EA"/>
    <w:rsid w:val="000677B9"/>
    <w:rsid w:val="000E042E"/>
    <w:rsid w:val="000E7DD9"/>
    <w:rsid w:val="0010095E"/>
    <w:rsid w:val="00111A12"/>
    <w:rsid w:val="00125B37"/>
    <w:rsid w:val="00194ACE"/>
    <w:rsid w:val="00197A04"/>
    <w:rsid w:val="001E1F03"/>
    <w:rsid w:val="002129AC"/>
    <w:rsid w:val="002767FF"/>
    <w:rsid w:val="002A1D61"/>
    <w:rsid w:val="002B5493"/>
    <w:rsid w:val="00361C00"/>
    <w:rsid w:val="00395FA1"/>
    <w:rsid w:val="003E15D4"/>
    <w:rsid w:val="00411CCE"/>
    <w:rsid w:val="0041666E"/>
    <w:rsid w:val="00421060"/>
    <w:rsid w:val="00493FD5"/>
    <w:rsid w:val="00494A28"/>
    <w:rsid w:val="004F4B34"/>
    <w:rsid w:val="0050519A"/>
    <w:rsid w:val="005072A1"/>
    <w:rsid w:val="00514517"/>
    <w:rsid w:val="006037C0"/>
    <w:rsid w:val="00614498"/>
    <w:rsid w:val="00680577"/>
    <w:rsid w:val="006B3B58"/>
    <w:rsid w:val="006F74FA"/>
    <w:rsid w:val="00731ADD"/>
    <w:rsid w:val="00734777"/>
    <w:rsid w:val="00746C87"/>
    <w:rsid w:val="00751A4A"/>
    <w:rsid w:val="00756632"/>
    <w:rsid w:val="007D1690"/>
    <w:rsid w:val="00807FC4"/>
    <w:rsid w:val="0082150A"/>
    <w:rsid w:val="00840508"/>
    <w:rsid w:val="00865F67"/>
    <w:rsid w:val="00881A7B"/>
    <w:rsid w:val="008840E5"/>
    <w:rsid w:val="008C2AC6"/>
    <w:rsid w:val="009419F8"/>
    <w:rsid w:val="009509D8"/>
    <w:rsid w:val="00981893"/>
    <w:rsid w:val="00A4678D"/>
    <w:rsid w:val="00A82ABF"/>
    <w:rsid w:val="00A86701"/>
    <w:rsid w:val="00AF3B82"/>
    <w:rsid w:val="00B23A35"/>
    <w:rsid w:val="00B27214"/>
    <w:rsid w:val="00B529E1"/>
    <w:rsid w:val="00B53A69"/>
    <w:rsid w:val="00B558F0"/>
    <w:rsid w:val="00BB6A84"/>
    <w:rsid w:val="00BD1EE7"/>
    <w:rsid w:val="00BD7BD8"/>
    <w:rsid w:val="00C05BFE"/>
    <w:rsid w:val="00C065BB"/>
    <w:rsid w:val="00C23CD4"/>
    <w:rsid w:val="00C764BE"/>
    <w:rsid w:val="00C85517"/>
    <w:rsid w:val="00C941CB"/>
    <w:rsid w:val="00CB0D37"/>
    <w:rsid w:val="00CC1E44"/>
    <w:rsid w:val="00CC2357"/>
    <w:rsid w:val="00D058B8"/>
    <w:rsid w:val="00D3521B"/>
    <w:rsid w:val="00D67203"/>
    <w:rsid w:val="00D81010"/>
    <w:rsid w:val="00D834A0"/>
    <w:rsid w:val="00D83AB1"/>
    <w:rsid w:val="00D91E21"/>
    <w:rsid w:val="00E338DB"/>
    <w:rsid w:val="00E365E1"/>
    <w:rsid w:val="00ED4235"/>
    <w:rsid w:val="00F04346"/>
    <w:rsid w:val="00F075DC"/>
    <w:rsid w:val="00F42706"/>
    <w:rsid w:val="00F5134D"/>
    <w:rsid w:val="00F76923"/>
    <w:rsid w:val="00FD0C70"/>
    <w:rsid w:val="00FD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B4714-B15E-460E-8219-979D553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F42706"/>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42706"/>
    <w:rPr>
      <w:sz w:val="24"/>
      <w:lang w:val="fr-FR" w:eastAsia="fr-FR"/>
    </w:rPr>
  </w:style>
  <w:style w:type="character" w:customStyle="1" w:styleId="Heading3Char">
    <w:name w:val="Heading 3 Char"/>
    <w:link w:val="Heading3"/>
    <w:rsid w:val="00F42706"/>
    <w:rPr>
      <w:rFonts w:ascii="Arial" w:hAnsi="Arial"/>
      <w:sz w:val="24"/>
      <w:lang w:val="fr-FR" w:eastAsia="fr-FR"/>
    </w:rPr>
  </w:style>
  <w:style w:type="character" w:customStyle="1" w:styleId="Heading4Char">
    <w:name w:val="Heading 4 Char"/>
    <w:link w:val="Heading4"/>
    <w:rsid w:val="00F42706"/>
    <w:rPr>
      <w:sz w:val="24"/>
      <w:lang w:val="en-US" w:eastAsia="fr-FR"/>
    </w:rPr>
  </w:style>
  <w:style w:type="character" w:customStyle="1" w:styleId="Heading5Char">
    <w:name w:val="Heading 5 Char"/>
    <w:link w:val="Heading5"/>
    <w:rsid w:val="00F42706"/>
    <w:rPr>
      <w:sz w:val="24"/>
      <w:lang w:val="en-US" w:eastAsia="fr-FR"/>
    </w:rPr>
  </w:style>
  <w:style w:type="character" w:customStyle="1" w:styleId="Heading6Char">
    <w:name w:val="Heading 6 Char"/>
    <w:link w:val="Heading6"/>
    <w:rsid w:val="00F42706"/>
    <w:rPr>
      <w:i/>
      <w:sz w:val="22"/>
      <w:lang w:val="et-EE"/>
    </w:rPr>
  </w:style>
  <w:style w:type="character" w:customStyle="1" w:styleId="Heading7Char">
    <w:name w:val="Heading 7 Char"/>
    <w:link w:val="Heading7"/>
    <w:rsid w:val="00F42706"/>
    <w:rPr>
      <w:rFonts w:ascii="Arial" w:hAnsi="Arial"/>
      <w:sz w:val="24"/>
      <w:lang w:val="et-EE"/>
    </w:rPr>
  </w:style>
  <w:style w:type="character" w:customStyle="1" w:styleId="Heading8Char">
    <w:name w:val="Heading 8 Char"/>
    <w:link w:val="Heading8"/>
    <w:rsid w:val="00F42706"/>
    <w:rPr>
      <w:rFonts w:ascii="Arial" w:hAnsi="Arial"/>
      <w:i/>
      <w:sz w:val="24"/>
      <w:lang w:val="et-EE"/>
    </w:rPr>
  </w:style>
  <w:style w:type="character" w:customStyle="1" w:styleId="Heading9Char">
    <w:name w:val="Heading 9 Char"/>
    <w:link w:val="Heading9"/>
    <w:rsid w:val="00F42706"/>
    <w:rPr>
      <w:rFonts w:ascii="Arial" w:hAnsi="Arial"/>
      <w:b/>
      <w:i/>
      <w:sz w:val="18"/>
      <w:lang w:val="et-EE"/>
    </w:rPr>
  </w:style>
  <w:style w:type="character" w:customStyle="1" w:styleId="FooterChar">
    <w:name w:val="Footer Char"/>
    <w:link w:val="Footer"/>
    <w:rsid w:val="00F42706"/>
    <w:rPr>
      <w:sz w:val="22"/>
      <w:lang w:val="fr-FR" w:eastAsia="fr-FR"/>
    </w:rPr>
  </w:style>
  <w:style w:type="character" w:customStyle="1" w:styleId="Normal6Char">
    <w:name w:val="Normal6 Char"/>
    <w:link w:val="Normal6"/>
    <w:rsid w:val="00F42706"/>
    <w:rPr>
      <w:sz w:val="24"/>
      <w:lang w:val="et-EE"/>
    </w:rPr>
  </w:style>
  <w:style w:type="character" w:customStyle="1" w:styleId="NormalBoldChar">
    <w:name w:val="NormalBold Char"/>
    <w:link w:val="NormalBold"/>
    <w:rsid w:val="00F42706"/>
    <w:rPr>
      <w:b/>
      <w:sz w:val="24"/>
      <w:lang w:val="et-EE"/>
    </w:rPr>
  </w:style>
  <w:style w:type="paragraph" w:customStyle="1" w:styleId="Normal12Italic">
    <w:name w:val="Normal12Italic"/>
    <w:basedOn w:val="Normal"/>
    <w:rsid w:val="00F42706"/>
    <w:pPr>
      <w:spacing w:before="240"/>
    </w:pPr>
    <w:rPr>
      <w:i/>
      <w:lang w:bidi="en-GB"/>
    </w:rPr>
  </w:style>
  <w:style w:type="paragraph" w:customStyle="1" w:styleId="CrossRef">
    <w:name w:val="CrossRef"/>
    <w:basedOn w:val="Normal"/>
    <w:rsid w:val="00F42706"/>
    <w:pPr>
      <w:spacing w:before="240"/>
      <w:jc w:val="center"/>
    </w:pPr>
    <w:rPr>
      <w:i/>
      <w:lang w:bidi="en-GB"/>
    </w:rPr>
  </w:style>
  <w:style w:type="paragraph" w:customStyle="1" w:styleId="JustificationTitle">
    <w:name w:val="JustificationTitle"/>
    <w:basedOn w:val="Normal"/>
    <w:next w:val="Normal12"/>
    <w:rsid w:val="00F42706"/>
    <w:pPr>
      <w:keepNext/>
      <w:spacing w:before="240"/>
      <w:jc w:val="center"/>
    </w:pPr>
    <w:rPr>
      <w:i/>
      <w:lang w:bidi="en-GB"/>
    </w:rPr>
  </w:style>
  <w:style w:type="paragraph" w:customStyle="1" w:styleId="Normal12Centre">
    <w:name w:val="Normal12Centre"/>
    <w:basedOn w:val="Normal12"/>
    <w:rsid w:val="00F42706"/>
    <w:pPr>
      <w:jc w:val="center"/>
    </w:pPr>
    <w:rPr>
      <w:lang w:bidi="en-GB"/>
    </w:rPr>
  </w:style>
  <w:style w:type="paragraph" w:customStyle="1" w:styleId="Normal12Keep">
    <w:name w:val="Normal12Keep"/>
    <w:basedOn w:val="Normal12"/>
    <w:rsid w:val="00F42706"/>
    <w:pPr>
      <w:keepNext/>
    </w:pPr>
    <w:rPr>
      <w:lang w:bidi="en-GB"/>
    </w:rPr>
  </w:style>
  <w:style w:type="paragraph" w:customStyle="1" w:styleId="Normal12Tab">
    <w:name w:val="Normal12Tab"/>
    <w:basedOn w:val="Normal12"/>
    <w:rsid w:val="00F42706"/>
    <w:pPr>
      <w:tabs>
        <w:tab w:val="left" w:pos="567"/>
      </w:tabs>
    </w:pPr>
    <w:rPr>
      <w:lang w:bidi="en-GB"/>
    </w:rPr>
  </w:style>
  <w:style w:type="paragraph" w:customStyle="1" w:styleId="StarsAndIs">
    <w:name w:val="StarsAndIs"/>
    <w:basedOn w:val="Normal"/>
    <w:rsid w:val="00F42706"/>
    <w:pPr>
      <w:ind w:left="1418"/>
    </w:pPr>
    <w:rPr>
      <w:rFonts w:ascii="Arial" w:hAnsi="Arial"/>
      <w:b/>
      <w:sz w:val="48"/>
      <w:lang w:bidi="en-GB"/>
    </w:rPr>
  </w:style>
  <w:style w:type="paragraph" w:customStyle="1" w:styleId="Lgendesigne">
    <w:name w:val="Légende signe"/>
    <w:basedOn w:val="Normal"/>
    <w:rsid w:val="00F42706"/>
    <w:pPr>
      <w:tabs>
        <w:tab w:val="right" w:pos="454"/>
        <w:tab w:val="left" w:pos="737"/>
      </w:tabs>
      <w:ind w:left="737" w:hanging="737"/>
    </w:pPr>
    <w:rPr>
      <w:snapToGrid w:val="0"/>
      <w:sz w:val="18"/>
      <w:lang w:bidi="en-GB"/>
    </w:rPr>
  </w:style>
  <w:style w:type="paragraph" w:customStyle="1" w:styleId="TypeDoc">
    <w:name w:val="TypeDoc"/>
    <w:basedOn w:val="Normal24"/>
    <w:rsid w:val="00F42706"/>
    <w:pPr>
      <w:ind w:left="1418"/>
    </w:pPr>
    <w:rPr>
      <w:rFonts w:ascii="Arial" w:hAnsi="Arial"/>
      <w:b/>
      <w:sz w:val="48"/>
      <w:lang w:bidi="en-GB"/>
    </w:rPr>
  </w:style>
  <w:style w:type="paragraph" w:customStyle="1" w:styleId="ZDate">
    <w:name w:val="ZDate"/>
    <w:basedOn w:val="Normal"/>
    <w:rsid w:val="00F42706"/>
    <w:pPr>
      <w:spacing w:after="1200"/>
    </w:pPr>
    <w:rPr>
      <w:lang w:bidi="en-GB"/>
    </w:rPr>
  </w:style>
  <w:style w:type="character" w:customStyle="1" w:styleId="HeaderChar">
    <w:name w:val="Header Char"/>
    <w:link w:val="Header"/>
    <w:rsid w:val="00F42706"/>
    <w:rPr>
      <w:sz w:val="24"/>
      <w:lang w:val="fr-FR" w:eastAsia="fr-FR"/>
    </w:rPr>
  </w:style>
  <w:style w:type="paragraph" w:customStyle="1" w:styleId="Olang">
    <w:name w:val="Olang"/>
    <w:basedOn w:val="Normal"/>
    <w:rsid w:val="00F42706"/>
    <w:pPr>
      <w:spacing w:before="240" w:after="240"/>
      <w:jc w:val="right"/>
    </w:pPr>
    <w:rPr>
      <w:noProof/>
      <w:lang w:bidi="en-GB"/>
    </w:rPr>
  </w:style>
  <w:style w:type="paragraph" w:customStyle="1" w:styleId="ColumnHeading">
    <w:name w:val="ColumnHeading"/>
    <w:basedOn w:val="Normal"/>
    <w:rsid w:val="00F42706"/>
    <w:pPr>
      <w:spacing w:after="240"/>
      <w:jc w:val="center"/>
    </w:pPr>
    <w:rPr>
      <w:i/>
      <w:lang w:bidi="en-GB"/>
    </w:rPr>
  </w:style>
  <w:style w:type="paragraph" w:customStyle="1" w:styleId="AMNumberTabs">
    <w:name w:val="AMNumberTabs"/>
    <w:basedOn w:val="Normal"/>
    <w:rsid w:val="00F4270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bidi="en-GB"/>
    </w:rPr>
  </w:style>
  <w:style w:type="paragraph" w:customStyle="1" w:styleId="NormalBold12b">
    <w:name w:val="NormalBold12b"/>
    <w:basedOn w:val="Normal"/>
    <w:rsid w:val="00F42706"/>
    <w:pPr>
      <w:spacing w:before="240"/>
    </w:pPr>
    <w:rPr>
      <w:b/>
      <w:lang w:bidi="en-GB"/>
    </w:rPr>
  </w:style>
  <w:style w:type="paragraph" w:customStyle="1" w:styleId="ZCommittee">
    <w:name w:val="ZCommittee"/>
    <w:basedOn w:val="Normal"/>
    <w:next w:val="Normal"/>
    <w:rsid w:val="00F42706"/>
    <w:pPr>
      <w:jc w:val="center"/>
    </w:pPr>
    <w:rPr>
      <w:rFonts w:ascii="Arial" w:hAnsi="Arial" w:cs="Arial"/>
      <w:i/>
      <w:sz w:val="22"/>
      <w:szCs w:val="22"/>
      <w:lang w:bidi="en-GB"/>
    </w:rPr>
  </w:style>
  <w:style w:type="paragraph" w:customStyle="1" w:styleId="Lgendetitre">
    <w:name w:val="Légende titre"/>
    <w:basedOn w:val="Normal"/>
    <w:rsid w:val="00F42706"/>
    <w:pPr>
      <w:spacing w:before="240" w:after="240"/>
    </w:pPr>
    <w:rPr>
      <w:b/>
      <w:i/>
      <w:snapToGrid w:val="0"/>
      <w:lang w:bidi="en-GB"/>
    </w:rPr>
  </w:style>
  <w:style w:type="paragraph" w:customStyle="1" w:styleId="Lgendestandard">
    <w:name w:val="Légende standard"/>
    <w:basedOn w:val="Lgendesigne"/>
    <w:rsid w:val="00F42706"/>
    <w:pPr>
      <w:ind w:left="0" w:firstLine="0"/>
    </w:pPr>
  </w:style>
  <w:style w:type="character" w:customStyle="1" w:styleId="Normal12Char">
    <w:name w:val="Normal12 Char"/>
    <w:link w:val="Normal12"/>
    <w:locked/>
    <w:rsid w:val="00F42706"/>
    <w:rPr>
      <w:sz w:val="24"/>
      <w:lang w:val="et-EE"/>
    </w:rPr>
  </w:style>
  <w:style w:type="paragraph" w:customStyle="1" w:styleId="CommitteeAM">
    <w:name w:val="CommitteeAM"/>
    <w:basedOn w:val="Normal"/>
    <w:rsid w:val="00F42706"/>
    <w:pPr>
      <w:spacing w:before="240" w:after="600"/>
      <w:jc w:val="center"/>
    </w:pPr>
    <w:rPr>
      <w:i/>
      <w:lang w:bidi="en-GB"/>
    </w:rPr>
  </w:style>
  <w:style w:type="paragraph" w:customStyle="1" w:styleId="ZDateAM">
    <w:name w:val="ZDateAM"/>
    <w:basedOn w:val="Normal"/>
    <w:rsid w:val="00F42706"/>
    <w:pPr>
      <w:tabs>
        <w:tab w:val="right" w:pos="9356"/>
      </w:tabs>
      <w:spacing w:after="480"/>
    </w:pPr>
    <w:rPr>
      <w:noProof/>
      <w:lang w:bidi="en-GB"/>
    </w:rPr>
  </w:style>
  <w:style w:type="paragraph" w:customStyle="1" w:styleId="ProjRap">
    <w:name w:val="ProjRap"/>
    <w:basedOn w:val="Normal"/>
    <w:rsid w:val="00F42706"/>
    <w:pPr>
      <w:tabs>
        <w:tab w:val="right" w:pos="9356"/>
      </w:tabs>
    </w:pPr>
    <w:rPr>
      <w:b/>
      <w:noProof/>
      <w:lang w:bidi="en-GB"/>
    </w:rPr>
  </w:style>
  <w:style w:type="character" w:customStyle="1" w:styleId="Footer2Middle">
    <w:name w:val="Footer2Middle"/>
    <w:rsid w:val="00F42706"/>
    <w:rPr>
      <w:rFonts w:ascii="Arial" w:hAnsi="Arial" w:cs="Arial" w:hint="default"/>
      <w:b w:val="0"/>
      <w:bCs w:val="0"/>
      <w:i/>
      <w:iCs w:val="0"/>
      <w:color w:val="C0C0C0"/>
      <w:sz w:val="22"/>
    </w:rPr>
  </w:style>
  <w:style w:type="character" w:customStyle="1" w:styleId="highlight-diff">
    <w:name w:val="highlight-diff"/>
    <w:rsid w:val="00F42706"/>
    <w:rPr>
      <w:b/>
      <w:bCs/>
      <w:i/>
      <w:iCs/>
    </w:rPr>
  </w:style>
  <w:style w:type="paragraph" w:customStyle="1" w:styleId="Default">
    <w:name w:val="Default"/>
    <w:rsid w:val="00F42706"/>
    <w:pPr>
      <w:autoSpaceDE w:val="0"/>
      <w:autoSpaceDN w:val="0"/>
      <w:adjustRightInd w:val="0"/>
    </w:pPr>
    <w:rPr>
      <w:rFonts w:eastAsia="Calibri"/>
      <w:color w:val="000000"/>
      <w:sz w:val="24"/>
      <w:szCs w:val="24"/>
      <w:lang w:val="et-EE" w:bidi="en-GB"/>
    </w:rPr>
  </w:style>
  <w:style w:type="character" w:styleId="CommentReference">
    <w:name w:val="annotation reference"/>
    <w:uiPriority w:val="99"/>
    <w:unhideWhenUsed/>
    <w:rsid w:val="00F42706"/>
    <w:rPr>
      <w:sz w:val="16"/>
      <w:szCs w:val="16"/>
    </w:rPr>
  </w:style>
  <w:style w:type="paragraph" w:styleId="CommentText">
    <w:name w:val="annotation text"/>
    <w:basedOn w:val="Normal"/>
    <w:link w:val="CommentTextChar"/>
    <w:uiPriority w:val="99"/>
    <w:unhideWhenUsed/>
    <w:rsid w:val="00F42706"/>
    <w:rPr>
      <w:sz w:val="20"/>
      <w:lang w:bidi="en-GB"/>
    </w:rPr>
  </w:style>
  <w:style w:type="character" w:customStyle="1" w:styleId="CommentTextChar">
    <w:name w:val="Comment Text Char"/>
    <w:basedOn w:val="DefaultParagraphFont"/>
    <w:link w:val="CommentText"/>
    <w:uiPriority w:val="99"/>
    <w:rsid w:val="00F42706"/>
    <w:rPr>
      <w:lang w:val="et-EE" w:bidi="en-GB"/>
    </w:rPr>
  </w:style>
  <w:style w:type="paragraph" w:styleId="CommentSubject">
    <w:name w:val="annotation subject"/>
    <w:basedOn w:val="CommentText"/>
    <w:next w:val="CommentText"/>
    <w:link w:val="CommentSubjectChar"/>
    <w:rsid w:val="00F42706"/>
    <w:rPr>
      <w:b/>
      <w:bCs/>
    </w:rPr>
  </w:style>
  <w:style w:type="character" w:customStyle="1" w:styleId="CommentSubjectChar">
    <w:name w:val="Comment Subject Char"/>
    <w:basedOn w:val="CommentTextChar"/>
    <w:link w:val="CommentSubject"/>
    <w:rsid w:val="00F42706"/>
    <w:rPr>
      <w:b/>
      <w:bCs/>
      <w:lang w:val="et-EE" w:bidi="en-GB"/>
    </w:rPr>
  </w:style>
  <w:style w:type="paragraph" w:styleId="Revision">
    <w:name w:val="Revision"/>
    <w:hidden/>
    <w:uiPriority w:val="99"/>
    <w:semiHidden/>
    <w:rsid w:val="00F42706"/>
    <w:rPr>
      <w:sz w:val="24"/>
      <w:lang w:val="et-EE" w:bidi="en-GB"/>
    </w:rPr>
  </w:style>
  <w:style w:type="paragraph" w:styleId="BalloonText">
    <w:name w:val="Balloon Text"/>
    <w:basedOn w:val="Normal"/>
    <w:link w:val="BalloonTextChar"/>
    <w:rsid w:val="00F42706"/>
    <w:rPr>
      <w:rFonts w:ascii="Segoe UI" w:hAnsi="Segoe UI" w:cs="Segoe UI"/>
      <w:sz w:val="18"/>
      <w:szCs w:val="18"/>
      <w:lang w:bidi="en-GB"/>
    </w:rPr>
  </w:style>
  <w:style w:type="character" w:customStyle="1" w:styleId="BalloonTextChar">
    <w:name w:val="Balloon Text Char"/>
    <w:basedOn w:val="DefaultParagraphFont"/>
    <w:link w:val="BalloonText"/>
    <w:rsid w:val="00F42706"/>
    <w:rPr>
      <w:rFonts w:ascii="Segoe UI" w:hAnsi="Segoe UI" w:cs="Segoe UI"/>
      <w:sz w:val="18"/>
      <w:szCs w:val="18"/>
      <w:lang w:val="et-EE" w:bidi="en-GB"/>
    </w:rPr>
  </w:style>
  <w:style w:type="character" w:customStyle="1" w:styleId="SupBoldItalic">
    <w:name w:val="SupBoldItalic"/>
    <w:rsid w:val="00F42706"/>
    <w:rPr>
      <w:b/>
      <w:bCs w:val="0"/>
      <w:i/>
      <w:iCs w:val="0"/>
      <w:color w:val="000000"/>
      <w:vertAlign w:val="superscript"/>
    </w:rPr>
  </w:style>
  <w:style w:type="paragraph" w:customStyle="1" w:styleId="Center">
    <w:name w:val="Center"/>
    <w:rsid w:val="00F42706"/>
    <w:pPr>
      <w:spacing w:after="120"/>
      <w:jc w:val="center"/>
    </w:pPr>
    <w:rPr>
      <w:color w:val="000000"/>
      <w:lang w:val="et-EE"/>
    </w:rPr>
  </w:style>
  <w:style w:type="paragraph" w:customStyle="1" w:styleId="NormalTabs">
    <w:name w:val="NormalTabs"/>
    <w:basedOn w:val="Normal"/>
    <w:qFormat/>
    <w:rsid w:val="00F4270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95DB-A2B7-4543-9395-B1C9BAA3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B07211A7</Template>
  <TotalTime>0</TotalTime>
  <Pages>36</Pages>
  <Words>6566</Words>
  <Characters>48371</Characters>
  <Application>Microsoft Office Word</Application>
  <DocSecurity>0</DocSecurity>
  <Lines>403</Lines>
  <Paragraphs>109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RAUDNASK Juta</cp:lastModifiedBy>
  <cp:revision>2</cp:revision>
  <cp:lastPrinted>2004-11-19T14:42:00Z</cp:lastPrinted>
  <dcterms:created xsi:type="dcterms:W3CDTF">2018-03-02T12:32:00Z</dcterms:created>
  <dcterms:modified xsi:type="dcterms:W3CDTF">2018-03-02T12:32:00Z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P8_TA-PROV(2017)0357_</vt:lpwstr>
  </property>
  <property fmtid="{D5CDD505-2E9C-101B-9397-08002B2CF9AE}" pid="4" name="&lt;Type&gt;">
    <vt:lpwstr>RR</vt:lpwstr>
  </property>
</Properties>
</file>