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96D28" w14:paraId="45A075EE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33E232F" w14:textId="77777777" w:rsidR="00751A4A" w:rsidRPr="00896D28" w:rsidRDefault="0054665C" w:rsidP="0010095E">
            <w:pPr>
              <w:pStyle w:val="EPName"/>
              <w:rPr>
                <w:lang w:val="sk-SK"/>
              </w:rPr>
            </w:pPr>
            <w:r w:rsidRPr="00896D28">
              <w:rPr>
                <w:lang w:val="sk-SK"/>
              </w:rPr>
              <w:t>Európsky parlament</w:t>
            </w:r>
          </w:p>
          <w:p w14:paraId="01D87F98" w14:textId="77777777" w:rsidR="00751A4A" w:rsidRPr="00896D2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896D28">
              <w:rPr>
                <w:lang w:val="sk-SK"/>
              </w:rPr>
              <w:t>2014</w:t>
            </w:r>
            <w:r w:rsidR="00C941CB" w:rsidRPr="00896D28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69A3A291" w14:textId="77777777" w:rsidR="00751A4A" w:rsidRPr="00896D28" w:rsidRDefault="0099611C" w:rsidP="0010095E">
            <w:pPr>
              <w:pStyle w:val="EPLogo"/>
            </w:pPr>
            <w:r w:rsidRPr="00896D28">
              <w:rPr>
                <w:noProof/>
                <w:lang w:val="en-GB"/>
              </w:rPr>
              <w:drawing>
                <wp:inline distT="0" distB="0" distL="0" distR="0" wp14:anchorId="0505AEF2" wp14:editId="46151FAE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8F4D1" w14:textId="77777777" w:rsidR="00D058B8" w:rsidRPr="00896D28" w:rsidRDefault="00D058B8" w:rsidP="00D058B8">
      <w:pPr>
        <w:pStyle w:val="LineTop"/>
        <w:rPr>
          <w:lang w:val="sk-SK"/>
        </w:rPr>
      </w:pPr>
    </w:p>
    <w:p w14:paraId="1934C919" w14:textId="77777777" w:rsidR="00680577" w:rsidRPr="00896D28" w:rsidRDefault="0054665C" w:rsidP="00680577">
      <w:pPr>
        <w:pStyle w:val="ZSessionDoc"/>
        <w:rPr>
          <w:b/>
          <w:i w:val="0"/>
        </w:rPr>
      </w:pPr>
      <w:r w:rsidRPr="00896D28">
        <w:rPr>
          <w:b/>
          <w:i w:val="0"/>
        </w:rPr>
        <w:t>PRIJATÉ TEXTY</w:t>
      </w:r>
    </w:p>
    <w:p w14:paraId="1E70917F" w14:textId="77777777" w:rsidR="00D058B8" w:rsidRPr="00896D28" w:rsidRDefault="00D058B8" w:rsidP="00D058B8">
      <w:pPr>
        <w:pStyle w:val="LineBottom"/>
      </w:pPr>
    </w:p>
    <w:p w14:paraId="5F8A8861" w14:textId="689CC09D" w:rsidR="0054665C" w:rsidRPr="00896D28" w:rsidRDefault="0054665C" w:rsidP="0054665C">
      <w:pPr>
        <w:pStyle w:val="ATHeading1"/>
        <w:rPr>
          <w:noProof w:val="0"/>
          <w:lang w:val="sk-SK"/>
        </w:rPr>
      </w:pPr>
      <w:bookmarkStart w:id="0" w:name="TANumber"/>
      <w:r w:rsidRPr="00896D28">
        <w:rPr>
          <w:noProof w:val="0"/>
          <w:lang w:val="sk-SK"/>
        </w:rPr>
        <w:t>P8_TA</w:t>
      </w:r>
      <w:bookmarkStart w:id="1" w:name="_GoBack"/>
      <w:bookmarkEnd w:id="1"/>
      <w:r w:rsidRPr="00896D28">
        <w:rPr>
          <w:noProof w:val="0"/>
          <w:lang w:val="sk-SK"/>
        </w:rPr>
        <w:t>(2018)0</w:t>
      </w:r>
      <w:r w:rsidR="00665070" w:rsidRPr="00896D28">
        <w:rPr>
          <w:noProof w:val="0"/>
          <w:lang w:val="sk-SK"/>
        </w:rPr>
        <w:t>262</w:t>
      </w:r>
      <w:bookmarkEnd w:id="0"/>
    </w:p>
    <w:p w14:paraId="609EE9DF" w14:textId="77777777" w:rsidR="0054665C" w:rsidRPr="00896D28" w:rsidRDefault="0054665C" w:rsidP="0054665C">
      <w:pPr>
        <w:pStyle w:val="ATHeading2"/>
        <w:rPr>
          <w:noProof w:val="0"/>
          <w:lang w:val="sk-SK"/>
        </w:rPr>
      </w:pPr>
      <w:bookmarkStart w:id="2" w:name="title"/>
      <w:r w:rsidRPr="00896D28">
        <w:rPr>
          <w:noProof w:val="0"/>
          <w:lang w:val="sk-SK"/>
        </w:rPr>
        <w:t>Štrukturálne a finančné prekážky v prístupe ku kultúre</w:t>
      </w:r>
      <w:bookmarkEnd w:id="2"/>
      <w:r w:rsidRPr="00896D28">
        <w:rPr>
          <w:noProof w:val="0"/>
          <w:lang w:val="sk-SK"/>
        </w:rPr>
        <w:t xml:space="preserve"> </w:t>
      </w:r>
      <w:bookmarkStart w:id="3" w:name="Etoiles"/>
      <w:bookmarkEnd w:id="3"/>
    </w:p>
    <w:p w14:paraId="4B7EFAC9" w14:textId="77777777" w:rsidR="0054665C" w:rsidRPr="00896D28" w:rsidRDefault="0054665C" w:rsidP="0054665C">
      <w:pPr>
        <w:rPr>
          <w:i/>
          <w:vanish/>
        </w:rPr>
      </w:pPr>
      <w:r w:rsidRPr="00896D28">
        <w:rPr>
          <w:i/>
        </w:rPr>
        <w:fldChar w:fldCharType="begin"/>
      </w:r>
      <w:r w:rsidRPr="00896D28">
        <w:rPr>
          <w:i/>
        </w:rPr>
        <w:instrText xml:space="preserve"> TC"(</w:instrText>
      </w:r>
      <w:bookmarkStart w:id="4" w:name="DocNumber"/>
      <w:r w:rsidRPr="00896D28">
        <w:rPr>
          <w:i/>
        </w:rPr>
        <w:instrText>A8-0169/2018</w:instrText>
      </w:r>
      <w:bookmarkEnd w:id="4"/>
      <w:r w:rsidRPr="00896D28">
        <w:rPr>
          <w:i/>
        </w:rPr>
        <w:instrText xml:space="preserve"> - Spravodajca: Bogdan Andrzej Zdrojewski)"\l3 \n&gt; \* MERGEFORMAT </w:instrText>
      </w:r>
      <w:r w:rsidRPr="00896D28">
        <w:rPr>
          <w:i/>
        </w:rPr>
        <w:fldChar w:fldCharType="end"/>
      </w:r>
    </w:p>
    <w:p w14:paraId="6167C4A3" w14:textId="77777777" w:rsidR="0054665C" w:rsidRPr="00896D28" w:rsidRDefault="0054665C" w:rsidP="0054665C">
      <w:pPr>
        <w:rPr>
          <w:vanish/>
        </w:rPr>
      </w:pPr>
      <w:bookmarkStart w:id="5" w:name="Commission"/>
      <w:r w:rsidRPr="00896D28">
        <w:rPr>
          <w:vanish/>
        </w:rPr>
        <w:t>Výbor pre kultúru a vzdelávanie</w:t>
      </w:r>
      <w:bookmarkEnd w:id="5"/>
    </w:p>
    <w:p w14:paraId="64EF9653" w14:textId="77777777" w:rsidR="0054665C" w:rsidRPr="00896D28" w:rsidRDefault="0054665C" w:rsidP="0054665C">
      <w:pPr>
        <w:rPr>
          <w:vanish/>
        </w:rPr>
      </w:pPr>
      <w:bookmarkStart w:id="6" w:name="PE"/>
      <w:r w:rsidRPr="00896D28">
        <w:rPr>
          <w:vanish/>
        </w:rPr>
        <w:t>PE615.438</w:t>
      </w:r>
      <w:bookmarkEnd w:id="6"/>
    </w:p>
    <w:p w14:paraId="5666EAAF" w14:textId="1ECFAB89" w:rsidR="0054665C" w:rsidRPr="00896D28" w:rsidRDefault="0054665C" w:rsidP="0054665C">
      <w:pPr>
        <w:pStyle w:val="ATHeading3"/>
        <w:rPr>
          <w:noProof w:val="0"/>
          <w:lang w:val="sk-SK"/>
        </w:rPr>
      </w:pPr>
      <w:bookmarkStart w:id="7" w:name="Sujet"/>
      <w:r w:rsidRPr="00896D28">
        <w:rPr>
          <w:noProof w:val="0"/>
          <w:lang w:val="sk-SK"/>
        </w:rPr>
        <w:t>Uznesenie Európskeho parlamentu z</w:t>
      </w:r>
      <w:r w:rsidR="00490EC1" w:rsidRPr="00896D28">
        <w:rPr>
          <w:noProof w:val="0"/>
          <w:lang w:val="sk-SK"/>
        </w:rPr>
        <w:t>o</w:t>
      </w:r>
      <w:r w:rsidRPr="00896D28">
        <w:rPr>
          <w:noProof w:val="0"/>
          <w:lang w:val="sk-SK"/>
        </w:rPr>
        <w:t xml:space="preserve"> </w:t>
      </w:r>
      <w:r w:rsidR="00490EC1" w:rsidRPr="00896D28">
        <w:rPr>
          <w:noProof w:val="0"/>
          <w:lang w:val="sk-SK"/>
        </w:rPr>
        <w:t>14</w:t>
      </w:r>
      <w:r w:rsidRPr="00896D28">
        <w:rPr>
          <w:noProof w:val="0"/>
          <w:lang w:val="sk-SK"/>
        </w:rPr>
        <w:t>. júna 2018 o štrukturálnych a finančných prekážkach v prístupe ku kultúre</w:t>
      </w:r>
      <w:bookmarkEnd w:id="7"/>
      <w:r w:rsidRPr="00896D28">
        <w:rPr>
          <w:noProof w:val="0"/>
          <w:lang w:val="sk-SK"/>
        </w:rPr>
        <w:t xml:space="preserve"> </w:t>
      </w:r>
      <w:bookmarkStart w:id="8" w:name="References"/>
      <w:r w:rsidRPr="00896D28">
        <w:rPr>
          <w:noProof w:val="0"/>
          <w:lang w:val="sk-SK"/>
        </w:rPr>
        <w:t>(2017/2255(INI))</w:t>
      </w:r>
      <w:bookmarkEnd w:id="8"/>
    </w:p>
    <w:p w14:paraId="45461111" w14:textId="77777777" w:rsidR="0054665C" w:rsidRPr="00896D28" w:rsidRDefault="0054665C" w:rsidP="0054665C"/>
    <w:p w14:paraId="2C099CAF" w14:textId="77777777" w:rsidR="003913F6" w:rsidRPr="00896D28" w:rsidRDefault="003913F6" w:rsidP="003913F6">
      <w:pPr>
        <w:pStyle w:val="Normal12"/>
      </w:pPr>
      <w:bookmarkStart w:id="9" w:name="TextBodyBegin"/>
      <w:bookmarkEnd w:id="9"/>
      <w:r w:rsidRPr="00896D28">
        <w:rPr>
          <w:i/>
        </w:rPr>
        <w:t>Európsky parlament,</w:t>
      </w:r>
    </w:p>
    <w:p w14:paraId="07CCA172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rPr>
          <w:b/>
          <w:i/>
        </w:rPr>
        <w:tab/>
      </w:r>
      <w:r w:rsidRPr="00896D28">
        <w:t>so zreteľom na článok 27 Všeobecnej deklarácie ľudských práv OSN,</w:t>
      </w:r>
    </w:p>
    <w:p w14:paraId="505A4AE9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rPr>
          <w:b/>
          <w:i/>
        </w:rPr>
        <w:tab/>
      </w:r>
      <w:r w:rsidRPr="00896D28">
        <w:t>so zreteľom na článok 15 Medzinárodného paktu o hospodárskych, sociálnych a kultúrnych právach,</w:t>
      </w:r>
    </w:p>
    <w:p w14:paraId="32F8A4D6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rPr>
          <w:b/>
          <w:i/>
        </w:rPr>
        <w:tab/>
      </w:r>
      <w:r w:rsidRPr="00896D28">
        <w:t>so zreteľom na Chartu základných práv Európskej únie a najmä na jej články 22 a 25,</w:t>
      </w:r>
    </w:p>
    <w:p w14:paraId="07D87791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12. mája 2011 o uvoľnení potenciálu kultúrneho a kreatívneho priemyslu</w:t>
      </w:r>
      <w:r w:rsidRPr="00896D28">
        <w:rPr>
          <w:vertAlign w:val="superscript"/>
        </w:rPr>
        <w:footnoteReference w:id="1"/>
      </w:r>
      <w:r w:rsidRPr="00896D28">
        <w:t>,</w:t>
      </w:r>
    </w:p>
    <w:p w14:paraId="166FB6A4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12. septembra 2013 k podpore európskych odvetví kultúry a tvorivej činnosti ako zdrojov hospodárskeho rastu a zamestnanosti</w:t>
      </w:r>
      <w:r w:rsidRPr="00896D28">
        <w:rPr>
          <w:vertAlign w:val="superscript"/>
        </w:rPr>
        <w:footnoteReference w:id="2"/>
      </w:r>
      <w:r w:rsidRPr="00896D28">
        <w:t>,</w:t>
      </w:r>
    </w:p>
    <w:p w14:paraId="56BE778F" w14:textId="5615E7BC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</w:t>
      </w:r>
      <w:r w:rsidR="00490EC1" w:rsidRPr="00896D28">
        <w:t>13. decembra</w:t>
      </w:r>
      <w:r w:rsidRPr="00896D28">
        <w:t xml:space="preserve"> 2016 o súdržnej politike EÚ v oblasti kultúrneho a kreatívneho priemyslu</w:t>
      </w:r>
      <w:r w:rsidRPr="00896D28">
        <w:rPr>
          <w:vertAlign w:val="superscript"/>
        </w:rPr>
        <w:footnoteReference w:id="3"/>
      </w:r>
      <w:r w:rsidRPr="00896D28">
        <w:t>,</w:t>
      </w:r>
    </w:p>
    <w:p w14:paraId="63FD9BD0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10. apríla 2008 o kultúrnom priemysle v Európe</w:t>
      </w:r>
      <w:r w:rsidRPr="00896D28">
        <w:rPr>
          <w:vertAlign w:val="superscript"/>
        </w:rPr>
        <w:footnoteReference w:id="4"/>
      </w:r>
      <w:r w:rsidRPr="00896D28">
        <w:t>,</w:t>
      </w:r>
    </w:p>
    <w:p w14:paraId="134F65DD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zo 7. júna 2007 o spoločenskom postavení umelcov</w:t>
      </w:r>
      <w:r w:rsidRPr="00896D28">
        <w:rPr>
          <w:vertAlign w:val="superscript"/>
        </w:rPr>
        <w:footnoteReference w:id="5"/>
      </w:r>
      <w:r w:rsidRPr="00896D28">
        <w:t>,</w:t>
      </w:r>
    </w:p>
    <w:p w14:paraId="680386F4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svoje uznesenie z 12. mája 2011 o kultúrnych rozmeroch vonkajšej </w:t>
      </w:r>
      <w:r w:rsidRPr="00896D28">
        <w:lastRenderedPageBreak/>
        <w:t>činnosti EÚ</w:t>
      </w:r>
      <w:r w:rsidRPr="00896D28">
        <w:rPr>
          <w:vertAlign w:val="superscript"/>
        </w:rPr>
        <w:footnoteReference w:id="6"/>
      </w:r>
      <w:r w:rsidRPr="00896D28">
        <w:t>,</w:t>
      </w:r>
    </w:p>
    <w:p w14:paraId="6A5D3D44" w14:textId="4CFE1953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2</w:t>
      </w:r>
      <w:r w:rsidR="008A1B69" w:rsidRPr="00896D28">
        <w:t>6</w:t>
      </w:r>
      <w:r w:rsidRPr="00896D28">
        <w:t>. februára 2004 o úlohe škôl a školskej výchovy pri zvyšovaní prístupu ku kultúre</w:t>
      </w:r>
      <w:r w:rsidRPr="00896D28">
        <w:rPr>
          <w:vertAlign w:val="superscript"/>
        </w:rPr>
        <w:footnoteReference w:id="7"/>
      </w:r>
      <w:r w:rsidRPr="00896D28">
        <w:t>,</w:t>
      </w:r>
    </w:p>
    <w:p w14:paraId="160458DC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19. januára 2016 s názvom Smerom k aktu o jednotnom digitálnom trhu</w:t>
      </w:r>
      <w:r w:rsidRPr="00896D28">
        <w:rPr>
          <w:vertAlign w:val="superscript"/>
        </w:rPr>
        <w:footnoteReference w:id="8"/>
      </w:r>
      <w:r w:rsidRPr="00896D28">
        <w:t>,</w:t>
      </w:r>
    </w:p>
    <w:p w14:paraId="3FD1ACC4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8. septembra 2015 s názvom Smerom k integrovanému prístupu ku kultúrnemu dedičstvu pre Európu</w:t>
      </w:r>
      <w:r w:rsidRPr="00896D28">
        <w:rPr>
          <w:vertAlign w:val="superscript"/>
        </w:rPr>
        <w:footnoteReference w:id="9"/>
      </w:r>
      <w:r w:rsidRPr="00896D28">
        <w:t>,</w:t>
      </w:r>
    </w:p>
    <w:p w14:paraId="69DDA18F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svoje uznesenie z 19. januára 2016 o úlohe </w:t>
      </w:r>
      <w:proofErr w:type="spellStart"/>
      <w:r w:rsidRPr="00896D28">
        <w:t>medzikultúrneho</w:t>
      </w:r>
      <w:proofErr w:type="spellEnd"/>
      <w:r w:rsidRPr="00896D28">
        <w:t xml:space="preserve"> dialógu, kultúrnej rozmanitosti a vzdelávania pri propagovaní základných hodnôt EÚ</w:t>
      </w:r>
      <w:r w:rsidRPr="00896D28">
        <w:rPr>
          <w:vertAlign w:val="superscript"/>
        </w:rPr>
        <w:footnoteReference w:id="10"/>
      </w:r>
      <w:r w:rsidRPr="00896D28">
        <w:t>,</w:t>
      </w:r>
    </w:p>
    <w:p w14:paraId="768BDA4A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10. apríla 2008 o európskej stratégii pre kultúru v globalizovanom svete</w:t>
      </w:r>
      <w:r w:rsidRPr="00896D28">
        <w:rPr>
          <w:vertAlign w:val="superscript"/>
        </w:rPr>
        <w:footnoteReference w:id="11"/>
      </w:r>
      <w:r w:rsidRPr="00896D28">
        <w:t>,</w:t>
      </w:r>
    </w:p>
    <w:p w14:paraId="35B4ADB0" w14:textId="2F21FD06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</w:t>
      </w:r>
      <w:r w:rsidR="000D1181" w:rsidRPr="00896D28">
        <w:t>u</w:t>
      </w:r>
      <w:r w:rsidRPr="00896D28">
        <w:t xml:space="preserve"> </w:t>
      </w:r>
      <w:r w:rsidR="000D1181" w:rsidRPr="00896D28">
        <w:t xml:space="preserve">pozíciu </w:t>
      </w:r>
      <w:r w:rsidRPr="00896D28">
        <w:t xml:space="preserve">z 1. júna 2017 </w:t>
      </w:r>
      <w:r w:rsidR="000B45DE" w:rsidRPr="00896D28">
        <w:t xml:space="preserve">o návrhu smernice Rady, ktorou sa mení smernica 2006/112/ES, pokiaľ ide </w:t>
      </w:r>
      <w:r w:rsidRPr="00896D28">
        <w:t>o sadzb</w:t>
      </w:r>
      <w:r w:rsidR="000B45DE" w:rsidRPr="00896D28">
        <w:t>y</w:t>
      </w:r>
      <w:r w:rsidRPr="00896D28">
        <w:t xml:space="preserve"> dane z pridanej hodnoty uplatňovaných na knihy, noviny a periodiká</w:t>
      </w:r>
      <w:r w:rsidRPr="00896D28">
        <w:rPr>
          <w:rStyle w:val="SupBoldItalic"/>
          <w:b w:val="0"/>
          <w:bCs/>
          <w:i w:val="0"/>
          <w:iCs/>
          <w:color w:val="auto"/>
        </w:rPr>
        <w:footnoteReference w:id="12"/>
      </w:r>
      <w:r w:rsidR="0068274D" w:rsidRPr="00896D28">
        <w:t>,</w:t>
      </w:r>
    </w:p>
    <w:p w14:paraId="68CC181F" w14:textId="18D92556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5. mája 2010 o </w:t>
      </w:r>
      <w:proofErr w:type="spellStart"/>
      <w:r w:rsidRPr="00896D28">
        <w:t>Europeane</w:t>
      </w:r>
      <w:proofErr w:type="spellEnd"/>
      <w:r w:rsidRPr="00896D28">
        <w:t xml:space="preserve"> – ďalších krokoch</w:t>
      </w:r>
      <w:r w:rsidRPr="00896D28">
        <w:rPr>
          <w:vertAlign w:val="superscript"/>
        </w:rPr>
        <w:footnoteReference w:id="13"/>
      </w:r>
      <w:r w:rsidRPr="00896D28">
        <w:t>,</w:t>
      </w:r>
    </w:p>
    <w:p w14:paraId="78C65DC3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25. októbra 2011 o mobilite a začlenení osôb so zdravotným postihnutím a Európskej stratégii pre oblasť zdravotného postihnutia 2010 – 2020</w:t>
      </w:r>
      <w:r w:rsidRPr="00896D28">
        <w:rPr>
          <w:vertAlign w:val="superscript"/>
        </w:rPr>
        <w:footnoteReference w:id="14"/>
      </w:r>
      <w:r w:rsidRPr="00896D28">
        <w:t>,</w:t>
      </w:r>
    </w:p>
    <w:p w14:paraId="6D07EF62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30. novembra 2017 o vykonávaní európskej stratégie pre oblasť zdravotného postihnutia</w:t>
      </w:r>
      <w:r w:rsidRPr="00896D28">
        <w:rPr>
          <w:rStyle w:val="SupBoldItalic"/>
          <w:b w:val="0"/>
          <w:bCs/>
          <w:i w:val="0"/>
          <w:iCs/>
          <w:color w:val="auto"/>
        </w:rPr>
        <w:footnoteReference w:id="15"/>
      </w:r>
      <w:r w:rsidRPr="00896D28">
        <w:t>,</w:t>
      </w:r>
    </w:p>
    <w:p w14:paraId="64777205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svoje uznesenie z 2. marca 2017 o vykonávaní nariadenia Európskeho parlamentu a Rady (EÚ) č. 1295/2013 z 11. decembra 2013, ktorým sa ustanovuje program Kreatívna Európa (2014 až 2020) a zrušujú rozhodnutia č. 1718/2006/ES, č. 1855/2006/ES a č. 1041/2009/ES</w:t>
      </w:r>
      <w:r w:rsidRPr="00896D28">
        <w:rPr>
          <w:bCs/>
          <w:szCs w:val="24"/>
          <w:vertAlign w:val="superscript"/>
        </w:rPr>
        <w:footnoteReference w:id="16"/>
      </w:r>
      <w:r w:rsidRPr="00896D28">
        <w:t>,</w:t>
      </w:r>
    </w:p>
    <w:p w14:paraId="555E078D" w14:textId="77777777" w:rsidR="003913F6" w:rsidRPr="00896D28" w:rsidRDefault="003913F6" w:rsidP="003913F6">
      <w:pPr>
        <w:pStyle w:val="Normal12Hanging"/>
        <w:rPr>
          <w:b/>
          <w:i/>
        </w:rPr>
      </w:pPr>
      <w:r w:rsidRPr="00896D28">
        <w:t>–</w:t>
      </w:r>
      <w:r w:rsidRPr="00896D28">
        <w:rPr>
          <w:b/>
          <w:i/>
        </w:rPr>
        <w:tab/>
      </w:r>
      <w:r w:rsidRPr="00896D28">
        <w:t>so zreteľom na Dohovor Organizácie Spojených národov o právach osôb so zdravotným postihnutím (UNCRPD) a najmä na jeho článok 30 o účasti na kultúrnom živote, rekreácii, záujmových aktivitách a športe,</w:t>
      </w:r>
    </w:p>
    <w:p w14:paraId="13548EFB" w14:textId="77777777" w:rsidR="003913F6" w:rsidRPr="00896D28" w:rsidRDefault="003913F6" w:rsidP="003913F6">
      <w:pPr>
        <w:pStyle w:val="Normal12Hanging"/>
        <w:rPr>
          <w:b/>
          <w:i/>
        </w:rPr>
      </w:pPr>
      <w:r w:rsidRPr="00896D28">
        <w:t>–</w:t>
      </w:r>
      <w:r w:rsidRPr="00896D28">
        <w:rPr>
          <w:b/>
          <w:i/>
        </w:rPr>
        <w:tab/>
      </w:r>
      <w:r w:rsidRPr="00896D28">
        <w:t xml:space="preserve">so zreteľom na 11. cieľ programu trvalo udržateľného rozvoja OSN do roku 2030, ktorý </w:t>
      </w:r>
      <w:r w:rsidRPr="00896D28">
        <w:lastRenderedPageBreak/>
        <w:t xml:space="preserve">bol podpísaný v septembri 2015 a v ktorom sa navrhuje, aby sa mestá a ľudské sídla zmenili na </w:t>
      </w:r>
      <w:proofErr w:type="spellStart"/>
      <w:r w:rsidRPr="00896D28">
        <w:t>inkluzívne</w:t>
      </w:r>
      <w:proofErr w:type="spellEnd"/>
      <w:r w:rsidRPr="00896D28">
        <w:t>, bezpečné, odolné a udržateľné,</w:t>
      </w:r>
    </w:p>
    <w:p w14:paraId="2DFDF619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Dohovor o ochrane a podpore rozmanitosti kultúrnych prejavov, ktorý 20. októbra 2005 prijala Organizácia Spojených národov pre vzdelávanie, vedu a kultúru (UNESCO),</w:t>
      </w:r>
    </w:p>
    <w:p w14:paraId="02D6D86E" w14:textId="37FF4EF4" w:rsidR="003913F6" w:rsidRPr="00896D28" w:rsidRDefault="003913F6" w:rsidP="003913F6">
      <w:pPr>
        <w:spacing w:after="240"/>
        <w:ind w:left="567" w:hanging="567"/>
        <w:jc w:val="both"/>
      </w:pPr>
      <w:r w:rsidRPr="00896D28">
        <w:t>–</w:t>
      </w:r>
      <w:r w:rsidRPr="00896D28">
        <w:tab/>
        <w:t>so zreteľom na rámcový dohovor Rady Európy o hodnote kultúrneho dedičstva pre spoločnosť (dohovor z </w:t>
      </w:r>
      <w:proofErr w:type="spellStart"/>
      <w:r w:rsidRPr="00896D28">
        <w:t>Faro</w:t>
      </w:r>
      <w:proofErr w:type="spellEnd"/>
      <w:r w:rsidRPr="00896D28">
        <w:t>) z 2</w:t>
      </w:r>
      <w:r w:rsidR="00A17016">
        <w:t>7</w:t>
      </w:r>
      <w:r w:rsidRPr="00896D28">
        <w:t>. októbra 2005,</w:t>
      </w:r>
    </w:p>
    <w:p w14:paraId="0739A20C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nariadenie Európskeho parlamentu a Rady (EÚ) č. 1295/2013 z 11. decembra 2013, ktorým sa ustanovuje program Kreatívna Európa (2014 až 2020) a zrušujú rozhodnutia č. 1718/2006/ES, č. 1855/2006/ES a č. 1041/2009/ES</w:t>
      </w:r>
      <w:r w:rsidRPr="00896D28">
        <w:rPr>
          <w:vertAlign w:val="superscript"/>
        </w:rPr>
        <w:footnoteReference w:id="17"/>
      </w:r>
      <w:r w:rsidRPr="00896D28">
        <w:t>,</w:t>
      </w:r>
    </w:p>
    <w:p w14:paraId="490A4EAC" w14:textId="00609EB3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uznesenie Rady zo 16. novembra 2007 o európskom programe pre kultúru</w:t>
      </w:r>
      <w:r w:rsidR="00A2021C" w:rsidRPr="00896D28">
        <w:rPr>
          <w:rStyle w:val="FootnoteReference"/>
        </w:rPr>
        <w:footnoteReference w:id="18"/>
      </w:r>
      <w:r w:rsidRPr="00896D28">
        <w:t>,</w:t>
      </w:r>
    </w:p>
    <w:p w14:paraId="2B7902AE" w14:textId="62C00875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závery Rady z 23. decembra 2014 o pracovnom pláne pre kultúru (2015</w:t>
      </w:r>
      <w:r w:rsidR="00265550" w:rsidRPr="00896D28">
        <w:t> </w:t>
      </w:r>
      <w:r w:rsidRPr="00896D28">
        <w:t>– 2018)</w:t>
      </w:r>
      <w:r w:rsidRPr="00896D28">
        <w:rPr>
          <w:vertAlign w:val="superscript"/>
        </w:rPr>
        <w:footnoteReference w:id="19"/>
      </w:r>
      <w:r w:rsidRPr="00896D28">
        <w:t>,</w:t>
      </w:r>
    </w:p>
    <w:p w14:paraId="5C688E79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pracovný plán EÚ pre kultúru na roky 2015 – 2018,</w:t>
      </w:r>
    </w:p>
    <w:p w14:paraId="322E99D1" w14:textId="5D903172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závery Rady z</w:t>
      </w:r>
      <w:r w:rsidR="00265550" w:rsidRPr="00896D28">
        <w:t> 18. a 19</w:t>
      </w:r>
      <w:r w:rsidRPr="00896D28">
        <w:t>. mája 2015 o presahovaní oblasti kultúry a tvorivej oblasti s cieľom podnecovať inováciu, hospodársku udržateľnosť a sociálnu inklúziu</w:t>
      </w:r>
      <w:r w:rsidR="008909B4" w:rsidRPr="00896D28">
        <w:rPr>
          <w:rStyle w:val="FootnoteReference"/>
        </w:rPr>
        <w:footnoteReference w:id="20"/>
      </w:r>
      <w:r w:rsidRPr="00896D28">
        <w:t>,</w:t>
      </w:r>
    </w:p>
    <w:p w14:paraId="40CFA2F2" w14:textId="3B1B5BE8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závery Rady z 31. mája 2016 o úlohe </w:t>
      </w:r>
      <w:proofErr w:type="spellStart"/>
      <w:r w:rsidRPr="00896D28">
        <w:t>Europeany</w:t>
      </w:r>
      <w:proofErr w:type="spellEnd"/>
      <w:r w:rsidRPr="00896D28">
        <w:t xml:space="preserve"> z hľadiska digitálnej dostupnosti, viditeľnosti a využívania európskeho kultúrneho dedičstva</w:t>
      </w:r>
      <w:r w:rsidR="004D6EB4" w:rsidRPr="00896D28">
        <w:rPr>
          <w:rStyle w:val="FootnoteReference"/>
        </w:rPr>
        <w:footnoteReference w:id="21"/>
      </w:r>
      <w:r w:rsidRPr="00896D28">
        <w:t>,</w:t>
      </w:r>
    </w:p>
    <w:p w14:paraId="78AAE458" w14:textId="0D9D59D6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uznesenie Rady zo 6. mája 2003 o dostupnosti kultúrnej infraštruktúry a kultúrnej činnosti pre ľudí so zdravotným postihnutím</w:t>
      </w:r>
      <w:r w:rsidR="00E60C78" w:rsidRPr="00896D28">
        <w:rPr>
          <w:rStyle w:val="FootnoteReference"/>
        </w:rPr>
        <w:footnoteReference w:id="22"/>
      </w:r>
      <w:r w:rsidRPr="00896D28">
        <w:t>,</w:t>
      </w:r>
    </w:p>
    <w:p w14:paraId="4F06FA48" w14:textId="27A94C3C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spoločné oznámenie Komisie </w:t>
      </w:r>
      <w:r w:rsidR="00BD0848" w:rsidRPr="00896D28">
        <w:t xml:space="preserve">a vysokej predstaviteľky Únie pre zahraničné veci a bezpečnostnú politiku </w:t>
      </w:r>
      <w:r w:rsidRPr="00896D28">
        <w:t>Európskemu parlamentu a Rade z 8. júna 2016 s názvom Stratégia EÚ pre medzinárodné kultúrne vzťahy (JOIN(2016)0029),</w:t>
      </w:r>
    </w:p>
    <w:p w14:paraId="59BC6ECD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správu Komisie o vykonávaní európskeho programu pre kultúru (COM(2010)0390),</w:t>
      </w:r>
    </w:p>
    <w:p w14:paraId="2CF395BA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zelenú knihu Komisie z 27. apríla 2010 s názvom Uvoľnenie potenciálu kultúrneho a kreatívneho priemyslu (COM(2010)0183),</w:t>
      </w:r>
    </w:p>
    <w:p w14:paraId="17C3BF96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návrh rozhodnutia Európskeho parlamentu a Rady o Európskom roku kultúrneho dedičstva (2018) (COM(2016)0543),</w:t>
      </w:r>
    </w:p>
    <w:p w14:paraId="4B99AE1D" w14:textId="77777777" w:rsidR="003913F6" w:rsidRPr="00896D28" w:rsidRDefault="003913F6" w:rsidP="003913F6">
      <w:pPr>
        <w:pStyle w:val="Normal12Hanging"/>
      </w:pPr>
      <w:r w:rsidRPr="00896D28">
        <w:lastRenderedPageBreak/>
        <w:t>–</w:t>
      </w:r>
      <w:r w:rsidRPr="00896D28">
        <w:tab/>
        <w:t>so zreteľom na oznámenie Komisie z 26. septembra 2012 s názvom Podpora kultúrnych a tvorivých sektorov v záujme rastu a zamestnanosti v EÚ (COM(2012)0537),</w:t>
      </w:r>
    </w:p>
    <w:p w14:paraId="61B97975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oznámenie Komisie z 18. decembra 2012 o obsahu na digitálnom jednotnom trhu (COM(2012)0789),</w:t>
      </w:r>
    </w:p>
    <w:p w14:paraId="23755F10" w14:textId="5F9D3DBE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oznámenie Komisie z </w:t>
      </w:r>
      <w:r w:rsidR="00BD0848" w:rsidRPr="00896D28">
        <w:t>22. júla</w:t>
      </w:r>
      <w:r w:rsidRPr="00896D28">
        <w:t xml:space="preserve"> 201</w:t>
      </w:r>
      <w:r w:rsidR="00BD0848" w:rsidRPr="00896D28">
        <w:t>4</w:t>
      </w:r>
      <w:r w:rsidRPr="00896D28">
        <w:t xml:space="preserve"> s názvom Na ceste k integrovanému prístupu ku kultúrnemu dedičstvu Európy (COM(2014)0477),</w:t>
      </w:r>
    </w:p>
    <w:p w14:paraId="68CCAF51" w14:textId="2E567D10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správu pracovnej skupiny odborníkov z členských štátov z roku 2012 o prístupe ku kultúre</w:t>
      </w:r>
      <w:r w:rsidR="00222A1F" w:rsidRPr="00896D28">
        <w:t>,</w:t>
      </w:r>
    </w:p>
    <w:p w14:paraId="0F6EB3B6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výsledky prieskumu </w:t>
      </w:r>
      <w:proofErr w:type="spellStart"/>
      <w:r w:rsidRPr="00896D28">
        <w:t>Eurobarometer</w:t>
      </w:r>
      <w:proofErr w:type="spellEnd"/>
      <w:r w:rsidRPr="00896D28">
        <w:t xml:space="preserve"> č. 399 o prístupe ku kultúre a účasti na nej a </w:t>
      </w:r>
      <w:proofErr w:type="spellStart"/>
      <w:r w:rsidRPr="00896D28">
        <w:t>Eurobarometer</w:t>
      </w:r>
      <w:proofErr w:type="spellEnd"/>
      <w:r w:rsidRPr="00896D28">
        <w:t xml:space="preserve"> č. 466 o kultúrnom dedičstve,</w:t>
      </w:r>
    </w:p>
    <w:p w14:paraId="24F0F535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 xml:space="preserve">so zreteľom na výsledky štatistického zisťovania </w:t>
      </w:r>
      <w:proofErr w:type="spellStart"/>
      <w:r w:rsidRPr="00896D28">
        <w:t>Eurostatu</w:t>
      </w:r>
      <w:proofErr w:type="spellEnd"/>
      <w:r w:rsidRPr="00896D28">
        <w:t xml:space="preserve"> (Štatistika v oblasti kultúry) pre rok 2016,</w:t>
      </w:r>
    </w:p>
    <w:p w14:paraId="4AFBAC8C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článok 52 rokovacieho poriadku,</w:t>
      </w:r>
    </w:p>
    <w:p w14:paraId="34175CD6" w14:textId="77777777" w:rsidR="003913F6" w:rsidRPr="00896D28" w:rsidRDefault="003913F6" w:rsidP="003913F6">
      <w:pPr>
        <w:pStyle w:val="Normal12Hanging"/>
      </w:pPr>
      <w:r w:rsidRPr="00896D28">
        <w:t>–</w:t>
      </w:r>
      <w:r w:rsidRPr="00896D28">
        <w:tab/>
        <w:t>so zreteľom na správu Výboru pre kultúru a vzdelávanie (A8-0169/2018),</w:t>
      </w:r>
    </w:p>
    <w:p w14:paraId="7F515FBF" w14:textId="77777777" w:rsidR="003913F6" w:rsidRPr="00896D28" w:rsidRDefault="003913F6" w:rsidP="003913F6">
      <w:pPr>
        <w:pStyle w:val="Normal12Hanging"/>
      </w:pPr>
      <w:r w:rsidRPr="00896D28">
        <w:t>A.</w:t>
      </w:r>
      <w:r w:rsidRPr="00896D28">
        <w:tab/>
        <w:t xml:space="preserve">keďže v článku 27 Všeobecnej deklarácie ľudských práv OSN sa uvádza, že „každý má právo slobodne sa </w:t>
      </w:r>
      <w:proofErr w:type="spellStart"/>
      <w:r w:rsidRPr="00896D28">
        <w:t>účastniť</w:t>
      </w:r>
      <w:proofErr w:type="spellEnd"/>
      <w:r w:rsidRPr="00896D28">
        <w:t xml:space="preserve"> na kultúrnom živote spoločnosti, užívať plody umenia a </w:t>
      </w:r>
      <w:proofErr w:type="spellStart"/>
      <w:r w:rsidRPr="00896D28">
        <w:t>účastniť</w:t>
      </w:r>
      <w:proofErr w:type="spellEnd"/>
      <w:r w:rsidRPr="00896D28">
        <w:t xml:space="preserve"> sa na vedeckom pokroku a jeho výťažkoch“ a keďže prístup ku kultúre a príležitosti na tvorivé vyjadrenie sú dôležité pre existenciu demokratickej spoločnosti založenej na slobode prejavu a rovnosti;</w:t>
      </w:r>
    </w:p>
    <w:p w14:paraId="6FD312B4" w14:textId="77777777" w:rsidR="003913F6" w:rsidRPr="00896D28" w:rsidRDefault="003913F6" w:rsidP="003913F6">
      <w:pPr>
        <w:pStyle w:val="Normal12Hanging"/>
      </w:pPr>
      <w:r w:rsidRPr="00896D28">
        <w:t>B.</w:t>
      </w:r>
      <w:r w:rsidRPr="00896D28">
        <w:tab/>
        <w:t>keďže v dohovore z Fara sa uznáva právo na kultúrne dedičstvo a požaduje sa rozvoj inovačných spôsobov správy dedičstva tak, aby verejné orgány spolupracovali s inými subjektmi vrátane združení a súkromných osôb;</w:t>
      </w:r>
    </w:p>
    <w:p w14:paraId="0F816806" w14:textId="77777777" w:rsidR="003913F6" w:rsidRPr="00896D28" w:rsidRDefault="003913F6" w:rsidP="003913F6">
      <w:pPr>
        <w:pStyle w:val="Normal12Hanging"/>
      </w:pPr>
      <w:r w:rsidRPr="00896D28">
        <w:t>C.</w:t>
      </w:r>
      <w:r w:rsidRPr="00896D28">
        <w:tab/>
        <w:t>keďže v článku 22 Charty základných práv Európskej únie sa požaduje rešpektovanie kultúrnej rozmanitosti a v článku 25 sa uznáva právo starších osôb na účasť na kultúrnom živote;</w:t>
      </w:r>
    </w:p>
    <w:p w14:paraId="72805F8E" w14:textId="77777777" w:rsidR="003913F6" w:rsidRPr="00896D28" w:rsidRDefault="003913F6" w:rsidP="003913F6">
      <w:pPr>
        <w:pStyle w:val="Normal12Hanging"/>
      </w:pPr>
      <w:r w:rsidRPr="00896D28">
        <w:t>D.</w:t>
      </w:r>
      <w:r w:rsidRPr="00896D28">
        <w:tab/>
        <w:t>keďže kultúra má silný vplyv na podporu, porozumenie a rozvoj solidarity medzi európskymi a </w:t>
      </w:r>
      <w:proofErr w:type="spellStart"/>
      <w:r w:rsidRPr="00896D28">
        <w:t>transeurópskymi</w:t>
      </w:r>
      <w:proofErr w:type="spellEnd"/>
      <w:r w:rsidRPr="00896D28">
        <w:t xml:space="preserve"> komunitami;</w:t>
      </w:r>
    </w:p>
    <w:p w14:paraId="41DEBF53" w14:textId="77777777" w:rsidR="003913F6" w:rsidRPr="00896D28" w:rsidRDefault="003913F6" w:rsidP="003913F6">
      <w:pPr>
        <w:pStyle w:val="Normal12Hanging"/>
      </w:pPr>
      <w:r w:rsidRPr="00896D28">
        <w:t>E.</w:t>
      </w:r>
      <w:r w:rsidRPr="00896D28">
        <w:tab/>
        <w:t>keďže väčšina ústav členských štátov EÚ priamo alebo nepriamo odkazuje na kultúru alebo na problém jej dostupnosti;</w:t>
      </w:r>
    </w:p>
    <w:p w14:paraId="195EACFE" w14:textId="53F1793A" w:rsidR="003913F6" w:rsidRPr="00896D28" w:rsidRDefault="003913F6" w:rsidP="003913F6">
      <w:pPr>
        <w:pStyle w:val="Normal12Hanging"/>
      </w:pPr>
      <w:r w:rsidRPr="00896D28">
        <w:t>F.</w:t>
      </w:r>
      <w:r w:rsidRPr="00896D28">
        <w:tab/>
        <w:t xml:space="preserve">keďže EÚ môže dopĺňať a podporovať kultúrne politiky, pričom podľa článku 167 </w:t>
      </w:r>
      <w:r w:rsidR="00222A1F" w:rsidRPr="00896D28">
        <w:t>Zmluvy o fungovaní Európskej únie znie (ďalej len „</w:t>
      </w:r>
      <w:r w:rsidRPr="00896D28">
        <w:t>ZFEÚ</w:t>
      </w:r>
      <w:r w:rsidR="00222A1F" w:rsidRPr="00896D28">
        <w:t>“)</w:t>
      </w:r>
      <w:r w:rsidRPr="00896D28">
        <w:t xml:space="preserve"> orgány na národnej, regionálnej a miestnej úrovni zostávajú hlavnými nositeľmi zodpovednosti za kultúrnu politiku v EÚ v súlade so zásadou subsidiarity;</w:t>
      </w:r>
    </w:p>
    <w:p w14:paraId="601F5DF2" w14:textId="77777777" w:rsidR="003913F6" w:rsidRPr="00896D28" w:rsidRDefault="003913F6" w:rsidP="003913F6">
      <w:pPr>
        <w:pStyle w:val="Normal12Hanging"/>
      </w:pPr>
      <w:r w:rsidRPr="00896D28">
        <w:t>G.</w:t>
      </w:r>
      <w:r w:rsidRPr="00896D28">
        <w:tab/>
        <w:t>keďže akékoľvek prekážky zabraňujúce v prístupe a plnej účasti jednotlivcov alebo komunít na kultúrnych procesoch a kultúrnych ekosystémoch potláčajú rozvoj skutočne demokratických a </w:t>
      </w:r>
      <w:proofErr w:type="spellStart"/>
      <w:r w:rsidRPr="00896D28">
        <w:t>inkluzívnych</w:t>
      </w:r>
      <w:proofErr w:type="spellEnd"/>
      <w:r w:rsidRPr="00896D28">
        <w:t xml:space="preserve"> spoločností;</w:t>
      </w:r>
    </w:p>
    <w:p w14:paraId="2E63E64E" w14:textId="77777777" w:rsidR="003913F6" w:rsidRPr="00896D28" w:rsidRDefault="003913F6" w:rsidP="003913F6">
      <w:pPr>
        <w:pStyle w:val="Normal12Hanging"/>
      </w:pPr>
      <w:r w:rsidRPr="00896D28">
        <w:t>H.</w:t>
      </w:r>
      <w:r w:rsidRPr="00896D28">
        <w:tab/>
        <w:t xml:space="preserve">keďže vďaka kultúre majú občania EÚ väčšie príležitosti na rozvoj osobných, </w:t>
      </w:r>
      <w:r w:rsidRPr="00896D28">
        <w:lastRenderedPageBreak/>
        <w:t>spoločenských, tvorivých a </w:t>
      </w:r>
      <w:proofErr w:type="spellStart"/>
      <w:r w:rsidRPr="00896D28">
        <w:t>medzikultúrnych</w:t>
      </w:r>
      <w:proofErr w:type="spellEnd"/>
      <w:r w:rsidRPr="00896D28">
        <w:t xml:space="preserve"> schopností a zručností;</w:t>
      </w:r>
    </w:p>
    <w:p w14:paraId="49870C90" w14:textId="77777777" w:rsidR="003913F6" w:rsidRPr="00896D28" w:rsidRDefault="003913F6" w:rsidP="003913F6">
      <w:pPr>
        <w:pStyle w:val="Normal12Hanging"/>
      </w:pPr>
      <w:r w:rsidRPr="00896D28">
        <w:t>I.</w:t>
      </w:r>
      <w:r w:rsidRPr="00896D28">
        <w:tab/>
        <w:t xml:space="preserve">keďže podľa odhadov OSN žije v mestách v súčasnosti polovica svetového obyvateľstva, čo je 3,5 miliardy ľudí; keďže do roku 2030 bude v mestských oblastiach žiť takmer 60 % svetovej populácie; keďže je preto potrebné vymedziť stratégie s účinnými politikami na vyriešenie problémov, ktoré stále pretrvávajú, a na zabezpečenie potrebných zmien v dostatočnom predstihu tak, aby sa vytvorili skutočne </w:t>
      </w:r>
      <w:proofErr w:type="spellStart"/>
      <w:r w:rsidRPr="00896D28">
        <w:t>inkluzívne</w:t>
      </w:r>
      <w:proofErr w:type="spellEnd"/>
      <w:r w:rsidRPr="00896D28">
        <w:t xml:space="preserve"> mestské priestory;</w:t>
      </w:r>
    </w:p>
    <w:p w14:paraId="5CF9BC10" w14:textId="19FD1B2F" w:rsidR="003913F6" w:rsidRPr="00896D28" w:rsidRDefault="003913F6" w:rsidP="008D4CF2">
      <w:pPr>
        <w:widowControl/>
        <w:spacing w:after="240"/>
        <w:ind w:left="567" w:hanging="567"/>
        <w:rPr>
          <w:szCs w:val="24"/>
        </w:rPr>
      </w:pPr>
      <w:r w:rsidRPr="00896D28">
        <w:t>J.</w:t>
      </w:r>
      <w:r w:rsidRPr="00896D28">
        <w:tab/>
        <w:t xml:space="preserve">keďže odporúčanie Európskeho parlamentu a Rady </w:t>
      </w:r>
      <w:r w:rsidR="007B0CA3" w:rsidRPr="00896D28">
        <w:t xml:space="preserve">2006/962/ES </w:t>
      </w:r>
      <w:r w:rsidRPr="00896D28">
        <w:t>z 18. decembra 2006 o kľúčových kompetenciách pre celoživotné</w:t>
      </w:r>
      <w:r w:rsidR="00A8323D" w:rsidRPr="00896D28">
        <w:rPr>
          <w:rStyle w:val="FootnoteReference"/>
        </w:rPr>
        <w:footnoteReference w:id="23"/>
      </w:r>
      <w:r w:rsidRPr="00896D28">
        <w:t xml:space="preserve"> vzdelávanie zaraďuje kultúrne povedomie a vyjadrovanie medzi základné kompetencie potrebné na osobné uspokojenie a rozvoj, aktívne občianstvo, spoločenské začlenenie a zamestnanosť;</w:t>
      </w:r>
    </w:p>
    <w:p w14:paraId="73B0A426" w14:textId="1E08932C" w:rsidR="003913F6" w:rsidRPr="00896D28" w:rsidRDefault="003913F6" w:rsidP="003913F6">
      <w:pPr>
        <w:pStyle w:val="Normal12Hanging"/>
      </w:pPr>
      <w:r w:rsidRPr="00896D28">
        <w:t>K.</w:t>
      </w:r>
      <w:r w:rsidRPr="00896D28">
        <w:tab/>
        <w:t>keďže v oznámení Komisie 10. mája 2007 s názvom Európska stratégia pre kultúru v globalizovanom svete (COM(2007)0</w:t>
      </w:r>
      <w:r w:rsidR="0081229F" w:rsidRPr="00896D28">
        <w:t>2</w:t>
      </w:r>
      <w:r w:rsidRPr="00896D28">
        <w:t>42) sa zdôraznila potreba uľahčovať prístup ku kultúre a kultúrnym dielam a tiež podporovať kultúrnu rozmanitosť;</w:t>
      </w:r>
    </w:p>
    <w:p w14:paraId="5A964D0D" w14:textId="77777777" w:rsidR="003913F6" w:rsidRPr="00896D28" w:rsidRDefault="003913F6" w:rsidP="003913F6">
      <w:pPr>
        <w:pStyle w:val="Normal12Hanging"/>
      </w:pPr>
      <w:r w:rsidRPr="00896D28">
        <w:t>L.</w:t>
      </w:r>
      <w:r w:rsidRPr="00896D28">
        <w:tab/>
        <w:t>keďže budúcnosť kultúrnych inovácií v EÚ závisí od investícií do zdrojov tvorivosti, poznatkov a talentu;</w:t>
      </w:r>
    </w:p>
    <w:p w14:paraId="5316C051" w14:textId="77777777" w:rsidR="003913F6" w:rsidRPr="00896D28" w:rsidRDefault="003913F6" w:rsidP="003913F6">
      <w:pPr>
        <w:pStyle w:val="Normal12Hanging"/>
      </w:pPr>
      <w:r w:rsidRPr="00896D28">
        <w:t>M.</w:t>
      </w:r>
      <w:r w:rsidRPr="00896D28">
        <w:tab/>
        <w:t xml:space="preserve">keďže v pracovnom pláne pre kultúru (2015 – 2018), ktorý Rada prijala v decembri 2014, sa ako priorita spomína prístupná a </w:t>
      </w:r>
      <w:proofErr w:type="spellStart"/>
      <w:r w:rsidRPr="00896D28">
        <w:t>inkluzívna</w:t>
      </w:r>
      <w:proofErr w:type="spellEnd"/>
      <w:r w:rsidRPr="00896D28">
        <w:t xml:space="preserve"> kultúra a propagovanie kultúrnej rozmanitosti; </w:t>
      </w:r>
    </w:p>
    <w:p w14:paraId="2ADCC00A" w14:textId="77777777" w:rsidR="003913F6" w:rsidRPr="00896D28" w:rsidRDefault="003913F6" w:rsidP="003913F6">
      <w:pPr>
        <w:pStyle w:val="Normal12Hanging"/>
      </w:pPr>
      <w:r w:rsidRPr="00896D28">
        <w:t>N.</w:t>
      </w:r>
      <w:r w:rsidRPr="00896D28">
        <w:tab/>
        <w:t xml:space="preserve">keďže medzi ciele EÚ a jej členských štátov by malo patriť znižovanie spoločenských a hospodárskych nerovností na podporu </w:t>
      </w:r>
      <w:proofErr w:type="spellStart"/>
      <w:r w:rsidRPr="00896D28">
        <w:t>inkluzívnej</w:t>
      </w:r>
      <w:proofErr w:type="spellEnd"/>
      <w:r w:rsidRPr="00896D28">
        <w:t xml:space="preserve"> spoločnosti s možnosťou účasti každého jednotlivca; keďže základom </w:t>
      </w:r>
      <w:proofErr w:type="spellStart"/>
      <w:r w:rsidRPr="00896D28">
        <w:t>inkluzívnej</w:t>
      </w:r>
      <w:proofErr w:type="spellEnd"/>
      <w:r w:rsidRPr="00896D28">
        <w:t xml:space="preserve"> spoločnosti je silný, dynamický a diverzifikovaný kultúrny sektor;</w:t>
      </w:r>
    </w:p>
    <w:p w14:paraId="71C00696" w14:textId="77777777" w:rsidR="003913F6" w:rsidRPr="00896D28" w:rsidRDefault="003913F6" w:rsidP="003913F6">
      <w:pPr>
        <w:pStyle w:val="Normal12Hanging"/>
      </w:pPr>
      <w:r w:rsidRPr="00896D28">
        <w:t>O.</w:t>
      </w:r>
      <w:r w:rsidRPr="00896D28">
        <w:tab/>
        <w:t xml:space="preserve">keďže účasť na kultúrnych činnostiam je prostriedkom na vytváranie pocitu spolupatričnosti so spoločnosťou; keďže vytváranie sociálnej identity sa úzko spája s kultúrnou účasťou; keďže účasť na kultúrnych činnostiach by mohla prispieť k vyššej sebaúcte a lepšej kvalite života, čo platí najmä pre jednotlivcov, ktorí vzhľadom na svoju nezamestnanosť alebo chorobu či z iného dôvodu zažívajú nejakú formu </w:t>
      </w:r>
      <w:proofErr w:type="spellStart"/>
      <w:r w:rsidRPr="00896D28">
        <w:t>marginalizácie</w:t>
      </w:r>
      <w:proofErr w:type="spellEnd"/>
      <w:r w:rsidRPr="00896D28">
        <w:t>;</w:t>
      </w:r>
    </w:p>
    <w:p w14:paraId="6EC9A937" w14:textId="77777777" w:rsidR="003913F6" w:rsidRPr="00896D28" w:rsidRDefault="003913F6" w:rsidP="003913F6">
      <w:pPr>
        <w:pStyle w:val="Normal12Hanging"/>
      </w:pPr>
      <w:r w:rsidRPr="00896D28">
        <w:t>P.</w:t>
      </w:r>
      <w:r w:rsidRPr="00896D28">
        <w:tab/>
        <w:t xml:space="preserve">keďže práve </w:t>
      </w:r>
      <w:proofErr w:type="spellStart"/>
      <w:r w:rsidRPr="00896D28">
        <w:t>inkluzívny</w:t>
      </w:r>
      <w:proofErr w:type="spellEnd"/>
      <w:r w:rsidRPr="00896D28">
        <w:t xml:space="preserve"> kultúrny sektor dáva každému človeku rovnaké príležitosti zúčastňovať sa a rozvíjať svoje tvorivé zručnosti bez ohľadu na sociálno-ekonomické, kultúrne alebo náboženské zázemie či nejaký druh zdravotného postihnutia;</w:t>
      </w:r>
    </w:p>
    <w:p w14:paraId="496DA595" w14:textId="77777777" w:rsidR="003913F6" w:rsidRPr="00896D28" w:rsidRDefault="003913F6" w:rsidP="003913F6">
      <w:pPr>
        <w:pStyle w:val="Normal12Hanging"/>
      </w:pPr>
      <w:r w:rsidRPr="00896D28">
        <w:t>Q.</w:t>
      </w:r>
      <w:r w:rsidRPr="00896D28">
        <w:tab/>
        <w:t>keďže v mnohých regiónoch občania často navštevujú verejné knižnice a komunitné kultúrne inštitúcie, ktoré sú zároveň často aj jedinými prístupovými miestami k informáciám a kultúre, najmä vo vidieckych alebo vzdialených regiónoch;</w:t>
      </w:r>
    </w:p>
    <w:p w14:paraId="0E760FB0" w14:textId="77777777" w:rsidR="003913F6" w:rsidRPr="00896D28" w:rsidRDefault="003913F6" w:rsidP="003913F6">
      <w:pPr>
        <w:pStyle w:val="Normal12Hanging"/>
      </w:pPr>
      <w:r w:rsidRPr="00896D28">
        <w:t>R.</w:t>
      </w:r>
      <w:r w:rsidRPr="00896D28">
        <w:tab/>
        <w:t>keďže nové digitálne technológie by mohli ovplyvňovať riadenie kultúrneho sektora, dialóg a vytváranie nového publika a šírenie kultúrnych činností;</w:t>
      </w:r>
    </w:p>
    <w:p w14:paraId="62447C25" w14:textId="77777777" w:rsidR="003913F6" w:rsidRPr="00896D28" w:rsidRDefault="003913F6" w:rsidP="003913F6">
      <w:pPr>
        <w:pStyle w:val="Normal12Hanging"/>
      </w:pPr>
      <w:r w:rsidRPr="00896D28">
        <w:t>S.</w:t>
      </w:r>
      <w:r w:rsidRPr="00896D28">
        <w:tab/>
        <w:t xml:space="preserve">keďže nové digitálne technológie a online platformy ponúkajú zásadné príležitosti na </w:t>
      </w:r>
      <w:r w:rsidRPr="00896D28">
        <w:lastRenderedPageBreak/>
        <w:t>zvyšovanie miery účasti a kultúrnej tvorby;</w:t>
      </w:r>
    </w:p>
    <w:p w14:paraId="785B93E5" w14:textId="77777777" w:rsidR="003913F6" w:rsidRPr="00896D28" w:rsidRDefault="003913F6" w:rsidP="003913F6">
      <w:pPr>
        <w:pStyle w:val="Normal12Hanging"/>
      </w:pPr>
      <w:r w:rsidRPr="00896D28">
        <w:t>T.</w:t>
      </w:r>
      <w:r w:rsidRPr="00896D28">
        <w:tab/>
        <w:t>keďže ľudia z tretích krajín nie sú dostatočne zastúpení v rôznych kultúrnych oblastiach v EÚ; keďže to má vplyv aj na ľudí so zdravotným postihnutím;</w:t>
      </w:r>
    </w:p>
    <w:p w14:paraId="6C45AD14" w14:textId="77777777" w:rsidR="003913F6" w:rsidRPr="00896D28" w:rsidRDefault="003913F6" w:rsidP="003913F6">
      <w:pPr>
        <w:pStyle w:val="Normal12Hanging"/>
      </w:pPr>
      <w:r w:rsidRPr="00896D28">
        <w:t>U.</w:t>
      </w:r>
      <w:r w:rsidRPr="00896D28">
        <w:tab/>
        <w:t>keďže správa pracovnej skupiny odborníkov z členských štátov EÚ o prístupe ku kultúre</w:t>
      </w:r>
      <w:r w:rsidRPr="00896D28">
        <w:rPr>
          <w:rStyle w:val="Sup"/>
          <w:color w:val="auto"/>
        </w:rPr>
        <w:footnoteReference w:id="24"/>
      </w:r>
      <w:r w:rsidRPr="00896D28">
        <w:t xml:space="preserve"> definuje prístup z hľadiska umožnenia novým príjemcom čerpať z dostupnej kultúrnej ponuky; keďže to znamená osloviť nové publikum alebo občanov a priblížiť ich ku kultúrnemu dedičstvu a k iným zdrojom kultúry;</w:t>
      </w:r>
    </w:p>
    <w:p w14:paraId="480DBFE4" w14:textId="77777777" w:rsidR="003913F6" w:rsidRPr="00896D28" w:rsidRDefault="003913F6" w:rsidP="003913F6">
      <w:pPr>
        <w:pStyle w:val="Normal12Hanging"/>
      </w:pPr>
      <w:r w:rsidRPr="00896D28">
        <w:t>V.</w:t>
      </w:r>
      <w:r w:rsidRPr="00896D28">
        <w:tab/>
        <w:t>keďže digitálne technológie zmenili spôsob, akým ľudia získavajú prístup ku kultúrnemu obsahu, ako ho vytvárajú, šíria a využívajú;</w:t>
      </w:r>
    </w:p>
    <w:p w14:paraId="52876FC2" w14:textId="77777777" w:rsidR="003913F6" w:rsidRPr="00896D28" w:rsidRDefault="003913F6" w:rsidP="003913F6">
      <w:pPr>
        <w:pStyle w:val="Normal12Hanging"/>
      </w:pPr>
      <w:r w:rsidRPr="00896D28">
        <w:t>W.</w:t>
      </w:r>
      <w:r w:rsidRPr="00896D28">
        <w:tab/>
        <w:t xml:space="preserve">keďže platforma </w:t>
      </w:r>
      <w:proofErr w:type="spellStart"/>
      <w:r w:rsidRPr="00896D28">
        <w:t>Europeana</w:t>
      </w:r>
      <w:proofErr w:type="spellEnd"/>
      <w:r w:rsidRPr="00896D28">
        <w:t>, otvorená v roku 2008, sa stala spoločným európskym kultúrnym projektom, ktorý umožňuje digitálny prístup k európskemu kultúrnemu dedičstvu;</w:t>
      </w:r>
    </w:p>
    <w:p w14:paraId="30D74ED4" w14:textId="6D2F99F8" w:rsidR="003913F6" w:rsidRPr="00896D28" w:rsidRDefault="003913F6" w:rsidP="003913F6">
      <w:pPr>
        <w:pStyle w:val="Normal12Hanging"/>
      </w:pPr>
      <w:r w:rsidRPr="00896D28">
        <w:t>X.</w:t>
      </w:r>
      <w:r w:rsidRPr="00896D28">
        <w:tab/>
        <w:t>keďže jedným z hlavných cieľov programu Kreatívna Európa je osloviť nové a širšie publikum a zlepšiť prístup ku kultúrnym a tvorivým dielam v </w:t>
      </w:r>
      <w:r w:rsidR="0068274D" w:rsidRPr="00896D28">
        <w:t>E</w:t>
      </w:r>
      <w:r w:rsidRPr="00896D28">
        <w:t>Ú a za jej hranicami s osobitným zameraním na deti, mladých ľudí, ľudí so zdravotným postihnutím a nedostatočne zastúpené skupiny;</w:t>
      </w:r>
    </w:p>
    <w:p w14:paraId="4EF7DD54" w14:textId="77777777" w:rsidR="003913F6" w:rsidRPr="00896D28" w:rsidRDefault="003913F6" w:rsidP="003913F6">
      <w:pPr>
        <w:pStyle w:val="Normal12Hanging"/>
      </w:pPr>
      <w:r w:rsidRPr="00896D28">
        <w:t xml:space="preserve">Y. </w:t>
      </w:r>
      <w:r w:rsidRPr="00896D28">
        <w:tab/>
        <w:t>keďže na úrovni Spoločenstva a v členských štátoch existujú iniciatívy, ktoré majú za cieľ zabezpečiť lepší prístup ku kultúrnej infraštruktúre a kultúrnej činnosti pre ľudí so zdravotným postihnutím;</w:t>
      </w:r>
    </w:p>
    <w:p w14:paraId="15F2AFD7" w14:textId="77777777" w:rsidR="003913F6" w:rsidRPr="00896D28" w:rsidRDefault="003913F6" w:rsidP="003913F6">
      <w:pPr>
        <w:pStyle w:val="Normal12Hanging"/>
      </w:pPr>
      <w:r w:rsidRPr="00896D28">
        <w:t>Z.</w:t>
      </w:r>
      <w:r w:rsidRPr="00896D28">
        <w:tab/>
        <w:t>keďže rozmanitosť postupov a systémov zdaňovania v EÚ vytvára ťažkosti pre mobilitu umelcov a kultúrnych pracovníkov vo všeobecnosti tým, že vytvára nadmernú administratívnu záťaž, ktorá je často v nepomere k skutočným skromným príjmom vyplývajúcim z ich činnosti;</w:t>
      </w:r>
    </w:p>
    <w:p w14:paraId="1A509A28" w14:textId="77777777" w:rsidR="003913F6" w:rsidRPr="00896D28" w:rsidRDefault="003913F6" w:rsidP="003913F6">
      <w:pPr>
        <w:pStyle w:val="Normal12Hanging"/>
      </w:pPr>
      <w:r w:rsidRPr="00896D28">
        <w:t>AA.</w:t>
      </w:r>
      <w:r w:rsidRPr="00896D28">
        <w:tab/>
        <w:t>keďže vypracovanie spoľahlivých, porovnateľných a aktuálnych štatistík v oblasti kultúry, ktoré tvoria základ vhodného vytvárania kultúrnej politiky, je jednou z prierezových priorít pracovného plánu pre kultúru na roky 2015 – 2018, ktorý zdôrazňuje hospodársky potenciál kultúrneho a kreatívneho priemyslu a jeho vplyvu na sociálne blaho;</w:t>
      </w:r>
    </w:p>
    <w:p w14:paraId="2136BC36" w14:textId="4A02C232" w:rsidR="003913F6" w:rsidRPr="00896D28" w:rsidRDefault="003913F6" w:rsidP="003913F6">
      <w:pPr>
        <w:pStyle w:val="Normal12Hanging"/>
      </w:pPr>
      <w:r w:rsidRPr="00896D28">
        <w:t>AB.</w:t>
      </w:r>
      <w:r w:rsidRPr="00896D28">
        <w:tab/>
        <w:t>keďže prístup ku kvalitatívnym zdrojom výskumu a porovnateľných údajov umožňuje účinné monitorovanie a analýzu kultúrneho, hospodárskeho a sociálneho vplyvu kultúrnych politík;</w:t>
      </w:r>
    </w:p>
    <w:p w14:paraId="4BDF28A0" w14:textId="77777777" w:rsidR="003913F6" w:rsidRPr="00896D28" w:rsidRDefault="003913F6" w:rsidP="003913F6">
      <w:pPr>
        <w:pStyle w:val="Normal12Hanging"/>
      </w:pPr>
      <w:r w:rsidRPr="00896D28">
        <w:t>AC.</w:t>
      </w:r>
      <w:r w:rsidRPr="00896D28">
        <w:tab/>
        <w:t>keďže kultúra pomáha podporovať spoločnosť založenú na poznatkoch, výmene skúseností a zdieľaní svetových dejín;</w:t>
      </w:r>
    </w:p>
    <w:p w14:paraId="4B266721" w14:textId="77777777" w:rsidR="003913F6" w:rsidRPr="00896D28" w:rsidRDefault="003913F6" w:rsidP="003913F6">
      <w:pPr>
        <w:pStyle w:val="Normal12Hanging"/>
      </w:pPr>
      <w:r w:rsidRPr="00896D28">
        <w:t>AD.</w:t>
      </w:r>
      <w:r w:rsidRPr="00896D28">
        <w:tab/>
        <w:t xml:space="preserve">keďže v EÚ je približne 8,4 milióna ľudí zamestnaných v kultúrnom priemysle (čo </w:t>
      </w:r>
      <w:r w:rsidRPr="00896D28">
        <w:lastRenderedPageBreak/>
        <w:t>predstavuje 3,7 % celkovej pracovnej sily)</w:t>
      </w:r>
      <w:r w:rsidRPr="00896D28">
        <w:rPr>
          <w:rStyle w:val="SupBoldItalic"/>
          <w:b w:val="0"/>
          <w:bCs/>
          <w:i w:val="0"/>
          <w:iCs/>
          <w:color w:val="auto"/>
        </w:rPr>
        <w:footnoteReference w:id="25"/>
      </w:r>
      <w:r w:rsidRPr="00896D28">
        <w:rPr>
          <w:bCs/>
          <w:i/>
          <w:iCs/>
        </w:rPr>
        <w:t xml:space="preserve"> </w:t>
      </w:r>
      <w:r w:rsidRPr="00896D28">
        <w:t>a keďže ich potenciál z hľadiska hospodárskeho rastu stále nie je úplne využitý;</w:t>
      </w:r>
    </w:p>
    <w:p w14:paraId="1B4F3123" w14:textId="77777777" w:rsidR="003913F6" w:rsidRPr="00896D28" w:rsidRDefault="003913F6" w:rsidP="003913F6">
      <w:pPr>
        <w:pStyle w:val="Normal12Hanging"/>
      </w:pPr>
      <w:r w:rsidRPr="00896D28">
        <w:t>AE.</w:t>
      </w:r>
      <w:r w:rsidRPr="00896D28">
        <w:tab/>
        <w:t>keďže osoby, ktoré sa prostredníctvom kultúrnej produkcie usilujú vyjadriť svoju totožnosť a šíriť a udržateľne rozvíjať prístup ku kultúre, sa stretáv</w:t>
      </w:r>
      <w:r w:rsidR="004F4D45" w:rsidRPr="00896D28">
        <w:t>ajú s ťažkosťami a problémami;</w:t>
      </w:r>
    </w:p>
    <w:p w14:paraId="481CBE84" w14:textId="77777777" w:rsidR="003913F6" w:rsidRPr="00896D28" w:rsidRDefault="003913F6" w:rsidP="003913F6">
      <w:pPr>
        <w:spacing w:after="240" w:line="276" w:lineRule="auto"/>
        <w:jc w:val="both"/>
        <w:rPr>
          <w:b/>
          <w:i/>
          <w:szCs w:val="24"/>
        </w:rPr>
      </w:pPr>
      <w:r w:rsidRPr="00896D28">
        <w:rPr>
          <w:b/>
          <w:i/>
          <w:szCs w:val="24"/>
        </w:rPr>
        <w:t xml:space="preserve">Prístup ku kultúre a účasť na nej </w:t>
      </w:r>
    </w:p>
    <w:p w14:paraId="11C5ADA4" w14:textId="66E0CF61" w:rsidR="003913F6" w:rsidRPr="00896D28" w:rsidRDefault="003913F6" w:rsidP="003913F6">
      <w:pPr>
        <w:pStyle w:val="Normal12Hanging"/>
      </w:pPr>
      <w:r w:rsidRPr="00896D28">
        <w:t>1.</w:t>
      </w:r>
      <w:r w:rsidRPr="00896D28">
        <w:tab/>
        <w:t>zdôrazňuje, že prístup ku kultúre vníma ako základné právo všetkých občanov v súlade s článkom 27 Všeobecnej deklarácie ľudských práv, ktorá uznáva účasť na kultúrnom živote ako jedno zo základných ľudských práv; poukazuje ďalej na to, že toto právo je zakotvené v dohovore z Fara, v ktorom sa uznáva právo na účasť na kultúrnom živote a podporuje sa úloha kultúrneho dedičstva pri budovaní mierových a demokratických spoločností; vyzýva preto signatárske členské štáty, aby urýchlili proces ratifikácie, a ostatné štáty, ktoré zatiaľ nie sú signatármi, aby dohovor podpísali a využili jedinečnú príležitosť, ktorú ponúka Európsky rok kultúrneho dedičstva;</w:t>
      </w:r>
    </w:p>
    <w:p w14:paraId="67A31E54" w14:textId="77777777" w:rsidR="003913F6" w:rsidRPr="00896D28" w:rsidRDefault="003913F6" w:rsidP="003913F6">
      <w:pPr>
        <w:pStyle w:val="Normal12Hanging"/>
      </w:pPr>
      <w:r w:rsidRPr="00896D28">
        <w:t>2.</w:t>
      </w:r>
      <w:r w:rsidRPr="00896D28">
        <w:tab/>
        <w:t>poukazuje na dôležitosť celistvého uplatňovania koncepcie prístupnosti a jej hodnoty ako nástroja, ktorým sa zabezpečí, aby sa každý človek, ktorý je užívateľom kultúry a kultúrnych priestorov a iniciatív, bral do úvahy v čo najširšom a najkomplexnejšom zmysle a aby sa v dôsledku toho prihliadalo na osobitné potreby ľudí so zdravotným postihnutím s cieľom zaistiť im možnosť užívania rovnakých príležitostí, skutočné sociálne začlenenie a aktívnu účasť na živote spoločnosti;</w:t>
      </w:r>
    </w:p>
    <w:p w14:paraId="77CF6DBB" w14:textId="573BDB82" w:rsidR="003913F6" w:rsidRPr="00896D28" w:rsidRDefault="00896D28" w:rsidP="003913F6">
      <w:pPr>
        <w:pStyle w:val="Normal12Hanging"/>
      </w:pPr>
      <w:r>
        <w:t>3.</w:t>
      </w:r>
      <w:r w:rsidR="003913F6" w:rsidRPr="00896D28">
        <w:tab/>
        <w:t xml:space="preserve">zdôrazňuje nespochybniteľný význam aktívneho a dostupného sektora kultúry z hľadiska rozvoja </w:t>
      </w:r>
      <w:proofErr w:type="spellStart"/>
      <w:r w:rsidR="003913F6" w:rsidRPr="00896D28">
        <w:t>inkluzívnej</w:t>
      </w:r>
      <w:proofErr w:type="spellEnd"/>
      <w:r w:rsidR="003913F6" w:rsidRPr="00896D28">
        <w:t xml:space="preserve"> spoločnosti a posilňovania spoločného základu univerzálnych hodnôt a aktívneho európskeho občianstva, ktoré sú základom toho, aby sa občania mohli účinne a zmysluplne zapájať do verejného života, a súčasného podporovania kultúrneho dedičstva Európy a rozvoja európskej kultú</w:t>
      </w:r>
      <w:r w:rsidR="004F4D45" w:rsidRPr="00896D28">
        <w:t xml:space="preserve">rnej a jazykovej rozmanitosti; </w:t>
      </w:r>
      <w:r w:rsidR="003913F6" w:rsidRPr="00896D28">
        <w:t>vyzýva preto členské štáty a </w:t>
      </w:r>
      <w:r w:rsidR="002865F7" w:rsidRPr="00896D28">
        <w:t>E</w:t>
      </w:r>
      <w:r w:rsidR="003913F6" w:rsidRPr="00896D28">
        <w:t>Ú, aby v rámci svojich právomocí vypracovali a vykonávali potrebné konkrétne opatrenia s cieľom zaručiť prístup ku kultúrnemu životu a účasť na ňom;</w:t>
      </w:r>
    </w:p>
    <w:p w14:paraId="6BB18A61" w14:textId="77777777" w:rsidR="003913F6" w:rsidRPr="00896D28" w:rsidRDefault="003913F6" w:rsidP="003913F6">
      <w:pPr>
        <w:pStyle w:val="Normal12Hanging"/>
      </w:pPr>
      <w:r w:rsidRPr="00896D28">
        <w:t>4.</w:t>
      </w:r>
      <w:r w:rsidRPr="00896D28">
        <w:tab/>
        <w:t>nabáda na to, aby sa začleňovanie a rozmanitosť stali neoddeliteľnou súčasťou plánovania, organizačného rozvoja a náboru v kultúrnom priemysle na európskej, vnútroštátnej a regionálnej úrovni; taktiež nabáda členské štáty, aby vykonávali systematické monitorovanie opatrení, ktoré sú zamerané na dosiahnutie tohto cieľa;</w:t>
      </w:r>
    </w:p>
    <w:p w14:paraId="1516975D" w14:textId="3782B27D" w:rsidR="003913F6" w:rsidRPr="00896D28" w:rsidRDefault="003913F6" w:rsidP="003913F6">
      <w:pPr>
        <w:pStyle w:val="Normal12Hanging"/>
        <w:rPr>
          <w:rFonts w:eastAsia="Calibri"/>
          <w:szCs w:val="24"/>
        </w:rPr>
      </w:pPr>
      <w:r w:rsidRPr="00896D28">
        <w:t>5.</w:t>
      </w:r>
      <w:r w:rsidRPr="00896D28">
        <w:tab/>
        <w:t>zdôrazňuje význam úlohy EÚ pri propagácii a uľahčovaní lepšej koordinácie politík v oblasti kultúry na všetkých úrovniach; konštatuje, že iba na základe toho budú mať subjekty z celej EÚ možnosť vypracovať komplexnú a účinnú politiku na podporu prístupu ku kultúre a účasti na nej a zaistiť, aby sa kultúra stala mimoriadne dôležitým prvokom európskeho integračného projektu;</w:t>
      </w:r>
    </w:p>
    <w:p w14:paraId="1EB98276" w14:textId="77777777" w:rsidR="003913F6" w:rsidRPr="00896D28" w:rsidRDefault="003913F6" w:rsidP="003913F6">
      <w:pPr>
        <w:pStyle w:val="Normal12Hanging"/>
      </w:pPr>
      <w:r w:rsidRPr="00896D28">
        <w:t>6.</w:t>
      </w:r>
      <w:r w:rsidRPr="00896D28">
        <w:tab/>
        <w:t xml:space="preserve">považuje prístup ku kultúre a účasť na nej za prierezovú otázku, a preto zdôrazňuje význam koordinácie politiky v oblasti kultúry s ostatnými oblasťami politiky, ako sú </w:t>
      </w:r>
      <w:r w:rsidRPr="00896D28">
        <w:lastRenderedPageBreak/>
        <w:t>vzdelávacia, sociálna, hospodárska, regionálna, zahraničná, digitálna a mediálna politika;</w:t>
      </w:r>
    </w:p>
    <w:p w14:paraId="4DCE9AC5" w14:textId="77777777" w:rsidR="003913F6" w:rsidRPr="00896D28" w:rsidRDefault="003913F6" w:rsidP="003913F6">
      <w:pPr>
        <w:pStyle w:val="Normal12Hanging"/>
      </w:pPr>
      <w:r w:rsidRPr="00896D28">
        <w:t>7.</w:t>
      </w:r>
      <w:r w:rsidRPr="00896D28">
        <w:tab/>
        <w:t>odporúča, aby členské štáty vypracovali stratégiu opatrení v kultúrnej oblasti zameranú na deti a mladých ľudí;</w:t>
      </w:r>
    </w:p>
    <w:p w14:paraId="0A14505C" w14:textId="77777777" w:rsidR="003913F6" w:rsidRPr="00896D28" w:rsidRDefault="003913F6" w:rsidP="003913F6">
      <w:pPr>
        <w:pStyle w:val="Normal12Hanging"/>
      </w:pPr>
      <w:r w:rsidRPr="00896D28">
        <w:t>8.</w:t>
      </w:r>
      <w:r w:rsidRPr="00896D28">
        <w:tab/>
        <w:t xml:space="preserve">zdôrazňuje, že podpora a dosiahnutie </w:t>
      </w:r>
      <w:proofErr w:type="spellStart"/>
      <w:r w:rsidRPr="00896D28">
        <w:t>inkluzívneho</w:t>
      </w:r>
      <w:proofErr w:type="spellEnd"/>
      <w:r w:rsidRPr="00896D28">
        <w:t xml:space="preserve"> a zmysluplného prístupu ku kultúre predstavuje jednu z priorít politickej agendy, a žiada, aby aspekty dostupnosti a kultúrnej účasti boli integrované do iných oblastí politiky, čo nielen pozitívne ovplyvní uvedené oblasti, ale taktiež prispeje k synergickej </w:t>
      </w:r>
      <w:proofErr w:type="spellStart"/>
      <w:r w:rsidRPr="00896D28">
        <w:t>medzisektorovej</w:t>
      </w:r>
      <w:proofErr w:type="spellEnd"/>
      <w:r w:rsidRPr="00896D28">
        <w:t xml:space="preserve"> spolupráci v duchu článku 16 ZFEÚ;</w:t>
      </w:r>
    </w:p>
    <w:p w14:paraId="485B9643" w14:textId="77777777" w:rsidR="003913F6" w:rsidRPr="00896D28" w:rsidRDefault="003913F6" w:rsidP="003913F6">
      <w:pPr>
        <w:pStyle w:val="Normal12Hanging"/>
      </w:pPr>
      <w:r w:rsidRPr="00896D28">
        <w:t>9.</w:t>
      </w:r>
      <w:r w:rsidRPr="00896D28">
        <w:tab/>
        <w:t>uvádza, že stručný prehľad vnútroštátnych kultúrnych politík, ako ho navrhla a spravuje Rada Európy a platforma odborníkov, sa ukázal ako veľmi užitočný nástroj pre kultúrne politiky v Európe a mimo nej; vyjadruje však poľutovanie, že od roku 2011 sa dosiahol len veľmi malý pokrok v oblasti zhromažďovania údajov a najmä analýzy údajov, a preto odporúča, aby Rada pokračovala v preskúmavaní existujúceho obsahu, a to vrátane miestnej a regionálnej úrovne kultúrnych politík;</w:t>
      </w:r>
    </w:p>
    <w:p w14:paraId="7CA0750F" w14:textId="77777777" w:rsidR="003913F6" w:rsidRPr="00896D28" w:rsidRDefault="003913F6" w:rsidP="003913F6">
      <w:pPr>
        <w:pStyle w:val="Normal12Hanging"/>
      </w:pPr>
      <w:r w:rsidRPr="00896D28">
        <w:t>10.</w:t>
      </w:r>
      <w:r w:rsidRPr="00896D28">
        <w:tab/>
        <w:t>zdôrazňuje, že koncepcie prístupu ku kultúre a účasti na nej sú úzko prepojené; konštatuje, že stratégie na zvyšovanie prístupnosti kultúry a účasti na nej by sa mali vykonávať pomocou identifikácie nedostatočne zastúpených skupín, navrhovania a vykonávania iniciatív alebo programov, ktorých cieľom je zvýšenie účasti týchto skupín a odstraňovanie existujúcich prekážok;</w:t>
      </w:r>
    </w:p>
    <w:p w14:paraId="32B7AFCB" w14:textId="77777777" w:rsidR="003913F6" w:rsidRPr="00896D28" w:rsidRDefault="003913F6" w:rsidP="003913F6">
      <w:pPr>
        <w:pStyle w:val="Normal12Hanging"/>
      </w:pPr>
      <w:r w:rsidRPr="00896D28">
        <w:t>11.</w:t>
      </w:r>
      <w:r w:rsidRPr="00896D28">
        <w:tab/>
        <w:t>zdôrazňuje potrebu zhromažďovať informácie o účasti ľudí so zdravotným postihnutím na kultúrnych činnostiach;</w:t>
      </w:r>
    </w:p>
    <w:p w14:paraId="4BDFD596" w14:textId="77777777" w:rsidR="003913F6" w:rsidRPr="00896D28" w:rsidRDefault="003913F6" w:rsidP="003913F6">
      <w:pPr>
        <w:pStyle w:val="Normal12Hanging"/>
      </w:pPr>
      <w:r w:rsidRPr="00896D28">
        <w:t>12.</w:t>
      </w:r>
      <w:r w:rsidRPr="00896D28">
        <w:tab/>
        <w:t>vyjadruje poľutovanie nad tým, že finančné prekážky stále bránia občanom, najmä tým, ktorí patria k najviac znevýhodneným skupinám, naplno si užívať ich základné právo na účasť na kultúrnom živote a prístup ku kultúre a že to sťažuje účinné uplatňovanie tohto základného práva;</w:t>
      </w:r>
    </w:p>
    <w:p w14:paraId="6511C956" w14:textId="77777777" w:rsidR="003913F6" w:rsidRPr="00896D28" w:rsidRDefault="003913F6" w:rsidP="003913F6">
      <w:pPr>
        <w:pStyle w:val="Normal12Hanging"/>
      </w:pPr>
      <w:r w:rsidRPr="00896D28">
        <w:t>13.</w:t>
      </w:r>
      <w:r w:rsidRPr="00896D28">
        <w:tab/>
        <w:t>pripomína dôležitosť rozvíjania platforiem na poskytovanie a výmenu skúseností na regionálnej, vnútroštátnej a európskej úrovni;</w:t>
      </w:r>
    </w:p>
    <w:p w14:paraId="7665CD05" w14:textId="77777777" w:rsidR="003913F6" w:rsidRPr="00896D28" w:rsidRDefault="003913F6" w:rsidP="003913F6">
      <w:pPr>
        <w:pStyle w:val="Normal12Hanging"/>
      </w:pPr>
      <w:r w:rsidRPr="00896D28">
        <w:t>14.</w:t>
      </w:r>
      <w:r w:rsidRPr="00896D28">
        <w:tab/>
        <w:t>poukazuje na dôležitosť zaručenia kvalitnej kultúrnej ponuky pre všetkých občanov, ktorá je základom podpory aktívneho, demokratického a </w:t>
      </w:r>
      <w:proofErr w:type="spellStart"/>
      <w:r w:rsidRPr="00896D28">
        <w:t>inkluzívneho</w:t>
      </w:r>
      <w:proofErr w:type="spellEnd"/>
      <w:r w:rsidRPr="00896D28">
        <w:t xml:space="preserve"> občianstva;</w:t>
      </w:r>
    </w:p>
    <w:p w14:paraId="3A771E6B" w14:textId="77777777" w:rsidR="003913F6" w:rsidRPr="00896D28" w:rsidRDefault="003913F6" w:rsidP="003913F6">
      <w:pPr>
        <w:spacing w:after="240" w:line="276" w:lineRule="auto"/>
        <w:ind w:left="567" w:hanging="567"/>
        <w:jc w:val="both"/>
        <w:rPr>
          <w:b/>
          <w:i/>
          <w:szCs w:val="24"/>
        </w:rPr>
      </w:pPr>
      <w:r w:rsidRPr="00896D28">
        <w:rPr>
          <w:b/>
          <w:i/>
          <w:szCs w:val="24"/>
        </w:rPr>
        <w:t xml:space="preserve">Finančné prekážky </w:t>
      </w:r>
    </w:p>
    <w:p w14:paraId="06D6D467" w14:textId="77777777" w:rsidR="003913F6" w:rsidRPr="00896D28" w:rsidRDefault="003913F6" w:rsidP="003913F6">
      <w:pPr>
        <w:widowControl/>
        <w:spacing w:after="160"/>
        <w:ind w:left="567" w:hanging="567"/>
      </w:pPr>
      <w:r w:rsidRPr="00896D28">
        <w:t xml:space="preserve">15. </w:t>
      </w:r>
      <w:r w:rsidRPr="00896D28">
        <w:tab/>
        <w:t>zdôrazňuje, že stabilné a trvalé verejné financovanie zohráva zásadnú úlohu pri zaistení pulzujúcej kultúrnej scény a zostáva neodmysliteľným nástrojom podpory kultúrnych aktivít v EÚ tak, aby tieto aktivity mohli naplniť svoj ekonomický potenciál a prispievať k udržateľnému rastu a sociálnej súdržnosti a k financovaniu infraštruktúry v oblasti kultúry; vyzýva preto Komisiu a členské štáty, aby v rámci svojich právomocí venovali primeranú časť svojich rozpočtov na verejnú podporu kultúry a posilnili synergie s EFRR a iných fondmi na podporu kultúry vrátane programov uľahčujúcich výskum a inovácie a dostupných nástrojov politiky súdržnosti;</w:t>
      </w:r>
    </w:p>
    <w:p w14:paraId="7A9F2B9C" w14:textId="77777777" w:rsidR="003913F6" w:rsidRPr="00896D28" w:rsidRDefault="003913F6" w:rsidP="003913F6">
      <w:pPr>
        <w:pStyle w:val="Normal12Hanging"/>
      </w:pPr>
      <w:r w:rsidRPr="00896D28">
        <w:t>16.</w:t>
      </w:r>
      <w:r w:rsidRPr="00896D28">
        <w:tab/>
        <w:t xml:space="preserve">vyzýva Komisiu a členské štáty, aby zabezpečili, že nedôjde k zníženiu verejného financovania kultúry, a to bez ohľadu na možné budúce hospodárske ťažkosti, ktorým </w:t>
      </w:r>
      <w:r w:rsidRPr="00896D28">
        <w:lastRenderedPageBreak/>
        <w:t>môže členský štát čeliť;</w:t>
      </w:r>
    </w:p>
    <w:p w14:paraId="475908B7" w14:textId="77777777" w:rsidR="003913F6" w:rsidRPr="00896D28" w:rsidRDefault="003913F6" w:rsidP="003913F6">
      <w:pPr>
        <w:widowControl/>
        <w:spacing w:after="160"/>
        <w:ind w:left="567" w:hanging="567"/>
      </w:pPr>
      <w:r w:rsidRPr="00896D28">
        <w:t xml:space="preserve">17. </w:t>
      </w:r>
      <w:r w:rsidRPr="00896D28">
        <w:tab/>
        <w:t xml:space="preserve">vyjadruje poľutovanie nad tým, že hospodársky pokles zvyčajne viedol a stále príliš často vedie k tomu, že sa predovšetkým škrtajú verejné výdavky na kultúru, a má negatívny vplyv na </w:t>
      </w:r>
      <w:r w:rsidR="004F4D45" w:rsidRPr="00896D28">
        <w:t>rozpočty na kultúrne činnosti;</w:t>
      </w:r>
    </w:p>
    <w:p w14:paraId="3DB036DD" w14:textId="77777777" w:rsidR="003913F6" w:rsidRPr="00896D28" w:rsidRDefault="003913F6" w:rsidP="003913F6">
      <w:pPr>
        <w:pStyle w:val="Normal12Hanging"/>
      </w:pPr>
      <w:r w:rsidRPr="00896D28">
        <w:t xml:space="preserve">18. </w:t>
      </w:r>
      <w:r w:rsidRPr="00896D28">
        <w:tab/>
        <w:t>pripomína, že investície do kultúrneho a kreatívneho priemyslu umožňujú uvoľnenie jeho významného a stále nedoceneného potenciálu pri podpore kultúrnej rozmanitosti a sociálnych inovácií a súčasne pri vytváraní udržateľnej hospodárskej prosperity a kvalitných pracovných miest a že takéto investície majú tiež priamy vplyv na rozvoj nových zručností, digitalizáciu, podnikanie, inovácie a vývoj nových obchodných modelov, na posilnenie konkurencieschopnosti európskeho kultúrneho a kreatívneho priemyslu, na využívanie príležitostí a získavanie prístupu k novým medzinárodným možnostiam, trhom a publiku; domnieva sa preto, že súkromný sektor zohráva kľúčovú úlohu, ktorá dopĺňa verejné investície, a vyzýva členské štáty, aby zvážili vykonávanie legislatívnych opatrení, ktorými by sa súkromným subjektom zabezpečila daňová úľava za prínos k podpore kultúry;</w:t>
      </w:r>
    </w:p>
    <w:p w14:paraId="2C3582B8" w14:textId="77777777" w:rsidR="003913F6" w:rsidRPr="00896D28" w:rsidRDefault="003913F6" w:rsidP="003913F6">
      <w:pPr>
        <w:pStyle w:val="Normal12Hanging"/>
      </w:pPr>
      <w:r w:rsidRPr="00896D28">
        <w:t>19.</w:t>
      </w:r>
      <w:r w:rsidRPr="00896D28">
        <w:tab/>
        <w:t>poukazuje na to, že roztrieštenosť, nízka pridaná hodnota a činnosti mnohých samostatne zárobkovo činných mužov a žien v kreatívnom priemysle – pripomínajúc, že tieto činnosti sa všeobecne vnímajú ako práce, pri ktorých sa ľudia venujú svojim záujmom – nesmú viesť k tomu, že kultúrny/kreatívny priemysel sa stane modelovým príkladom slabo platenej práce alebo práce so slabým sociálnym zabezpečením; navrhuje preto vypracovať spoľahlivé postupy preskúmania dobrých podmienok práce v odvetví tvorivej činnosti;</w:t>
      </w:r>
    </w:p>
    <w:p w14:paraId="1BE49CCB" w14:textId="77777777" w:rsidR="003913F6" w:rsidRPr="00896D28" w:rsidRDefault="003913F6" w:rsidP="003913F6">
      <w:pPr>
        <w:pStyle w:val="Normal12Hanging"/>
      </w:pPr>
      <w:r w:rsidRPr="00896D28">
        <w:t>20.</w:t>
      </w:r>
      <w:r w:rsidRPr="00896D28">
        <w:tab/>
        <w:t>zdôrazňuje, že prístup verejnosti ku kultúrnym statkom a službám a podpora kultúrnej produkcie a prejavu posilňujú kreatívny priemysel a prispievajú k rozvoju krajiny;</w:t>
      </w:r>
    </w:p>
    <w:p w14:paraId="2C5FEA52" w14:textId="77777777" w:rsidR="003913F6" w:rsidRPr="00896D28" w:rsidRDefault="003913F6" w:rsidP="003913F6">
      <w:pPr>
        <w:pStyle w:val="Normal12Hanging"/>
      </w:pPr>
      <w:r w:rsidRPr="00896D28">
        <w:t>21.</w:t>
      </w:r>
      <w:r w:rsidRPr="00896D28">
        <w:tab/>
        <w:t>poukazuje na to, že nedostatočné financovanie kultúrneho priemyslu by sa malo vyvážiť daňovými stimulmi pre súkromných sponzorov;</w:t>
      </w:r>
    </w:p>
    <w:p w14:paraId="76AD05B5" w14:textId="77777777" w:rsidR="003913F6" w:rsidRPr="00896D28" w:rsidRDefault="003913F6" w:rsidP="003913F6">
      <w:pPr>
        <w:pStyle w:val="Normal12Hanging"/>
      </w:pPr>
      <w:r w:rsidRPr="00896D28">
        <w:t>22.</w:t>
      </w:r>
      <w:r w:rsidRPr="00896D28">
        <w:tab/>
        <w:t>upozorňuje na problémy s medzinárodným zdaňovaním príjmov, ktoré musia umelci v celej Európe riešiť, a preto odporúča jeden štandardný model, ktorý by bol prospešný pre zamestnancov aj samostatne zárobkovo činné osoby a predchádzal by dvojitému zdaneniu;</w:t>
      </w:r>
    </w:p>
    <w:p w14:paraId="66C0DA40" w14:textId="77777777" w:rsidR="003913F6" w:rsidRPr="00896D28" w:rsidRDefault="003913F6" w:rsidP="003913F6">
      <w:pPr>
        <w:pStyle w:val="Normal12Hanging"/>
      </w:pPr>
      <w:r w:rsidRPr="00896D28">
        <w:t>23.</w:t>
      </w:r>
      <w:r w:rsidRPr="00896D28">
        <w:tab/>
        <w:t xml:space="preserve">požaduje investície do </w:t>
      </w:r>
      <w:proofErr w:type="spellStart"/>
      <w:r w:rsidRPr="00896D28">
        <w:t>mikropodnikov</w:t>
      </w:r>
      <w:proofErr w:type="spellEnd"/>
      <w:r w:rsidRPr="00896D28">
        <w:t xml:space="preserve"> s cieľom propagovať kreativitu a inovácie a tak podporovať regionálny a miestny rozvoj;</w:t>
      </w:r>
    </w:p>
    <w:p w14:paraId="0F81BFDD" w14:textId="77777777" w:rsidR="003913F6" w:rsidRPr="00896D28" w:rsidRDefault="003913F6" w:rsidP="003913F6">
      <w:pPr>
        <w:pStyle w:val="Normal12Hanging"/>
      </w:pPr>
      <w:r w:rsidRPr="00896D28">
        <w:t>24.</w:t>
      </w:r>
      <w:r w:rsidRPr="00896D28">
        <w:tab/>
        <w:t xml:space="preserve">zdôrazňuje, že podľa respondentov v prieskumoch </w:t>
      </w:r>
      <w:proofErr w:type="spellStart"/>
      <w:r w:rsidRPr="00896D28">
        <w:t>Eurobarometra</w:t>
      </w:r>
      <w:proofErr w:type="spellEnd"/>
      <w:r w:rsidRPr="00896D28">
        <w:t xml:space="preserve"> a </w:t>
      </w:r>
      <w:proofErr w:type="spellStart"/>
      <w:r w:rsidRPr="00896D28">
        <w:t>Eurostatu</w:t>
      </w:r>
      <w:proofErr w:type="spellEnd"/>
      <w:r w:rsidRPr="00896D28">
        <w:t xml:space="preserve"> vysoké ceny kultúrnych statkov a služieb tvoria jednu z prekážok účasti na kultúre</w:t>
      </w:r>
      <w:r w:rsidRPr="00896D28">
        <w:rPr>
          <w:rStyle w:val="Sup"/>
          <w:color w:val="auto"/>
        </w:rPr>
        <w:footnoteReference w:id="26"/>
      </w:r>
      <w:r w:rsidRPr="00896D28">
        <w:t>; v tejto súvislosti dôrazne odporúča členským štátom a regiónom, aby podnikli kroky zamerané na konkrétne publikum, najmä študentov, veľké rodiny a starších ľudí, ktorými sa odstránia finančné prekážky tohto prístupu;</w:t>
      </w:r>
    </w:p>
    <w:p w14:paraId="7FAA495D" w14:textId="77777777" w:rsidR="003913F6" w:rsidRPr="00896D28" w:rsidRDefault="003913F6" w:rsidP="003913F6">
      <w:pPr>
        <w:pStyle w:val="Normal12Hanging"/>
        <w:rPr>
          <w:b/>
          <w:i/>
        </w:rPr>
      </w:pPr>
      <w:r w:rsidRPr="00896D28">
        <w:t>25.</w:t>
      </w:r>
      <w:r w:rsidRPr="00896D28">
        <w:tab/>
        <w:t xml:space="preserve">zdôrazňuje, že vysoké náklady na poistenie vystavovaných predmetov a vystúpení sa tiež odrážajú vo vysokých cenách vstupeniek do múzeí, divadiel a galérií, a často je preto nemožné, aby menšie subjekty vytvárali svoje programy podľa svojho publika a vlastných ambícií, pričom táto situácia vedie k ešte väčšej priepasti medzi menšími </w:t>
      </w:r>
      <w:r w:rsidRPr="00896D28">
        <w:lastRenderedPageBreak/>
        <w:t>subjektmi majúcimi bližší kontakt s publikom a väčšími, medzinárodne uznávanými inštitúciami;</w:t>
      </w:r>
    </w:p>
    <w:p w14:paraId="42CD6AF2" w14:textId="77777777" w:rsidR="003913F6" w:rsidRPr="00896D28" w:rsidRDefault="003913F6" w:rsidP="003913F6">
      <w:pPr>
        <w:pStyle w:val="Normal12Hanging"/>
        <w:rPr>
          <w:rFonts w:eastAsia="Calibri"/>
          <w:szCs w:val="24"/>
        </w:rPr>
      </w:pPr>
      <w:r w:rsidRPr="00896D28">
        <w:t>26.</w:t>
      </w:r>
      <w:r w:rsidRPr="00896D28">
        <w:tab/>
        <w:t>zdôrazňuje úlohu, ktorú môže zohrávať primeraná fiškálna politika vo vzťahu ku kultúrnemu a kreatívnemu priemyslu pri zlepšovaní prístupu ku kultúre a účasti na nej; konštatuje však, že nepriama podpora kultúrneho dedičstva zavedením zníženej sadzby DPH nemôže nahradiť priame dotácie; vyzýva na lepšiu koordináciu vnútroštátnych politík v oblasti kultúry a sadzieb DPH, ktoré sú používané ako nástroj na podporu účasti na kultúre;</w:t>
      </w:r>
    </w:p>
    <w:p w14:paraId="5D8CB0FC" w14:textId="77777777" w:rsidR="003913F6" w:rsidRPr="00896D28" w:rsidRDefault="003913F6" w:rsidP="003913F6">
      <w:pPr>
        <w:pStyle w:val="Normal12Hanging"/>
      </w:pPr>
      <w:r w:rsidRPr="00896D28">
        <w:t>27.</w:t>
      </w:r>
      <w:r w:rsidRPr="00896D28">
        <w:tab/>
        <w:t>pripomína, že je dôležité, aby členské štáty preskúmali možnosť súdržnejšej politiky zdaňovania príjmov pre kultúrnych pracovníkov a umelcov, ktorí trávia krátke časové úseky v rôznych krajinách, a tým pri každom vystúpení, seminári alebo pobyte podliehajú rôznym pravidlám a správnym postupom; navrhuje, aby sa ako priorita zvážila minimálna harmonizácia na podporu mobility umelcov a kultúrnych pracovníkov s cieľom podporovať rozmanitosť tvorby a kultúry v celej EÚ aj mimo nej namiesto vytvárania prekážok vo forme administratívnej záťaže, ktorá je neprimeraná vzhľadom na skutočné príjmy získané za kultúrnu prácu;</w:t>
      </w:r>
    </w:p>
    <w:p w14:paraId="796EA309" w14:textId="77777777" w:rsidR="003913F6" w:rsidRPr="00896D28" w:rsidRDefault="003913F6" w:rsidP="003913F6">
      <w:pPr>
        <w:pStyle w:val="Normal12Hanging"/>
      </w:pPr>
      <w:r w:rsidRPr="00896D28">
        <w:t>28.</w:t>
      </w:r>
      <w:r w:rsidRPr="00896D28">
        <w:tab/>
        <w:t>nabáda členské štáty a verejné inštitúcie, aby investovali do decentralizácie organizovania kultúrnych podujatí, či už formou budovania infraštruktúr vo vzdialených regiónoch, alebo prostredníctvom rôznych dočasných kultúrnych podujatí; nabáda aj kultúrne inštitúcie, aby investovali do geografickej decentralizácie;</w:t>
      </w:r>
    </w:p>
    <w:p w14:paraId="24719B43" w14:textId="77777777" w:rsidR="003913F6" w:rsidRPr="00896D28" w:rsidRDefault="003913F6" w:rsidP="003913F6">
      <w:pPr>
        <w:pStyle w:val="Normal12Hanging"/>
        <w:rPr>
          <w:rFonts w:eastAsia="Calibri"/>
          <w:szCs w:val="24"/>
        </w:rPr>
      </w:pPr>
      <w:r w:rsidRPr="00896D28">
        <w:t>29.</w:t>
      </w:r>
      <w:r w:rsidRPr="00896D28">
        <w:tab/>
        <w:t>víta návrh na zmenu smernice o DPH, ktorá by členským štátom umožnila uplatniť rovnakú sadzbu DPH na elektronické a tlačené publikácie; domnieva sa, že rozlišovanie medzi sadzbami DPH uplatňovanými na fyzické a elektronické publikácie je zastarané a v digitálnom veku ďalej neudržateľné; žiada Radu, aby v tejto veci prijala návrh Komisie bez zbytočného odkladu;</w:t>
      </w:r>
    </w:p>
    <w:p w14:paraId="355E3115" w14:textId="77777777" w:rsidR="003913F6" w:rsidRPr="00896D28" w:rsidRDefault="003913F6" w:rsidP="003913F6">
      <w:pPr>
        <w:pStyle w:val="Normal12Hanging"/>
      </w:pPr>
      <w:r w:rsidRPr="00896D28">
        <w:t>30.</w:t>
      </w:r>
      <w:r w:rsidRPr="00896D28">
        <w:tab/>
        <w:t>poukazuje na význam súladu medzi súkromným a profesionálnym životom pre prístup k rôznym kultúrnym činnostiam, ich užívanie a účasť na nich;</w:t>
      </w:r>
    </w:p>
    <w:p w14:paraId="798DC100" w14:textId="77777777" w:rsidR="003913F6" w:rsidRPr="00896D28" w:rsidRDefault="003913F6" w:rsidP="003913F6">
      <w:pPr>
        <w:widowControl/>
        <w:spacing w:after="160" w:line="276" w:lineRule="auto"/>
        <w:rPr>
          <w:rFonts w:eastAsia="Calibri"/>
          <w:b/>
          <w:i/>
          <w:szCs w:val="24"/>
        </w:rPr>
      </w:pPr>
      <w:r w:rsidRPr="00896D28">
        <w:rPr>
          <w:b/>
          <w:i/>
          <w:szCs w:val="24"/>
        </w:rPr>
        <w:t>Prekážky a výzvy vo vzdelávaní</w:t>
      </w:r>
    </w:p>
    <w:p w14:paraId="4E321D0D" w14:textId="77777777" w:rsidR="003913F6" w:rsidRPr="00896D28" w:rsidRDefault="003913F6" w:rsidP="003913F6">
      <w:pPr>
        <w:pStyle w:val="Normal12Hanging"/>
      </w:pPr>
      <w:r w:rsidRPr="00896D28">
        <w:t>31.</w:t>
      </w:r>
      <w:r w:rsidRPr="00896D28">
        <w:tab/>
        <w:t>zdôrazňuje, že stupeň vzdelania je jedným z najdôležitejších faktorov majúcich značný vplyv na mieru účasti na kultúre; zdôrazňuje, že vyšší stupeň vzdelania sa odzrkadľuje na vyššej miere účasti na kultúrnych podujatiach</w:t>
      </w:r>
      <w:r w:rsidRPr="00896D28">
        <w:rPr>
          <w:rStyle w:val="Sup"/>
          <w:color w:val="auto"/>
        </w:rPr>
        <w:footnoteReference w:id="27"/>
      </w:r>
      <w:r w:rsidRPr="00896D28">
        <w:t>; zdôrazňuje, že humanitné vedy a učenie sa jazykov v školách a kultúrne vzdelávanie predstavujú neoddeliteľnú súčasť všeobecného vzdelávania, keďže pomáhajú znižovať sociálne nerovnosti, a teda si vyžadujú také isté financovanie ako odbory STEM;</w:t>
      </w:r>
    </w:p>
    <w:p w14:paraId="739165E5" w14:textId="77777777" w:rsidR="003913F6" w:rsidRPr="00896D28" w:rsidRDefault="003913F6" w:rsidP="003913F6">
      <w:pPr>
        <w:pStyle w:val="Normal12Hanging"/>
      </w:pPr>
      <w:r w:rsidRPr="00896D28">
        <w:t>32.</w:t>
      </w:r>
      <w:r w:rsidRPr="00896D28">
        <w:tab/>
        <w:t>zdôrazňuje, že znalosti sa vnímajú ako produkt kultúrnych interakcií, ktoré ovplyvňujú a odrážajú jednotlivcov, ktorí sa venujú kultúre;</w:t>
      </w:r>
    </w:p>
    <w:p w14:paraId="2BFEEACB" w14:textId="77777777" w:rsidR="003913F6" w:rsidRPr="00896D28" w:rsidRDefault="003913F6" w:rsidP="003913F6">
      <w:pPr>
        <w:pStyle w:val="Normal12Hanging"/>
      </w:pPr>
      <w:r w:rsidRPr="00896D28">
        <w:t>33.</w:t>
      </w:r>
      <w:r w:rsidRPr="00896D28">
        <w:tab/>
        <w:t>podporuje interaktívny a </w:t>
      </w:r>
      <w:proofErr w:type="spellStart"/>
      <w:r w:rsidRPr="00896D28">
        <w:t>inkluzívny</w:t>
      </w:r>
      <w:proofErr w:type="spellEnd"/>
      <w:r w:rsidRPr="00896D28">
        <w:t xml:space="preserve"> prístup založený na komunitách pri rozvoji kultúrnych a vzdelávacích politík s cieľom zvýšiť záujem o kultúru a účasť na nej, podporovať kultúrne dedičstvo Európy a rozvíjať európsku kultúrnu a jazykovú </w:t>
      </w:r>
      <w:r w:rsidRPr="00896D28">
        <w:lastRenderedPageBreak/>
        <w:t>rozmanitosť;</w:t>
      </w:r>
    </w:p>
    <w:p w14:paraId="6D823719" w14:textId="77777777" w:rsidR="003913F6" w:rsidRPr="00896D28" w:rsidRDefault="003913F6" w:rsidP="003913F6">
      <w:pPr>
        <w:pStyle w:val="Normal12Hanging"/>
      </w:pPr>
      <w:r w:rsidRPr="00896D28">
        <w:t>34.</w:t>
      </w:r>
      <w:r w:rsidRPr="00896D28">
        <w:tab/>
        <w:t xml:space="preserve">konštatuje, že nedostatok záujmu je jednou z najčastejšie spomenutých prekážok účasti na kultúre, ktoré uvádzajú respondenti prieskumov </w:t>
      </w:r>
      <w:proofErr w:type="spellStart"/>
      <w:r w:rsidRPr="00896D28">
        <w:t>Eurostatu</w:t>
      </w:r>
      <w:proofErr w:type="spellEnd"/>
      <w:r w:rsidRPr="00896D28">
        <w:t xml:space="preserve"> a </w:t>
      </w:r>
      <w:proofErr w:type="spellStart"/>
      <w:r w:rsidRPr="00896D28">
        <w:t>Eurobarometra</w:t>
      </w:r>
      <w:proofErr w:type="spellEnd"/>
      <w:r w:rsidRPr="00896D28">
        <w:rPr>
          <w:rStyle w:val="Sup"/>
          <w:color w:val="auto"/>
        </w:rPr>
        <w:footnoteReference w:id="28"/>
      </w:r>
      <w:r w:rsidRPr="00896D28">
        <w:t xml:space="preserve">; v tejto súvislosti zdôrazňuje, že podpora dopytu, ktorá sa chápe ako budovanie záujmu a pochopenie kultúry prostredníctvom formálneho, neformálneho a </w:t>
      </w:r>
      <w:proofErr w:type="spellStart"/>
      <w:r w:rsidRPr="00896D28">
        <w:t>informálneho</w:t>
      </w:r>
      <w:proofErr w:type="spellEnd"/>
      <w:r w:rsidRPr="00896D28">
        <w:t xml:space="preserve"> vzdelávania, by mala byť prioritnou úlohou z hľadiska zvýšenia prístupu ku kultúre a účasti na nej;</w:t>
      </w:r>
    </w:p>
    <w:p w14:paraId="3788B39E" w14:textId="77777777" w:rsidR="003913F6" w:rsidRPr="00896D28" w:rsidRDefault="003913F6" w:rsidP="003913F6">
      <w:pPr>
        <w:pStyle w:val="Normal12Hanging"/>
      </w:pPr>
      <w:r w:rsidRPr="00896D28">
        <w:t>35.</w:t>
      </w:r>
      <w:r w:rsidRPr="00896D28">
        <w:tab/>
        <w:t>odporúča zovšeobecnenie európskej študentskej karty tak, aby sa medzi jej výhody pridal bezplatný vstup do kultúrnych inštitúcií EÚ;</w:t>
      </w:r>
    </w:p>
    <w:p w14:paraId="125F7FDB" w14:textId="77777777" w:rsidR="003913F6" w:rsidRPr="00896D28" w:rsidRDefault="003913F6" w:rsidP="003913F6">
      <w:pPr>
        <w:pStyle w:val="Normal12Hanging"/>
      </w:pPr>
      <w:r w:rsidRPr="00896D28">
        <w:t>36.</w:t>
      </w:r>
      <w:r w:rsidRPr="00896D28">
        <w:tab/>
        <w:t xml:space="preserve">pripomína základnú úlohu škôl a rodín ako kľúčových platforiem na nadväzovanie kontaktov mladých ľudí s kultúrou a na vytváranie kultúrnych potrieb a zručností; vyzýva členské štáty, aby podnikli kroky na zavádzanie kultúrneho a umeleckého vzdelávania do školských osnov vo väčšej miere v rámci formálneho vzdelávania aj </w:t>
      </w:r>
      <w:proofErr w:type="spellStart"/>
      <w:r w:rsidRPr="00896D28">
        <w:t>informálneho</w:t>
      </w:r>
      <w:proofErr w:type="spellEnd"/>
      <w:r w:rsidRPr="00896D28">
        <w:t xml:space="preserve"> učenia sa;</w:t>
      </w:r>
    </w:p>
    <w:p w14:paraId="74B8A4A9" w14:textId="77777777" w:rsidR="003913F6" w:rsidRPr="00896D28" w:rsidRDefault="003913F6" w:rsidP="003913F6">
      <w:pPr>
        <w:pStyle w:val="Normal12Hanging"/>
      </w:pPr>
      <w:r w:rsidRPr="00896D28">
        <w:t>37.</w:t>
      </w:r>
      <w:r w:rsidRPr="00896D28">
        <w:tab/>
        <w:t>zdôrazňuje, že je dôležité, aby členské štáty v úzkej spolupráci s regionálnymi a miestnymi orgánmi a pomocou financovania a/alebo dotácií zaistili na štátnych školách hudobnú výchovu;</w:t>
      </w:r>
    </w:p>
    <w:p w14:paraId="6A91D8C2" w14:textId="77777777" w:rsidR="003913F6" w:rsidRPr="00896D28" w:rsidRDefault="003913F6" w:rsidP="003913F6">
      <w:pPr>
        <w:pStyle w:val="Normal12Hanging"/>
      </w:pPr>
      <w:r w:rsidRPr="00896D28">
        <w:t>38.</w:t>
      </w:r>
      <w:r w:rsidRPr="00896D28">
        <w:tab/>
        <w:t>odporúča, aby členské štáty nazerali na vzdelávanie ako na jednu z hlavných kultúrnych činností, keďže podpora dopytu znamená predovšetkým to, že sa ľudom poskytnú zručnosti a poznatky, ktoré im umožnia vážiť si umenie; pripomína, že rozvíjanie záujmu o kultúru je účinnejšie, ak sa deje v mladom veku, a domnieva sa, že kultúra by preto mala dostať väčší priestor v školských osnovách a že viac ľudských zdrojov a materiálu by sa malo sprístupniť na dosiahnutie tohto cieľa; žiada, aby školy dostali financie na návštevy múzeí a iných kultúrnych inštitúcií, keďže sa tým súčasne podporí záujem o kultúru a účasť mladých ľudí a kultúrnym inštitúciám sa poskytnú ďalšie zdroje;</w:t>
      </w:r>
    </w:p>
    <w:p w14:paraId="783583EF" w14:textId="77777777" w:rsidR="003913F6" w:rsidRPr="00896D28" w:rsidRDefault="003913F6" w:rsidP="003913F6">
      <w:pPr>
        <w:pStyle w:val="Normal12Hanging"/>
      </w:pPr>
      <w:r w:rsidRPr="00896D28">
        <w:t>39.</w:t>
      </w:r>
      <w:r w:rsidRPr="00896D28">
        <w:tab/>
        <w:t>poukazuje na dôležitosť štátnych vzdelávacích systémov pri oboznamovaní detí s rozmanitosťou sveta kultúry, čo pomáha pri vzdelávaní nového publika a šírení kultúry; zdôrazňuje tiež, že je dôležité, aby rôzne kultúrne inštitúcie rozvíjali partnerstvá so školami na miestnej, regionálnej a vnútroštátnej úrovni;</w:t>
      </w:r>
    </w:p>
    <w:p w14:paraId="38135286" w14:textId="77777777" w:rsidR="003913F6" w:rsidRPr="00896D28" w:rsidRDefault="003913F6" w:rsidP="003913F6">
      <w:pPr>
        <w:pStyle w:val="Normal12Hanging"/>
      </w:pPr>
      <w:r w:rsidRPr="00896D28">
        <w:t>40.</w:t>
      </w:r>
      <w:r w:rsidRPr="00896D28">
        <w:tab/>
        <w:t>nabáda členské štáty a regionálne a miestne orgány, aby podporovali mimoškolské kultúrne vzdelávacie programy určené pre všetkých a najmä pre znevýhodnené deti a mladých ľudí prostredníctvom programov, ktorých cieľom je oboznámiť ich s rôznymi umeleckými prejavmi a pomôcť im spoznať existujúce kultúrne dedičstvo;</w:t>
      </w:r>
    </w:p>
    <w:p w14:paraId="5851AB55" w14:textId="77777777" w:rsidR="003913F6" w:rsidRPr="00896D28" w:rsidRDefault="003913F6" w:rsidP="003913F6">
      <w:pPr>
        <w:pStyle w:val="Normal12Hanging"/>
      </w:pPr>
      <w:r w:rsidRPr="00896D28">
        <w:t>41.</w:t>
      </w:r>
      <w:r w:rsidRPr="00896D28">
        <w:tab/>
        <w:t>zdôrazňuje úlohu miestnych kultúrnych inštitúcií vrátane kultúrnych stredísk a knižníc ako kľúčových subjektov, ktoré pomáhajú pri prekonávaní prekážok prístupu ku kultúre a účasti na nej; vyzýva preto členské štáty, aby takéto kultúrne inštitúcie aktívne podporovali;</w:t>
      </w:r>
    </w:p>
    <w:p w14:paraId="5026AEC0" w14:textId="77777777" w:rsidR="003913F6" w:rsidRPr="00896D28" w:rsidRDefault="003913F6" w:rsidP="003913F6">
      <w:pPr>
        <w:pStyle w:val="Normal12Hanging"/>
      </w:pPr>
      <w:r w:rsidRPr="00896D28">
        <w:t>42.</w:t>
      </w:r>
      <w:r w:rsidRPr="00896D28">
        <w:tab/>
        <w:t xml:space="preserve">požaduje väčšie ocenenie a pochopenie sociálnej úlohy verejných knižníc a kultúrnych komunitných inštitúcií, najmä vo vidieckych alebo vzdialených regiónoch, a to nielen </w:t>
      </w:r>
      <w:r w:rsidRPr="00896D28">
        <w:lastRenderedPageBreak/>
        <w:t>zvýšením verejného financovania, ale aj vytváraním partnerstiev a zabezpečením vhodných IKT a ľudských zdrojov s prístupom k odbornej príprave tak, aby sa premenili na inštitúcie, ktoré dokážu zlepšovať životy ľudí a podporovať miestny rozvoj;</w:t>
      </w:r>
    </w:p>
    <w:p w14:paraId="770AD18A" w14:textId="77777777" w:rsidR="003913F6" w:rsidRPr="00896D28" w:rsidRDefault="003913F6" w:rsidP="003913F6">
      <w:pPr>
        <w:pStyle w:val="Normal12Hanging"/>
      </w:pPr>
      <w:r w:rsidRPr="00896D28">
        <w:t>43.</w:t>
      </w:r>
      <w:r w:rsidRPr="00896D28">
        <w:tab/>
        <w:t>zdôrazňuje, že nadväzovanie partnerstiev má zásadný význam pri prilákaní potenciálneho publika na umelecké činnosti a že sa to dá dosiahnuť napríklad spoluprácou s organizáciami zastupujúcimi študentov, migrantov alebo ľudí so zdravotným postihnutím tak, aby sa vhodne reagovalo na ich záujmy a potreby;</w:t>
      </w:r>
    </w:p>
    <w:p w14:paraId="75159A82" w14:textId="77777777" w:rsidR="003913F6" w:rsidRPr="00896D28" w:rsidRDefault="003913F6" w:rsidP="003913F6">
      <w:pPr>
        <w:pStyle w:val="Normal12Hanging"/>
      </w:pPr>
      <w:r w:rsidRPr="00896D28">
        <w:t>44.</w:t>
      </w:r>
      <w:r w:rsidRPr="00896D28">
        <w:tab/>
        <w:t>poukazuje na dôležitosť podpory iniciatív na vnútroštátnej, regionálnej a miestnej úrovni, ktoré presadzujú kontakty, spoluprácu a výmenu skúseností medzi tradičným umením, kultúrnymi inštitúciami a rôznymi multikultúrnymi organizáciami alebo organizáciami menšín, ako aj medzi profesionálnou a amatérskou sférou kultúry;</w:t>
      </w:r>
    </w:p>
    <w:p w14:paraId="58D56556" w14:textId="77777777" w:rsidR="003913F6" w:rsidRPr="00896D28" w:rsidRDefault="003913F6" w:rsidP="003913F6">
      <w:pPr>
        <w:pStyle w:val="Normal12Hanging"/>
      </w:pPr>
      <w:r w:rsidRPr="00896D28">
        <w:t>45.</w:t>
      </w:r>
      <w:r w:rsidRPr="00896D28">
        <w:tab/>
        <w:t>odporúča vypracovať ucelenú stratégiu na podporu vzdelávacích projektov, ktoré navrhli kultúrne inštitúcie; zdôrazňuje, že tieto projekty sú nástrojmi na podporu a zvyšovanie povedomia, kultúrnych kompetencií a </w:t>
      </w:r>
      <w:proofErr w:type="spellStart"/>
      <w:r w:rsidRPr="00896D28">
        <w:t>medzikultúrnych</w:t>
      </w:r>
      <w:proofErr w:type="spellEnd"/>
      <w:r w:rsidRPr="00896D28">
        <w:t xml:space="preserve"> poznatkov, ktoré slúžia ako východiskový bod pre dlhodobé zapájanie verejnosti do kultúrneho diania;</w:t>
      </w:r>
    </w:p>
    <w:p w14:paraId="0D9D74AE" w14:textId="77777777" w:rsidR="003913F6" w:rsidRPr="00896D28" w:rsidRDefault="003913F6" w:rsidP="003913F6">
      <w:pPr>
        <w:pStyle w:val="Normal12Hanging"/>
      </w:pPr>
      <w:r w:rsidRPr="00896D28">
        <w:t>46.</w:t>
      </w:r>
      <w:r w:rsidRPr="00896D28">
        <w:tab/>
        <w:t>nabáda členské štáty, aby v rámci kultúrnych inštitúcií vytvorili voľnočasové programy pre mladých ľudí;</w:t>
      </w:r>
    </w:p>
    <w:p w14:paraId="6C91E1EB" w14:textId="77777777" w:rsidR="003913F6" w:rsidRPr="00896D28" w:rsidRDefault="003913F6" w:rsidP="003913F6">
      <w:pPr>
        <w:pStyle w:val="Normal12Hanging"/>
      </w:pPr>
      <w:r w:rsidRPr="00896D28">
        <w:t>47.</w:t>
      </w:r>
      <w:r w:rsidRPr="00896D28">
        <w:tab/>
        <w:t>vyzýva Komisiu a členské štáty, aby prijali opatrenia na zabezpečenie širšieho prístupu ku kultúrnym inštitúciám a vypracovali komplexnú európsku stratégiu týkajúcu sa prístupu k verejným priestranstvám, najmä pokiaľ ide o kultúru v mestskom zastavanom prostredí, ako sú múzeá, divadlá, kiná, knižnice, koncertné sály, atď.;</w:t>
      </w:r>
    </w:p>
    <w:p w14:paraId="3394E2BE" w14:textId="77777777" w:rsidR="003913F6" w:rsidRPr="00896D28" w:rsidRDefault="003913F6" w:rsidP="003913F6">
      <w:pPr>
        <w:pStyle w:val="Normal12Hanging"/>
      </w:pPr>
      <w:r w:rsidRPr="00896D28">
        <w:t>48.</w:t>
      </w:r>
      <w:r w:rsidRPr="00896D28">
        <w:tab/>
        <w:t>žiada členské štáty, aby podporovali vytváranie grantov na štúdium alebo stáž pre študentov v sieťach štátneho alebo súkromného vzdelávania v kultúrnych inštitúciách a inštitúciách na správu kultúry;</w:t>
      </w:r>
    </w:p>
    <w:p w14:paraId="71CB5BED" w14:textId="77777777" w:rsidR="003913F6" w:rsidRPr="00896D28" w:rsidRDefault="003913F6" w:rsidP="003913F6">
      <w:pPr>
        <w:pStyle w:val="Normal12Hanging"/>
        <w:rPr>
          <w:rFonts w:eastAsia="Calibri"/>
          <w:szCs w:val="24"/>
        </w:rPr>
      </w:pPr>
      <w:r w:rsidRPr="00896D28">
        <w:rPr>
          <w:b/>
          <w:i/>
          <w:szCs w:val="24"/>
        </w:rPr>
        <w:t>Štrukturálne prekážky</w:t>
      </w:r>
    </w:p>
    <w:p w14:paraId="21928930" w14:textId="77777777" w:rsidR="003913F6" w:rsidRPr="00896D28" w:rsidRDefault="003913F6" w:rsidP="003913F6">
      <w:pPr>
        <w:pStyle w:val="Normal12Hanging"/>
      </w:pPr>
      <w:r w:rsidRPr="00896D28">
        <w:t>49.</w:t>
      </w:r>
      <w:r w:rsidRPr="00896D28">
        <w:tab/>
        <w:t>upriamuje pozornosť na štrukturálne podmienenú nižšiu mieru účasti obyvateľov vidieka na kultúre</w:t>
      </w:r>
      <w:r w:rsidRPr="00896D28">
        <w:rPr>
          <w:rStyle w:val="Sup"/>
          <w:color w:val="auto"/>
        </w:rPr>
        <w:footnoteReference w:id="29"/>
      </w:r>
      <w:r w:rsidRPr="00896D28">
        <w:t xml:space="preserve"> a v tejto súvislosti upozorňuje na úlohu malých miestnych kultúrnych stredísk, dopravnej infraštruktúry a podpory udržateľného cestovného ruchu zameraného na kultúru pri uľahčovaní prístupu ku kultúrnym inštitúciám;</w:t>
      </w:r>
    </w:p>
    <w:p w14:paraId="0DA5B41B" w14:textId="77777777" w:rsidR="003913F6" w:rsidRPr="00896D28" w:rsidRDefault="003913F6" w:rsidP="003913F6">
      <w:pPr>
        <w:pStyle w:val="Normal12Hanging"/>
      </w:pPr>
      <w:r w:rsidRPr="00896D28">
        <w:t>50.</w:t>
      </w:r>
      <w:r w:rsidRPr="00896D28">
        <w:tab/>
        <w:t>zdôrazňuje, že európske kultúrne dedičstvo je svetovo jedinečné pre jeho rozmanitosť a bohatosť, a poukazuje na to, že cestovný ruch zameraný na kultúru má obrovský potenciál prispievať k udržateľnému hospodárstvu a podporovať sociálnu súdržnosť a začleňovanie; žiada preto členské štáty, aby zvýšili úsilie a investície s cieľom vypracovať udržateľnú a dlhodobú politiku cestovného ruchu zameraného na kultúru;</w:t>
      </w:r>
    </w:p>
    <w:p w14:paraId="28FB3618" w14:textId="77777777" w:rsidR="003913F6" w:rsidRPr="00896D28" w:rsidRDefault="003913F6" w:rsidP="003913F6">
      <w:pPr>
        <w:pStyle w:val="Normal12Hanging"/>
      </w:pPr>
      <w:r w:rsidRPr="00896D28">
        <w:t>51.</w:t>
      </w:r>
      <w:r w:rsidRPr="00896D28">
        <w:tab/>
        <w:t xml:space="preserve">požaduje väčšie investície do kultúrneho priemyslu s cieľom oživiť miestne hospodárstva a propagovať cestovný ruch zameraný na kultúru; poznamenáva, že cestovný ruch zameraný na kultúru v súčinnosti s vedou, primárnym sektorom, remeselnými a priemyselnými strediskami, ako aj s mobilitou predstavuje rozhodujúci </w:t>
      </w:r>
      <w:r w:rsidRPr="00896D28">
        <w:lastRenderedPageBreak/>
        <w:t>faktor pri vytváraní bližšej a humanistickejšej Európy;</w:t>
      </w:r>
    </w:p>
    <w:p w14:paraId="4856F8BB" w14:textId="77777777" w:rsidR="003913F6" w:rsidRPr="00896D28" w:rsidRDefault="003913F6" w:rsidP="003913F6">
      <w:pPr>
        <w:pStyle w:val="Normal12Hanging"/>
      </w:pPr>
      <w:r w:rsidRPr="00896D28">
        <w:t>52.</w:t>
      </w:r>
      <w:r w:rsidRPr="00896D28">
        <w:tab/>
        <w:t>navrhuje väčšie investície do prístupu ku kultúre pre najvzdialenejšie, horské a odľahlé regióny s cieľom vytvárať decentralizované kultúrne príležitosti;</w:t>
      </w:r>
    </w:p>
    <w:p w14:paraId="4B90F8BF" w14:textId="77777777" w:rsidR="003913F6" w:rsidRPr="00896D28" w:rsidRDefault="003913F6" w:rsidP="003913F6">
      <w:pPr>
        <w:pStyle w:val="Normal12Hanging"/>
      </w:pPr>
      <w:r w:rsidRPr="00896D28">
        <w:t>53.</w:t>
      </w:r>
      <w:r w:rsidRPr="00896D28">
        <w:tab/>
        <w:t>konštatuje, že je potrebné uskutočniť ďalšie opatrenia na zlepšenie prístupu ľudí so zdravotným postihnutím k infraštruktúre v oblasti kultúry bez technologických a fyzických prekážok a ku kultúrnym aktivitám a k médiám; vyzýva členské štáty a Komisiu, aby v rámci svojich právomocí pokračovali v činnostiach zameraných na integráciu ľudí so zdravotným postihnutím prostredníctvom kultúry a vo vynakladaní úsilia o odstraňovanie existujúcich prekážok;</w:t>
      </w:r>
    </w:p>
    <w:p w14:paraId="13A396EC" w14:textId="77777777" w:rsidR="003913F6" w:rsidRPr="00896D28" w:rsidRDefault="003913F6" w:rsidP="003913F6">
      <w:pPr>
        <w:pStyle w:val="Normal12Hanging"/>
      </w:pPr>
      <w:r w:rsidRPr="00896D28">
        <w:t>54.</w:t>
      </w:r>
      <w:r w:rsidRPr="00896D28">
        <w:tab/>
        <w:t xml:space="preserve">uznáva, že sú potrebné </w:t>
      </w:r>
      <w:proofErr w:type="spellStart"/>
      <w:r w:rsidRPr="00896D28">
        <w:t>participatívne</w:t>
      </w:r>
      <w:proofErr w:type="spellEnd"/>
      <w:r w:rsidRPr="00896D28">
        <w:t xml:space="preserve"> metódy riadenia kultúrneho dedičstva založené na prístupe, ktorý sa sústreďuje na miestne komunity, aby sa zachytil dopyt a angažovali sa väčšie skupiny verejnosti, a to s osobitným prihliadnutím na mladých ľudí, ľudí so zdravotným postihnutím a nedostatočne zastúpené a marginalizované skupiny;</w:t>
      </w:r>
    </w:p>
    <w:p w14:paraId="05E1A5EB" w14:textId="77777777" w:rsidR="003913F6" w:rsidRPr="00896D28" w:rsidRDefault="003913F6" w:rsidP="003913F6">
      <w:pPr>
        <w:pStyle w:val="Normal12Hanging"/>
      </w:pPr>
      <w:r w:rsidRPr="00896D28">
        <w:t>55.</w:t>
      </w:r>
      <w:r w:rsidRPr="00896D28">
        <w:tab/>
        <w:t>vyzýva členské štáty a od nich ich závislé kultúrne inštitúcie na zabezpečenie toho, aby kultúrna ponuka bol dostupná pre každého, a na prijatie konkrétnych opatrení zameraných na určité skupiny obyvateľstva, ako sú okrem iných deti a mladí ľudia, staršie osoby, ľudia so zdravotným postihnutím alebo migranti;</w:t>
      </w:r>
    </w:p>
    <w:p w14:paraId="3CA6D51B" w14:textId="77777777" w:rsidR="003913F6" w:rsidRPr="00896D28" w:rsidRDefault="003913F6" w:rsidP="003913F6">
      <w:pPr>
        <w:pStyle w:val="Normal12Hanging"/>
      </w:pPr>
      <w:r w:rsidRPr="00896D28">
        <w:t>56.</w:t>
      </w:r>
      <w:r w:rsidRPr="00896D28">
        <w:tab/>
        <w:t xml:space="preserve">zdôrazňuje, že je potrebné, aby členské štáty viac investovali do zavádzania univerzálneho dotykového kódu na čítanie a písanie (Braillovo písmo) v širokej škále infraštruktúr a technológií v oblasti kultúry; požaduje väčšie investície do produkcie </w:t>
      </w:r>
      <w:proofErr w:type="spellStart"/>
      <w:r w:rsidRPr="00896D28">
        <w:t>audiokníh</w:t>
      </w:r>
      <w:proofErr w:type="spellEnd"/>
      <w:r w:rsidRPr="00896D28">
        <w:t>, časopisov a novín a do používania posunkovej reči v divadelnej produkcii;</w:t>
      </w:r>
    </w:p>
    <w:p w14:paraId="674A3124" w14:textId="77777777" w:rsidR="003913F6" w:rsidRPr="00896D28" w:rsidRDefault="003913F6" w:rsidP="003913F6">
      <w:pPr>
        <w:pStyle w:val="Normal12Hanging"/>
      </w:pPr>
      <w:r w:rsidRPr="00896D28">
        <w:t>57.</w:t>
      </w:r>
      <w:r w:rsidRPr="00896D28">
        <w:tab/>
        <w:t>poukazuje na potrebu odstrániť prekážky mobility umelcov a odborníkov v oblasti kultúry, najmä daňové prekážky; zdôrazňuje vplyv týchto činností na rozšírenie kultúrnej ponuky v Európe; oceňuje program Kreatívna Európa, ktorý prispieva k úspešnosti kultúrnej a profesijnej mobility v sektore a nabáda na šírenie kvalitných kultúrnych podujatí a projektov;</w:t>
      </w:r>
    </w:p>
    <w:p w14:paraId="244C2518" w14:textId="77777777" w:rsidR="003913F6" w:rsidRPr="00896D28" w:rsidRDefault="003913F6" w:rsidP="003913F6">
      <w:pPr>
        <w:pStyle w:val="Normal12Hanging"/>
      </w:pPr>
      <w:r w:rsidRPr="00896D28">
        <w:t>58.</w:t>
      </w:r>
      <w:r w:rsidRPr="00896D28">
        <w:tab/>
        <w:t>pripomína, že prekážky v prístupe ku kultúre sú viditeľnejšie na miestnej úrovni, a práve preto by sa malo viac investovať do rôznych projektov kultúrnej mobility s cieľom umožniť rozvoj a súdržnosť miestnych komunít;</w:t>
      </w:r>
    </w:p>
    <w:p w14:paraId="1837DC98" w14:textId="77777777" w:rsidR="003913F6" w:rsidRPr="00896D28" w:rsidRDefault="003913F6" w:rsidP="003913F6">
      <w:pPr>
        <w:pStyle w:val="Normal12Hanging"/>
      </w:pPr>
      <w:r w:rsidRPr="00896D28">
        <w:t>59.</w:t>
      </w:r>
      <w:r w:rsidRPr="00896D28">
        <w:tab/>
        <w:t>vyzýva Komisiu, aby mobilitu európskych umelcov a umelcov z tretín krajín považovala za prínos pri podpore mieru, výmene vízií a rúcaní sociálnych a kultúrnych stereotypov;</w:t>
      </w:r>
    </w:p>
    <w:p w14:paraId="321662A6" w14:textId="77777777" w:rsidR="003913F6" w:rsidRPr="00896D28" w:rsidRDefault="003913F6" w:rsidP="003913F6">
      <w:pPr>
        <w:pStyle w:val="Normal12Hanging"/>
      </w:pPr>
      <w:r w:rsidRPr="00896D28">
        <w:t>60.</w:t>
      </w:r>
      <w:r w:rsidRPr="00896D28">
        <w:tab/>
        <w:t>pripomína, že jazykové prekážky môžu mať nepriaznivý účinok na dopyt po kultúre, a preto požaduje, aby sa v rámci kultúrnej produkcie zvýšila viacjazyčnosť;</w:t>
      </w:r>
    </w:p>
    <w:p w14:paraId="1FD35352" w14:textId="77777777" w:rsidR="003913F6" w:rsidRPr="00896D28" w:rsidRDefault="003913F6" w:rsidP="003913F6">
      <w:pPr>
        <w:pStyle w:val="Normal12Hanging"/>
      </w:pPr>
      <w:r w:rsidRPr="00896D28">
        <w:t>61.</w:t>
      </w:r>
      <w:r w:rsidRPr="00896D28">
        <w:tab/>
        <w:t>odporúča, aby členské štáty prijali potrebné opatrenia na uľahčenie dopravy a prístupu do kultúrnych inštitúcií pre ľudí so zdravotným postihnutím a ľudí so zníženou pohyblivosťou;</w:t>
      </w:r>
    </w:p>
    <w:p w14:paraId="0930428A" w14:textId="77777777" w:rsidR="003913F6" w:rsidRPr="00896D28" w:rsidRDefault="003913F6" w:rsidP="003913F6">
      <w:pPr>
        <w:widowControl/>
        <w:spacing w:after="160" w:line="276" w:lineRule="auto"/>
        <w:jc w:val="both"/>
        <w:rPr>
          <w:rFonts w:eastAsia="Calibri"/>
          <w:b/>
          <w:i/>
          <w:szCs w:val="24"/>
        </w:rPr>
      </w:pPr>
      <w:r w:rsidRPr="00896D28">
        <w:rPr>
          <w:b/>
          <w:i/>
          <w:szCs w:val="24"/>
        </w:rPr>
        <w:t>Digitálne prekážky a výzvy</w:t>
      </w:r>
    </w:p>
    <w:p w14:paraId="1B756221" w14:textId="2C062686" w:rsidR="003913F6" w:rsidRPr="00896D28" w:rsidRDefault="003913F6" w:rsidP="008D4CF2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 w:after="240"/>
        <w:ind w:left="567" w:hanging="567"/>
        <w:rPr>
          <w:rFonts w:cs="Calibri"/>
          <w:szCs w:val="24"/>
        </w:rPr>
      </w:pPr>
      <w:r w:rsidRPr="00896D28">
        <w:t>62.</w:t>
      </w:r>
      <w:r w:rsidRPr="00896D28">
        <w:tab/>
        <w:t xml:space="preserve">je presvedčený, že ak sa digitálne nástroje použijú a uplatňujú správne a ak sa doplnia </w:t>
      </w:r>
      <w:r w:rsidRPr="00896D28">
        <w:lastRenderedPageBreak/>
        <w:t>jednotnou úrovňou digitálnej gramotnosti, môžu pomôcť prekonávať prekážky prístupu ku kultúre v dôsledku takých faktorov ako nepriaznivá geografická poloha, zdravotné postihnutie, sociálny pôvod, jazyk a nedostatok času alebo finančných prostriedkov; pripomína, že digitálne nástroje môžu byť aj prostriedkom na prekonanie sociálnych alebo duševných prekážok, pričom to neznamená, že možno prestať investovať do geografickej decentralizácie kultúrnych činností; domnieva sa preto, že digitálne vzdelávanie by v tejto súvislosti malo byť súčasťou procesu vzdelávania od raného veku tak, aby sa mohli rozvinúť primerané znalosti a zručnosti;</w:t>
      </w:r>
    </w:p>
    <w:p w14:paraId="01425619" w14:textId="77777777" w:rsidR="003913F6" w:rsidRPr="00896D28" w:rsidRDefault="003913F6" w:rsidP="003913F6">
      <w:pPr>
        <w:pStyle w:val="Normal12Hanging"/>
      </w:pPr>
      <w:r w:rsidRPr="00896D28">
        <w:t>63.</w:t>
      </w:r>
      <w:r w:rsidRPr="00896D28">
        <w:tab/>
        <w:t>odporúča, aby Komisia vypracovala jednotnú digitálnu stratégiu zameranú na kultúrne infraštruktúry a podujatia s cieľom posilniť ich kapacity;</w:t>
      </w:r>
    </w:p>
    <w:p w14:paraId="68EDA2D8" w14:textId="77777777" w:rsidR="003913F6" w:rsidRPr="00896D28" w:rsidRDefault="003913F6" w:rsidP="003913F6">
      <w:pPr>
        <w:pStyle w:val="Normal12Hanging"/>
      </w:pPr>
      <w:r w:rsidRPr="00896D28">
        <w:t>64.</w:t>
      </w:r>
      <w:r w:rsidRPr="00896D28">
        <w:tab/>
        <w:t>berie na vedomie problém digitálneho vylúčenia a zdôrazňuje potrebu boja proti nemu; v tejto súvislosti pripomína, že digitalizácia vyžaduje od kultúrnych a vzdelávacích inštitúcií, ako aj od samotných príjemcov, aby nadobúdali nové spôsobilosti, zručnosti a znalosti; zdôrazňuje najmä potrebu vytvárania kapacít na používanie nových digitálnych technológií v kultúrnych inštitúciách a potrebu ich prispôsobenia výzvam, ktoré prinášajú technologické zmeny;</w:t>
      </w:r>
    </w:p>
    <w:p w14:paraId="7F8D2749" w14:textId="0300B69A" w:rsidR="003913F6" w:rsidRPr="00896D28" w:rsidRDefault="003913F6" w:rsidP="003913F6">
      <w:pPr>
        <w:pStyle w:val="Normal12Hanging"/>
      </w:pPr>
      <w:r w:rsidRPr="00896D28">
        <w:t>65.</w:t>
      </w:r>
      <w:r w:rsidRPr="00896D28">
        <w:tab/>
        <w:t>zdôrazňuje, že digitalizácia a sprístupňovanie kultúrnych materiálov na internete v Európe by sa mali vykonávať na základe úplného dodržiavania práv tvorcov a práv duševného vlastníctva; v tejto súvislosti sa domnieva, že práva duševného vlastníctva by nemali brániť v dosahovaní všeobecného verejného cieľa, ktorým je zlepšenie prístupu ku kreatívnemu obsahu, informáciám a poznatkom a podpora ich šírenia; okrem iného trvá na tom, že je naliehavo potrebné ustáliť bezpečné digitálne prostredie pre umelcov a tvorcov tak, aby boli náležite odmeňovaní za svoju prácu a zaistilo sa spravodlivé odmeňovanie za cezhraničný prístup;</w:t>
      </w:r>
    </w:p>
    <w:p w14:paraId="6529199F" w14:textId="77777777" w:rsidR="003913F6" w:rsidRPr="00896D28" w:rsidRDefault="003913F6" w:rsidP="003913F6">
      <w:pPr>
        <w:pStyle w:val="Normal12Hanging"/>
        <w:rPr>
          <w:rFonts w:eastAsia="Calibri"/>
          <w:szCs w:val="24"/>
        </w:rPr>
      </w:pPr>
      <w:r w:rsidRPr="00896D28">
        <w:t>66.</w:t>
      </w:r>
      <w:r w:rsidRPr="00896D28">
        <w:tab/>
        <w:t>vyzýva Komisiu, aby naďalej uprednostňovala inovatívne prístupy k rozvoju publika a angažovanosti divákov, a to aj prostredníctvom nových technológií, v rámci programov EÚ, najmä programu Tvorivá Európa a jeho nástupcov;</w:t>
      </w:r>
    </w:p>
    <w:p w14:paraId="74C8DD92" w14:textId="77777777" w:rsidR="003913F6" w:rsidRPr="00896D28" w:rsidRDefault="003913F6" w:rsidP="003913F6">
      <w:pPr>
        <w:pStyle w:val="Normal12Hanging"/>
      </w:pPr>
      <w:r w:rsidRPr="00896D28">
        <w:t>67.</w:t>
      </w:r>
      <w:r w:rsidRPr="00896D28">
        <w:tab/>
        <w:t>vyzýva členské štáty, aby pri vypracúvaní kultúrnych a digitálnych stratégií brali do úvahy vývoj publika a podporovali používanie digitálnych technológií s cieľom uľahčovať prístup ku kultúrnemu obsahu;</w:t>
      </w:r>
    </w:p>
    <w:p w14:paraId="58E9310F" w14:textId="77777777" w:rsidR="003913F6" w:rsidRPr="00896D28" w:rsidRDefault="003913F6" w:rsidP="003913F6">
      <w:pPr>
        <w:pStyle w:val="Normal12Hanging"/>
      </w:pPr>
      <w:r w:rsidRPr="00896D28">
        <w:t>68.</w:t>
      </w:r>
      <w:r w:rsidRPr="00896D28">
        <w:tab/>
        <w:t xml:space="preserve">uznáva prínos platformy </w:t>
      </w:r>
      <w:proofErr w:type="spellStart"/>
      <w:r w:rsidRPr="00896D28">
        <w:t>Europeana</w:t>
      </w:r>
      <w:proofErr w:type="spellEnd"/>
      <w:r w:rsidRPr="00896D28">
        <w:t xml:space="preserve"> a inštitúcií členských štátov k digitalizácii a prístupnosti kultúrneho obsahu; v súvislosti s Európskym rokom kultúrneho dedičstva vyzýva na nepretržitú podporu projektu a lepšie zabezpečenie zdrojov naň a na propagovanie prístupu verejnosti k digitálnym zdrojom a službám kultúrneho dedičstva; požaduje skutočnú reštrukturalizáciu webového sídla s cieľom zabezpečiť lepší súlad s pokročilými technológiami, ako aj skutočnú komunikačnú politiku, ktorá by zodpovedala bohatosti obsahu zhromažďovaného na tomto webovom sídle;</w:t>
      </w:r>
    </w:p>
    <w:p w14:paraId="050BF295" w14:textId="77777777" w:rsidR="003913F6" w:rsidRPr="00896D28" w:rsidRDefault="003913F6" w:rsidP="003913F6">
      <w:pPr>
        <w:pStyle w:val="Normal12Hanging"/>
      </w:pPr>
      <w:r w:rsidRPr="00896D28">
        <w:t>69.</w:t>
      </w:r>
      <w:r w:rsidRPr="00896D28">
        <w:tab/>
        <w:t>zdôrazňuje potrebu zhromažďovať a riadiť kultúrne údaje v kontexte digitálnych príjemcov tak, aby kultúrne organizácie mohli lepšie chápať potreby príjemcov a vypracovať súvislý obsah pre digitálne publikum;</w:t>
      </w:r>
    </w:p>
    <w:p w14:paraId="3665E159" w14:textId="77777777" w:rsidR="003913F6" w:rsidRPr="00896D28" w:rsidRDefault="003913F6" w:rsidP="003913F6">
      <w:pPr>
        <w:pStyle w:val="Normal12Hanging"/>
      </w:pPr>
      <w:r w:rsidRPr="00896D28">
        <w:t>70.</w:t>
      </w:r>
      <w:r w:rsidRPr="00896D28">
        <w:tab/>
        <w:t>konštatuje, že digitálny obsah zohráva rozhodujúcu úlohu pri prijímaní príslušných nových technológií širšou verejnosťou a pri rozvíjaní elektronických zručností a mediálnej gramotnosti občanov Európy;</w:t>
      </w:r>
    </w:p>
    <w:p w14:paraId="7D82D50A" w14:textId="77777777" w:rsidR="003913F6" w:rsidRPr="00896D28" w:rsidRDefault="003913F6" w:rsidP="003913F6">
      <w:pPr>
        <w:pStyle w:val="Normal12Hanging"/>
        <w:jc w:val="center"/>
      </w:pPr>
      <w:r w:rsidRPr="00896D28">
        <w:lastRenderedPageBreak/>
        <w:t>o</w:t>
      </w:r>
    </w:p>
    <w:p w14:paraId="1F33EC4D" w14:textId="77777777" w:rsidR="003913F6" w:rsidRPr="00896D28" w:rsidRDefault="003913F6" w:rsidP="003913F6">
      <w:pPr>
        <w:pStyle w:val="Normal12Hanging"/>
        <w:jc w:val="center"/>
      </w:pPr>
      <w:r w:rsidRPr="00896D28">
        <w:t>o</w:t>
      </w:r>
      <w:r w:rsidRPr="00896D28">
        <w:tab/>
      </w:r>
      <w:proofErr w:type="spellStart"/>
      <w:r w:rsidRPr="00896D28">
        <w:t>o</w:t>
      </w:r>
      <w:proofErr w:type="spellEnd"/>
    </w:p>
    <w:p w14:paraId="25FD0FA1" w14:textId="4D69F634" w:rsidR="003913F6" w:rsidRPr="00896D28" w:rsidRDefault="003913F6" w:rsidP="003913F6">
      <w:pPr>
        <w:pStyle w:val="Normal12Hanging"/>
      </w:pPr>
      <w:r w:rsidRPr="00896D28">
        <w:t>71.</w:t>
      </w:r>
      <w:r w:rsidRPr="00896D28">
        <w:tab/>
        <w:t>poveruje svojho predsedu, aby postúpil toto uznesenie Rade a Komisii.</w:t>
      </w:r>
    </w:p>
    <w:p w14:paraId="784D5C2A" w14:textId="77777777" w:rsidR="003913F6" w:rsidRPr="00896D28" w:rsidRDefault="003913F6" w:rsidP="003913F6"/>
    <w:p w14:paraId="4AD5BECE" w14:textId="77777777" w:rsidR="00E365E1" w:rsidRPr="00896D28" w:rsidRDefault="00E365E1" w:rsidP="003913F6">
      <w:bookmarkStart w:id="10" w:name="TextBodyEnd"/>
      <w:bookmarkEnd w:id="10"/>
    </w:p>
    <w:sectPr w:rsidR="00E365E1" w:rsidRPr="00896D28" w:rsidSect="00501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0E1B" w14:textId="77777777" w:rsidR="0054665C" w:rsidRPr="00501A6F" w:rsidRDefault="0054665C">
      <w:r w:rsidRPr="00501A6F">
        <w:separator/>
      </w:r>
    </w:p>
  </w:endnote>
  <w:endnote w:type="continuationSeparator" w:id="0">
    <w:p w14:paraId="453ECC87" w14:textId="77777777" w:rsidR="0054665C" w:rsidRPr="00501A6F" w:rsidRDefault="0054665C">
      <w:r w:rsidRPr="00501A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719B" w14:textId="77777777" w:rsidR="00501A6F" w:rsidRPr="00501A6F" w:rsidRDefault="00501A6F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B868" w14:textId="77777777" w:rsidR="00501A6F" w:rsidRPr="00501A6F" w:rsidRDefault="00501A6F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337E" w14:textId="77777777" w:rsidR="00501A6F" w:rsidRPr="00501A6F" w:rsidRDefault="00501A6F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6B07" w14:textId="77777777" w:rsidR="0054665C" w:rsidRPr="00501A6F" w:rsidRDefault="0054665C">
      <w:r w:rsidRPr="00501A6F">
        <w:separator/>
      </w:r>
    </w:p>
  </w:footnote>
  <w:footnote w:type="continuationSeparator" w:id="0">
    <w:p w14:paraId="48A1CAA9" w14:textId="77777777" w:rsidR="0054665C" w:rsidRPr="00501A6F" w:rsidRDefault="0054665C">
      <w:r w:rsidRPr="00501A6F">
        <w:continuationSeparator/>
      </w:r>
    </w:p>
  </w:footnote>
  <w:footnote w:id="1">
    <w:p w14:paraId="20669CBA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377 E, 7.12.2012, s. 142.</w:t>
      </w:r>
    </w:p>
  </w:footnote>
  <w:footnote w:id="2">
    <w:p w14:paraId="1B975048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93, 9.3.2016, s. 95.</w:t>
      </w:r>
    </w:p>
  </w:footnote>
  <w:footnote w:id="3">
    <w:p w14:paraId="16EFA34A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Prijaté texty, P8_TA(2016)0486.</w:t>
      </w:r>
    </w:p>
  </w:footnote>
  <w:footnote w:id="4">
    <w:p w14:paraId="02580C27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247 E, 15.10.2009, s. 25.</w:t>
      </w:r>
    </w:p>
  </w:footnote>
  <w:footnote w:id="5">
    <w:p w14:paraId="06D6E579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125 E, 22.5.2008, s. 223.</w:t>
      </w:r>
    </w:p>
  </w:footnote>
  <w:footnote w:id="6">
    <w:p w14:paraId="7D2E1A5D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 v. EÚ C 377 E, 7.12.2012, s. 135.</w:t>
      </w:r>
    </w:p>
  </w:footnote>
  <w:footnote w:id="7">
    <w:p w14:paraId="6CB65696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Pr="00501A6F">
        <w:rPr>
          <w:sz w:val="24"/>
          <w:lang w:val="sk-SK"/>
        </w:rPr>
        <w:t>Ú. v. EÚ C 98 E, 23.4.2004, s. 179.</w:t>
      </w:r>
    </w:p>
  </w:footnote>
  <w:footnote w:id="8">
    <w:p w14:paraId="2A24B04E" w14:textId="3F424E62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="00873924">
        <w:rPr>
          <w:sz w:val="24"/>
          <w:lang w:val="sk-SK"/>
        </w:rPr>
        <w:t>Ú. v. EÚ C 11, 12.1.2018, s. </w:t>
      </w:r>
      <w:r w:rsidR="00793660">
        <w:rPr>
          <w:sz w:val="24"/>
          <w:lang w:val="sk-SK"/>
        </w:rPr>
        <w:t>55</w:t>
      </w:r>
      <w:r w:rsidRPr="00501A6F">
        <w:rPr>
          <w:sz w:val="24"/>
          <w:lang w:val="sk-SK"/>
        </w:rPr>
        <w:t>.</w:t>
      </w:r>
    </w:p>
  </w:footnote>
  <w:footnote w:id="9">
    <w:p w14:paraId="5C8C64E5" w14:textId="5C83F36D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="00873924">
        <w:rPr>
          <w:sz w:val="24"/>
          <w:lang w:val="sk-SK"/>
        </w:rPr>
        <w:t>Ú. v. EÚ C 316, 22.9.2017, s. </w:t>
      </w:r>
      <w:r w:rsidR="00793660">
        <w:rPr>
          <w:sz w:val="24"/>
          <w:lang w:val="sk-SK"/>
        </w:rPr>
        <w:t>88</w:t>
      </w:r>
      <w:r w:rsidRPr="00501A6F">
        <w:rPr>
          <w:sz w:val="24"/>
          <w:lang w:val="sk-SK"/>
        </w:rPr>
        <w:t>.</w:t>
      </w:r>
    </w:p>
  </w:footnote>
  <w:footnote w:id="10">
    <w:p w14:paraId="110786C0" w14:textId="4D1E87D2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="00793660">
        <w:rPr>
          <w:color w:val="000000"/>
          <w:sz w:val="24"/>
          <w:lang w:val="sk-SK"/>
        </w:rPr>
        <w:t>Ú. v. E</w:t>
      </w:r>
      <w:r w:rsidR="00873924">
        <w:rPr>
          <w:color w:val="000000"/>
          <w:sz w:val="24"/>
          <w:lang w:val="sk-SK"/>
        </w:rPr>
        <w:t>Ú C 11, 12.1.2018, s. </w:t>
      </w:r>
      <w:r w:rsidR="00793660">
        <w:rPr>
          <w:color w:val="000000"/>
          <w:sz w:val="24"/>
          <w:lang w:val="sk-SK"/>
        </w:rPr>
        <w:t>16</w:t>
      </w:r>
      <w:r w:rsidRPr="00501A6F">
        <w:rPr>
          <w:color w:val="000000"/>
          <w:sz w:val="24"/>
          <w:lang w:val="sk-SK"/>
        </w:rPr>
        <w:t>.</w:t>
      </w:r>
    </w:p>
  </w:footnote>
  <w:footnote w:id="11">
    <w:p w14:paraId="68C93A41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247 E, 15.10.2009, s. 32.</w:t>
      </w:r>
    </w:p>
  </w:footnote>
  <w:footnote w:id="12">
    <w:p w14:paraId="5B45E33C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Pr="00501A6F">
        <w:rPr>
          <w:sz w:val="24"/>
          <w:lang w:val="sk-SK"/>
        </w:rPr>
        <w:t>Prijaté texty, P8_TA(2017)0233.</w:t>
      </w:r>
    </w:p>
  </w:footnote>
  <w:footnote w:id="13">
    <w:p w14:paraId="514BFFAD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81 E, 15.3.2011, s. 16.</w:t>
      </w:r>
    </w:p>
  </w:footnote>
  <w:footnote w:id="14">
    <w:p w14:paraId="6B9C77EC" w14:textId="274D5A5C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="00E55ADC">
        <w:rPr>
          <w:sz w:val="24"/>
          <w:lang w:val="sk-SK"/>
        </w:rPr>
        <w:t>Ú. v. EÚ C 131 E, 8.5.2013, s. 9</w:t>
      </w:r>
      <w:r w:rsidRPr="00501A6F">
        <w:rPr>
          <w:sz w:val="24"/>
          <w:lang w:val="sk-SK"/>
        </w:rPr>
        <w:t>.</w:t>
      </w:r>
    </w:p>
  </w:footnote>
  <w:footnote w:id="15">
    <w:p w14:paraId="6CB17E09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Pr="00501A6F">
        <w:rPr>
          <w:sz w:val="24"/>
          <w:lang w:val="sk-SK"/>
        </w:rPr>
        <w:t>Prijaté texty, P8_TA(2017)0474.</w:t>
      </w:r>
    </w:p>
  </w:footnote>
  <w:footnote w:id="16">
    <w:p w14:paraId="703D0F49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Pr="00501A6F">
        <w:rPr>
          <w:sz w:val="24"/>
          <w:lang w:val="sk-SK"/>
        </w:rPr>
        <w:t>Prijaté texty, P8_TA(2017)0062.</w:t>
      </w:r>
    </w:p>
  </w:footnote>
  <w:footnote w:id="17">
    <w:p w14:paraId="718052A3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L 347, 20.12.2013, s. 221.</w:t>
      </w:r>
    </w:p>
  </w:footnote>
  <w:footnote w:id="18">
    <w:p w14:paraId="15B4F619" w14:textId="5C38563D" w:rsidR="00A2021C" w:rsidRPr="008C1E55" w:rsidRDefault="00A2021C" w:rsidP="008C1E55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8C1E55">
        <w:rPr>
          <w:lang w:val="sk-SK"/>
        </w:rPr>
        <w:t xml:space="preserve"> </w:t>
      </w:r>
      <w:r>
        <w:rPr>
          <w:lang w:val="sk-SK"/>
        </w:rPr>
        <w:tab/>
      </w:r>
      <w:r w:rsidRPr="008C1E55">
        <w:rPr>
          <w:sz w:val="24"/>
          <w:szCs w:val="24"/>
          <w:lang w:val="sk-SK"/>
        </w:rPr>
        <w:t>Ú. v. EÚ C 287, 29.11.2007, s. 1</w:t>
      </w:r>
      <w:r>
        <w:rPr>
          <w:sz w:val="24"/>
          <w:szCs w:val="24"/>
          <w:lang w:val="sk-SK"/>
        </w:rPr>
        <w:t>.</w:t>
      </w:r>
    </w:p>
  </w:footnote>
  <w:footnote w:id="19">
    <w:p w14:paraId="62EF1F70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color w:val="000000"/>
          <w:sz w:val="24"/>
          <w:lang w:val="sk-SK"/>
        </w:rPr>
        <w:t xml:space="preserve"> </w:t>
      </w:r>
      <w:r w:rsidR="00501A6F" w:rsidRPr="00501A6F">
        <w:rPr>
          <w:color w:val="000000"/>
          <w:sz w:val="24"/>
          <w:lang w:val="sk-SK"/>
        </w:rPr>
        <w:tab/>
      </w:r>
      <w:r w:rsidRPr="00501A6F">
        <w:rPr>
          <w:color w:val="000000"/>
          <w:sz w:val="24"/>
          <w:lang w:val="sk-SK"/>
        </w:rPr>
        <w:t>Ú. v. EÚ C 463, 23.12.2014, s. 4.</w:t>
      </w:r>
    </w:p>
  </w:footnote>
  <w:footnote w:id="20">
    <w:p w14:paraId="1D62D215" w14:textId="19D2B2DB" w:rsidR="008909B4" w:rsidRPr="008C1E55" w:rsidRDefault="008909B4" w:rsidP="008C1E55">
      <w:pPr>
        <w:pStyle w:val="FootnoteText"/>
        <w:ind w:left="567" w:hanging="567"/>
        <w:rPr>
          <w:sz w:val="24"/>
          <w:szCs w:val="24"/>
          <w:lang w:val="sk-SK"/>
        </w:rPr>
      </w:pPr>
      <w:r>
        <w:rPr>
          <w:rStyle w:val="FootnoteReference"/>
        </w:rPr>
        <w:footnoteRef/>
      </w:r>
      <w:r w:rsidRPr="008C1E55">
        <w:rPr>
          <w:lang w:val="es-ES_tradnl"/>
        </w:rPr>
        <w:t xml:space="preserve"> </w:t>
      </w:r>
      <w:r>
        <w:rPr>
          <w:lang w:val="sk-SK"/>
        </w:rPr>
        <w:tab/>
      </w:r>
      <w:r w:rsidRPr="008C1E55">
        <w:rPr>
          <w:sz w:val="24"/>
          <w:szCs w:val="24"/>
          <w:lang w:val="sk-SK"/>
        </w:rPr>
        <w:t>Ú. v. EÚ C 172, 27.5.2015, s. 13.</w:t>
      </w:r>
    </w:p>
  </w:footnote>
  <w:footnote w:id="21">
    <w:p w14:paraId="23A1AB53" w14:textId="01A82F1B" w:rsidR="004D6EB4" w:rsidRPr="008C1E55" w:rsidRDefault="004D6EB4" w:rsidP="008C1E55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8C1E55">
        <w:rPr>
          <w:lang w:val="sk-SK"/>
        </w:rPr>
        <w:t xml:space="preserve"> </w:t>
      </w:r>
      <w:r w:rsidRPr="008C1E55">
        <w:rPr>
          <w:lang w:val="sk-SK"/>
        </w:rPr>
        <w:tab/>
      </w:r>
      <w:r>
        <w:rPr>
          <w:sz w:val="24"/>
          <w:szCs w:val="24"/>
          <w:lang w:val="sk-SK"/>
        </w:rPr>
        <w:t>Ú. v. EÚ C 212</w:t>
      </w:r>
      <w:r w:rsidRPr="003D3106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14.6.2016, s. 9</w:t>
      </w:r>
      <w:r w:rsidRPr="003D3106">
        <w:rPr>
          <w:sz w:val="24"/>
          <w:szCs w:val="24"/>
          <w:lang w:val="sk-SK"/>
        </w:rPr>
        <w:t>.</w:t>
      </w:r>
    </w:p>
  </w:footnote>
  <w:footnote w:id="22">
    <w:p w14:paraId="688C1C50" w14:textId="1AAEA314" w:rsidR="00E60C78" w:rsidRPr="008C1E55" w:rsidRDefault="00E60C78" w:rsidP="008C1E55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8C1E55">
        <w:rPr>
          <w:lang w:val="sk-SK"/>
        </w:rPr>
        <w:t xml:space="preserve"> </w:t>
      </w:r>
      <w:r>
        <w:rPr>
          <w:lang w:val="sk-SK"/>
        </w:rPr>
        <w:tab/>
      </w:r>
      <w:r w:rsidRPr="003D3106">
        <w:rPr>
          <w:sz w:val="24"/>
          <w:szCs w:val="24"/>
          <w:lang w:val="sk-SK"/>
        </w:rPr>
        <w:t>Ú. v. EÚ C 1</w:t>
      </w:r>
      <w:r>
        <w:rPr>
          <w:sz w:val="24"/>
          <w:szCs w:val="24"/>
          <w:lang w:val="sk-SK"/>
        </w:rPr>
        <w:t>34</w:t>
      </w:r>
      <w:r w:rsidRPr="003D3106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7.6.2003, s. 7</w:t>
      </w:r>
      <w:r w:rsidRPr="003D3106">
        <w:rPr>
          <w:sz w:val="24"/>
          <w:szCs w:val="24"/>
          <w:lang w:val="sk-SK"/>
        </w:rPr>
        <w:t>.</w:t>
      </w:r>
    </w:p>
  </w:footnote>
  <w:footnote w:id="23">
    <w:p w14:paraId="2CA52FB0" w14:textId="4547FC91" w:rsidR="00A8323D" w:rsidRPr="00B77DC3" w:rsidRDefault="00A8323D" w:rsidP="00B77DC3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B77DC3">
        <w:rPr>
          <w:lang w:val="es-ES_tradnl"/>
        </w:rPr>
        <w:t xml:space="preserve"> </w:t>
      </w:r>
      <w:r>
        <w:rPr>
          <w:lang w:val="sk-SK"/>
        </w:rPr>
        <w:tab/>
      </w:r>
      <w:r w:rsidRPr="00501A6F">
        <w:rPr>
          <w:sz w:val="24"/>
          <w:lang w:val="sk-SK"/>
        </w:rPr>
        <w:t>Ú. v. EÚ L 394, 30.12.2006, s. 10.</w:t>
      </w:r>
    </w:p>
  </w:footnote>
  <w:footnote w:id="24">
    <w:p w14:paraId="376491BF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r w:rsidRPr="00501A6F">
        <w:rPr>
          <w:sz w:val="24"/>
          <w:lang w:val="sk-SK"/>
        </w:rPr>
        <w:t>Správa s názvom Politiky a osvedčené postupy verejných umeleckých a kultúrnych inštitúcií na účely podpory lepšieho prístupu ku kultúre a väčšej účasti na nej, október 2012.</w:t>
      </w:r>
    </w:p>
  </w:footnote>
  <w:footnote w:id="25">
    <w:p w14:paraId="283811B2" w14:textId="0C0DB742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proofErr w:type="spellStart"/>
      <w:r w:rsidRPr="00501A6F">
        <w:rPr>
          <w:sz w:val="24"/>
          <w:lang w:val="sk-SK"/>
        </w:rPr>
        <w:t>Eurostat</w:t>
      </w:r>
      <w:proofErr w:type="spellEnd"/>
      <w:r w:rsidRPr="00501A6F">
        <w:rPr>
          <w:sz w:val="24"/>
          <w:lang w:val="sk-SK"/>
        </w:rPr>
        <w:t xml:space="preserve">: Štatistiky kultúry – zamestnanosť v kultúre (2017), </w:t>
      </w:r>
      <w:hyperlink r:id="rId1" w:history="1">
        <w:r w:rsidRPr="00916342">
          <w:rPr>
            <w:rStyle w:val="Hyperlink"/>
            <w:sz w:val="24"/>
            <w:lang w:val="sk-SK"/>
          </w:rPr>
          <w:t>http://ec.europa.eu/eurostat/statistics-explained/index.php/Culture_statistics_-_cultural_employment</w:t>
        </w:r>
      </w:hyperlink>
    </w:p>
  </w:footnote>
  <w:footnote w:id="26">
    <w:p w14:paraId="0A0BB42E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proofErr w:type="spellStart"/>
      <w:r w:rsidRPr="00501A6F">
        <w:rPr>
          <w:sz w:val="24"/>
          <w:lang w:val="sk-SK"/>
        </w:rPr>
        <w:t>Eurobarometer</w:t>
      </w:r>
      <w:proofErr w:type="spellEnd"/>
      <w:r w:rsidRPr="00501A6F">
        <w:rPr>
          <w:sz w:val="24"/>
          <w:lang w:val="sk-SK"/>
        </w:rPr>
        <w:t xml:space="preserve"> č. 399.</w:t>
      </w:r>
    </w:p>
  </w:footnote>
  <w:footnote w:id="27">
    <w:p w14:paraId="7E0C0C5E" w14:textId="77777777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proofErr w:type="spellStart"/>
      <w:r w:rsidRPr="00501A6F">
        <w:rPr>
          <w:sz w:val="24"/>
          <w:lang w:val="sk-SK"/>
        </w:rPr>
        <w:t>Eurostat</w:t>
      </w:r>
      <w:proofErr w:type="spellEnd"/>
      <w:r w:rsidRPr="00501A6F">
        <w:rPr>
          <w:sz w:val="24"/>
          <w:lang w:val="sk-SK"/>
        </w:rPr>
        <w:t xml:space="preserve">, Štatistiky kultúry, vydanie 2016, s. 116 – 136; Údaje </w:t>
      </w:r>
      <w:proofErr w:type="spellStart"/>
      <w:r w:rsidRPr="00501A6F">
        <w:rPr>
          <w:sz w:val="24"/>
          <w:lang w:val="sk-SK"/>
        </w:rPr>
        <w:t>Eurostatu</w:t>
      </w:r>
      <w:proofErr w:type="spellEnd"/>
      <w:r w:rsidRPr="00501A6F">
        <w:rPr>
          <w:sz w:val="24"/>
          <w:lang w:val="sk-SK"/>
        </w:rPr>
        <w:t xml:space="preserve"> z roku 2015 – Prieskum EÚ o príjmoch a životných podmienkach (EU-SILC).</w:t>
      </w:r>
    </w:p>
  </w:footnote>
  <w:footnote w:id="28">
    <w:p w14:paraId="2F43732D" w14:textId="2737F93E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proofErr w:type="spellStart"/>
      <w:r w:rsidRPr="00501A6F">
        <w:rPr>
          <w:sz w:val="24"/>
          <w:lang w:val="sk-SK"/>
        </w:rPr>
        <w:t>Eurobarometer</w:t>
      </w:r>
      <w:proofErr w:type="spellEnd"/>
      <w:r w:rsidRPr="00501A6F">
        <w:rPr>
          <w:sz w:val="24"/>
          <w:lang w:val="sk-SK"/>
        </w:rPr>
        <w:t xml:space="preserve"> č. 399, </w:t>
      </w:r>
      <w:proofErr w:type="spellStart"/>
      <w:r w:rsidRPr="00501A6F">
        <w:rPr>
          <w:sz w:val="24"/>
          <w:lang w:val="sk-SK"/>
        </w:rPr>
        <w:t>Eurostat</w:t>
      </w:r>
      <w:proofErr w:type="spellEnd"/>
      <w:r w:rsidRPr="00501A6F">
        <w:rPr>
          <w:sz w:val="24"/>
          <w:lang w:val="sk-SK"/>
        </w:rPr>
        <w:t xml:space="preserve"> </w:t>
      </w:r>
      <w:r w:rsidR="00505C3B">
        <w:rPr>
          <w:sz w:val="24"/>
          <w:lang w:val="sk-SK"/>
        </w:rPr>
        <w:t>(</w:t>
      </w:r>
      <w:r w:rsidRPr="00501A6F">
        <w:rPr>
          <w:sz w:val="24"/>
          <w:lang w:val="sk-SK"/>
        </w:rPr>
        <w:t>údaje z roku 2015 – Prieskum EÚ o príjmoch a životných podmienkach (EU-SILC)</w:t>
      </w:r>
      <w:r w:rsidR="00505C3B">
        <w:rPr>
          <w:sz w:val="24"/>
          <w:lang w:val="sk-SK"/>
        </w:rPr>
        <w:t>)</w:t>
      </w:r>
      <w:r w:rsidRPr="00501A6F">
        <w:rPr>
          <w:sz w:val="24"/>
          <w:lang w:val="sk-SK"/>
        </w:rPr>
        <w:t>.</w:t>
      </w:r>
    </w:p>
  </w:footnote>
  <w:footnote w:id="29">
    <w:p w14:paraId="49A65718" w14:textId="2BB898C0" w:rsidR="003913F6" w:rsidRPr="00501A6F" w:rsidRDefault="003913F6" w:rsidP="00501A6F">
      <w:pPr>
        <w:pStyle w:val="FootnoteText"/>
        <w:ind w:left="567" w:hanging="567"/>
        <w:rPr>
          <w:sz w:val="24"/>
          <w:lang w:val="sk-SK"/>
        </w:rPr>
      </w:pPr>
      <w:r w:rsidRPr="00501A6F">
        <w:rPr>
          <w:rStyle w:val="FootnoteReference"/>
          <w:sz w:val="24"/>
          <w:lang w:val="sk-SK"/>
        </w:rPr>
        <w:footnoteRef/>
      </w:r>
      <w:r w:rsidR="00501A6F" w:rsidRPr="00501A6F">
        <w:rPr>
          <w:sz w:val="24"/>
          <w:lang w:val="sk-SK"/>
        </w:rPr>
        <w:t xml:space="preserve"> </w:t>
      </w:r>
      <w:r w:rsidR="00501A6F" w:rsidRPr="00501A6F">
        <w:rPr>
          <w:sz w:val="24"/>
          <w:lang w:val="sk-SK"/>
        </w:rPr>
        <w:tab/>
      </w:r>
      <w:proofErr w:type="spellStart"/>
      <w:r w:rsidRPr="00501A6F">
        <w:rPr>
          <w:sz w:val="24"/>
          <w:lang w:val="sk-SK"/>
        </w:rPr>
        <w:t>Eurostat</w:t>
      </w:r>
      <w:proofErr w:type="spellEnd"/>
      <w:r w:rsidRPr="00501A6F">
        <w:rPr>
          <w:sz w:val="24"/>
          <w:lang w:val="sk-SK"/>
        </w:rPr>
        <w:t xml:space="preserve"> </w:t>
      </w:r>
      <w:r w:rsidR="00505C3B">
        <w:rPr>
          <w:sz w:val="24"/>
          <w:lang w:val="sk-SK"/>
        </w:rPr>
        <w:t>(</w:t>
      </w:r>
      <w:r w:rsidRPr="00501A6F">
        <w:rPr>
          <w:sz w:val="24"/>
          <w:lang w:val="sk-SK"/>
        </w:rPr>
        <w:t>údaje z roku 2015 – Prieskum EÚ o príjmoch a životných podmienkach (EU-SILC)</w:t>
      </w:r>
      <w:r w:rsidR="00505C3B">
        <w:rPr>
          <w:sz w:val="24"/>
          <w:lang w:val="sk-SK"/>
        </w:rPr>
        <w:t>)</w:t>
      </w:r>
      <w:r w:rsidRPr="00501A6F">
        <w:rPr>
          <w:sz w:val="24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1668" w14:textId="77777777" w:rsidR="00501A6F" w:rsidRPr="00501A6F" w:rsidRDefault="00501A6F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EC89" w14:textId="77777777" w:rsidR="00501A6F" w:rsidRPr="00501A6F" w:rsidRDefault="00501A6F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9BD5" w14:textId="77777777" w:rsidR="00501A6F" w:rsidRPr="00501A6F" w:rsidRDefault="00501A6F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69/2018"/>
    <w:docVar w:name="dvlangue" w:val="SK"/>
    <w:docVar w:name="dvnumam" w:val="0"/>
    <w:docVar w:name="dvpe" w:val="615.438"/>
    <w:docVar w:name="dvrapporteur" w:val="Spravodajca: "/>
    <w:docVar w:name="dvtitre" w:val="Uznesenie Európskeho parlamentu z xx. júna 2018 o štrukturálnych a finančných prekážkach v prístupe ku kultúre(2017/2255(INI))"/>
  </w:docVars>
  <w:rsids>
    <w:rsidRoot w:val="0054665C"/>
    <w:rsid w:val="00002272"/>
    <w:rsid w:val="000677B9"/>
    <w:rsid w:val="000B45DE"/>
    <w:rsid w:val="000D1181"/>
    <w:rsid w:val="000E7DD9"/>
    <w:rsid w:val="0010095E"/>
    <w:rsid w:val="00125B37"/>
    <w:rsid w:val="001C0831"/>
    <w:rsid w:val="00222A1F"/>
    <w:rsid w:val="00265550"/>
    <w:rsid w:val="002767FF"/>
    <w:rsid w:val="002865F7"/>
    <w:rsid w:val="002B5493"/>
    <w:rsid w:val="003231C2"/>
    <w:rsid w:val="00361C00"/>
    <w:rsid w:val="003913F6"/>
    <w:rsid w:val="00395FA1"/>
    <w:rsid w:val="003E15D4"/>
    <w:rsid w:val="00411CCE"/>
    <w:rsid w:val="0041666E"/>
    <w:rsid w:val="00421060"/>
    <w:rsid w:val="00490EC1"/>
    <w:rsid w:val="00494A28"/>
    <w:rsid w:val="004D6EB4"/>
    <w:rsid w:val="004F4D45"/>
    <w:rsid w:val="00501A6F"/>
    <w:rsid w:val="0050519A"/>
    <w:rsid w:val="00505C3B"/>
    <w:rsid w:val="005072A1"/>
    <w:rsid w:val="00514517"/>
    <w:rsid w:val="0054665C"/>
    <w:rsid w:val="006037C0"/>
    <w:rsid w:val="00665070"/>
    <w:rsid w:val="00680577"/>
    <w:rsid w:val="0068274D"/>
    <w:rsid w:val="006F74FA"/>
    <w:rsid w:val="00731ADD"/>
    <w:rsid w:val="00734777"/>
    <w:rsid w:val="00751A4A"/>
    <w:rsid w:val="00756632"/>
    <w:rsid w:val="00770EC9"/>
    <w:rsid w:val="00793660"/>
    <w:rsid w:val="007B0CA3"/>
    <w:rsid w:val="007D1690"/>
    <w:rsid w:val="0081229F"/>
    <w:rsid w:val="00824943"/>
    <w:rsid w:val="00865F67"/>
    <w:rsid w:val="00873924"/>
    <w:rsid w:val="00881A7B"/>
    <w:rsid w:val="008840E5"/>
    <w:rsid w:val="008909B4"/>
    <w:rsid w:val="00896D28"/>
    <w:rsid w:val="008A1B69"/>
    <w:rsid w:val="008C1E55"/>
    <w:rsid w:val="008C2AC6"/>
    <w:rsid w:val="008D4CF2"/>
    <w:rsid w:val="00916342"/>
    <w:rsid w:val="009509D8"/>
    <w:rsid w:val="00981893"/>
    <w:rsid w:val="0099611C"/>
    <w:rsid w:val="00A17016"/>
    <w:rsid w:val="00A2021C"/>
    <w:rsid w:val="00A4678D"/>
    <w:rsid w:val="00A8323D"/>
    <w:rsid w:val="00AF3B82"/>
    <w:rsid w:val="00B01E0A"/>
    <w:rsid w:val="00B558F0"/>
    <w:rsid w:val="00B77DC3"/>
    <w:rsid w:val="00BD0848"/>
    <w:rsid w:val="00BD7BD8"/>
    <w:rsid w:val="00BE3718"/>
    <w:rsid w:val="00C05BFE"/>
    <w:rsid w:val="00C23CD4"/>
    <w:rsid w:val="00C941CB"/>
    <w:rsid w:val="00CC2357"/>
    <w:rsid w:val="00D058B8"/>
    <w:rsid w:val="00D834A0"/>
    <w:rsid w:val="00D91E21"/>
    <w:rsid w:val="00E365E1"/>
    <w:rsid w:val="00E55ADC"/>
    <w:rsid w:val="00E60C78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83DD"/>
  <w15:chartTrackingRefBased/>
  <w15:docId w15:val="{3FBB81CF-3E6B-4669-A867-990908F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3913F6"/>
    <w:rPr>
      <w:sz w:val="24"/>
      <w:lang w:val="sk-S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SupBoldItalic">
    <w:name w:val="SupBoldItalic"/>
    <w:rsid w:val="003913F6"/>
    <w:rPr>
      <w:b/>
      <w:i/>
      <w:color w:val="000000"/>
      <w:vertAlign w:val="superscript"/>
    </w:rPr>
  </w:style>
  <w:style w:type="character" w:customStyle="1" w:styleId="Sup">
    <w:name w:val="Sup"/>
    <w:rsid w:val="003913F6"/>
    <w:rPr>
      <w:color w:val="000000"/>
      <w:vertAlign w:val="superscript"/>
    </w:rPr>
  </w:style>
  <w:style w:type="character" w:styleId="CommentReference">
    <w:name w:val="annotation reference"/>
    <w:basedOn w:val="DefaultParagraphFont"/>
    <w:rsid w:val="008A1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B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1B69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8A1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B69"/>
    <w:rPr>
      <w:b/>
      <w:bCs/>
      <w:lang w:val="sk-SK"/>
    </w:rPr>
  </w:style>
  <w:style w:type="paragraph" w:styleId="Revision">
    <w:name w:val="Revision"/>
    <w:hidden/>
    <w:uiPriority w:val="99"/>
    <w:semiHidden/>
    <w:rsid w:val="008A1B69"/>
    <w:rPr>
      <w:sz w:val="24"/>
      <w:lang w:val="sk-SK"/>
    </w:rPr>
  </w:style>
  <w:style w:type="paragraph" w:styleId="BalloonText">
    <w:name w:val="Balloon Text"/>
    <w:basedOn w:val="Normal"/>
    <w:link w:val="BalloonTextChar"/>
    <w:rsid w:val="008A1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1B69"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rsid w:val="00916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statistics-explained/index.php/Culture_statistics_-_cultural_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0723-63F4-4342-850B-5421B4A6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5151</Words>
  <Characters>31338</Characters>
  <Application>Microsoft Office Word</Application>
  <DocSecurity>0</DocSecurity>
  <Lines>261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SOLTYSOVA ZUZANA</dc:creator>
  <cp:keywords/>
  <cp:lastModifiedBy>SOLTYSOVA Zuzana</cp:lastModifiedBy>
  <cp:revision>2</cp:revision>
  <cp:lastPrinted>2018-06-14T11:05:00Z</cp:lastPrinted>
  <dcterms:created xsi:type="dcterms:W3CDTF">2018-11-21T16:15:00Z</dcterms:created>
  <dcterms:modified xsi:type="dcterms:W3CDTF">2018-11-21T16:15:00Z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P8_TA-PROV(2018)0262_A8-0169_2018_</vt:lpwstr>
  </property>
  <property fmtid="{D5CDD505-2E9C-101B-9397-08002B2CF9AE}" pid="4" name="&lt;Type&gt;">
    <vt:lpwstr>RR</vt:lpwstr>
  </property>
</Properties>
</file>