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0618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06181" w:rsidRDefault="00BF3187" w:rsidP="0010095E">
            <w:pPr>
              <w:pStyle w:val="EPName"/>
              <w:rPr>
                <w:lang w:val="bg-BG"/>
              </w:rPr>
            </w:pPr>
            <w:r w:rsidRPr="00606181">
              <w:rPr>
                <w:lang w:val="bg-BG"/>
              </w:rPr>
              <w:t>Европейски</w:t>
            </w:r>
            <w:r w:rsidR="00AE64DD" w:rsidRPr="00606181">
              <w:rPr>
                <w:lang w:val="bg-BG"/>
              </w:rPr>
              <w:t xml:space="preserve"> парламент</w:t>
            </w:r>
          </w:p>
          <w:p w:rsidR="00751A4A" w:rsidRPr="00606181" w:rsidRDefault="00756632" w:rsidP="00BF318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606181">
              <w:rPr>
                <w:lang w:val="bg-BG"/>
              </w:rPr>
              <w:t>2014</w:t>
            </w:r>
            <w:r w:rsidR="00BF3187" w:rsidRPr="00606181">
              <w:rPr>
                <w:lang w:val="bg-BG"/>
              </w:rPr>
              <w:t>—</w:t>
            </w:r>
            <w:r w:rsidR="00C941CB" w:rsidRPr="00606181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606181" w:rsidRDefault="00B57521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606181" w:rsidRDefault="00D058B8" w:rsidP="00D058B8">
      <w:pPr>
        <w:pStyle w:val="LineTop"/>
        <w:rPr>
          <w:lang w:val="bg-BG"/>
        </w:rPr>
      </w:pPr>
    </w:p>
    <w:p w:rsidR="00680577" w:rsidRPr="00606181" w:rsidRDefault="00AE64DD" w:rsidP="00680577">
      <w:pPr>
        <w:pStyle w:val="ZSessionDoc"/>
        <w:rPr>
          <w:b/>
          <w:i w:val="0"/>
        </w:rPr>
      </w:pPr>
      <w:r w:rsidRPr="00606181">
        <w:rPr>
          <w:b/>
          <w:i w:val="0"/>
        </w:rPr>
        <w:t>ПРИЕТИ ТЕКСТОВЕ</w:t>
      </w:r>
    </w:p>
    <w:p w:rsidR="00D058B8" w:rsidRPr="00606181" w:rsidRDefault="00D058B8" w:rsidP="00D058B8">
      <w:pPr>
        <w:pStyle w:val="LineBottom"/>
      </w:pPr>
    </w:p>
    <w:p w:rsidR="00AE64DD" w:rsidRPr="00606181" w:rsidRDefault="00B57521" w:rsidP="00AE64DD">
      <w:pPr>
        <w:pStyle w:val="ATHeading1"/>
        <w:rPr>
          <w:noProof w:val="0"/>
          <w:lang w:val="bg-BG"/>
        </w:rPr>
      </w:pPr>
      <w:bookmarkStart w:id="0" w:name="TANumber"/>
      <w:r>
        <w:rPr>
          <w:noProof w:val="0"/>
          <w:lang w:val="bg-BG"/>
        </w:rPr>
        <w:t>P8_TA</w:t>
      </w:r>
      <w:bookmarkStart w:id="1" w:name="_GoBack"/>
      <w:bookmarkEnd w:id="1"/>
      <w:r w:rsidR="00AE64DD" w:rsidRPr="00606181">
        <w:rPr>
          <w:noProof w:val="0"/>
          <w:lang w:val="bg-BG"/>
        </w:rPr>
        <w:t>(2018)0</w:t>
      </w:r>
      <w:r w:rsidR="002C2FEB" w:rsidRPr="00606181">
        <w:rPr>
          <w:noProof w:val="0"/>
          <w:lang w:val="bg-BG"/>
        </w:rPr>
        <w:t>290</w:t>
      </w:r>
      <w:bookmarkEnd w:id="0"/>
    </w:p>
    <w:p w:rsidR="00AE64DD" w:rsidRPr="00606181" w:rsidRDefault="00AE64DD" w:rsidP="00AE64DD">
      <w:pPr>
        <w:pStyle w:val="ATHeading2"/>
        <w:rPr>
          <w:noProof w:val="0"/>
          <w:lang w:val="bg-BG"/>
        </w:rPr>
      </w:pPr>
      <w:bookmarkStart w:id="2" w:name="title"/>
      <w:r w:rsidRPr="00606181">
        <w:rPr>
          <w:noProof w:val="0"/>
          <w:lang w:val="bg-BG"/>
        </w:rPr>
        <w:t>Проект на коригиращ бюджет № 2/2018: вписване на излишъка от 2017 финансова година</w:t>
      </w:r>
      <w:bookmarkEnd w:id="2"/>
      <w:r w:rsidRPr="00606181">
        <w:rPr>
          <w:noProof w:val="0"/>
          <w:lang w:val="bg-BG"/>
        </w:rPr>
        <w:t xml:space="preserve"> </w:t>
      </w:r>
      <w:bookmarkStart w:id="3" w:name="Etoiles"/>
      <w:bookmarkEnd w:id="3"/>
    </w:p>
    <w:p w:rsidR="00AE64DD" w:rsidRPr="00606181" w:rsidRDefault="00AE64DD" w:rsidP="00AE64DD">
      <w:pPr>
        <w:rPr>
          <w:i/>
          <w:vanish/>
        </w:rPr>
      </w:pPr>
      <w:r w:rsidRPr="00606181">
        <w:rPr>
          <w:i/>
        </w:rPr>
        <w:fldChar w:fldCharType="begin"/>
      </w:r>
      <w:r w:rsidRPr="00606181">
        <w:rPr>
          <w:i/>
        </w:rPr>
        <w:instrText xml:space="preserve"> TC"(</w:instrText>
      </w:r>
      <w:bookmarkStart w:id="4" w:name="DocNumber"/>
      <w:r w:rsidRPr="00606181">
        <w:rPr>
          <w:i/>
        </w:rPr>
        <w:instrText>A8-0209/2018</w:instrText>
      </w:r>
      <w:bookmarkEnd w:id="4"/>
      <w:r w:rsidRPr="00606181">
        <w:rPr>
          <w:i/>
        </w:rPr>
        <w:instrText xml:space="preserve"> - Докладчик: Зигфрид Мурешан)"\l3 \n&gt; \* MERGEFORMAT </w:instrText>
      </w:r>
      <w:r w:rsidRPr="00606181">
        <w:rPr>
          <w:i/>
        </w:rPr>
        <w:fldChar w:fldCharType="end"/>
      </w:r>
    </w:p>
    <w:p w:rsidR="00AE64DD" w:rsidRPr="00606181" w:rsidRDefault="00AE64DD" w:rsidP="00AE64DD">
      <w:pPr>
        <w:rPr>
          <w:vanish/>
        </w:rPr>
      </w:pPr>
      <w:bookmarkStart w:id="5" w:name="Commission"/>
      <w:r w:rsidRPr="00606181">
        <w:rPr>
          <w:vanish/>
        </w:rPr>
        <w:t>Комисия по бюджети</w:t>
      </w:r>
      <w:bookmarkEnd w:id="5"/>
    </w:p>
    <w:p w:rsidR="00AE64DD" w:rsidRPr="00606181" w:rsidRDefault="00AE64DD" w:rsidP="00AE64DD">
      <w:pPr>
        <w:rPr>
          <w:vanish/>
        </w:rPr>
      </w:pPr>
      <w:bookmarkStart w:id="6" w:name="PE"/>
      <w:r w:rsidRPr="00606181">
        <w:rPr>
          <w:vanish/>
        </w:rPr>
        <w:t>PE622.073</w:t>
      </w:r>
      <w:bookmarkEnd w:id="6"/>
    </w:p>
    <w:p w:rsidR="00AE64DD" w:rsidRPr="00606181" w:rsidRDefault="00AE64DD" w:rsidP="00AE64DD">
      <w:pPr>
        <w:pStyle w:val="ATHeading3"/>
        <w:rPr>
          <w:noProof w:val="0"/>
          <w:lang w:val="bg-BG"/>
        </w:rPr>
      </w:pPr>
      <w:bookmarkStart w:id="7" w:name="Sujet"/>
      <w:r w:rsidRPr="00606181">
        <w:rPr>
          <w:noProof w:val="0"/>
          <w:lang w:val="bg-BG"/>
        </w:rPr>
        <w:t xml:space="preserve">Резолюция на Европейския парламент от </w:t>
      </w:r>
      <w:r w:rsidR="00BF3187" w:rsidRPr="00606181">
        <w:rPr>
          <w:noProof w:val="0"/>
          <w:lang w:val="bg-BG"/>
        </w:rPr>
        <w:t>4 юли</w:t>
      </w:r>
      <w:r w:rsidRPr="00606181">
        <w:rPr>
          <w:noProof w:val="0"/>
          <w:lang w:val="bg-BG"/>
        </w:rPr>
        <w:t xml:space="preserve"> 2018 г. относно позицията на Съвета относно проект на коригиращ бюджет № 2/2018 на Европейския съюз за финансовата 2018 година: вписване на излишъка от финансовата 2017 година</w:t>
      </w:r>
      <w:bookmarkEnd w:id="7"/>
      <w:r w:rsidRPr="00606181">
        <w:rPr>
          <w:noProof w:val="0"/>
          <w:lang w:val="bg-BG"/>
        </w:rPr>
        <w:t xml:space="preserve"> </w:t>
      </w:r>
      <w:bookmarkStart w:id="8" w:name="References"/>
      <w:r w:rsidRPr="00606181">
        <w:rPr>
          <w:noProof w:val="0"/>
          <w:lang w:val="bg-BG"/>
        </w:rPr>
        <w:t>(09325/2018 – C8-0277/2018 – 2018/2057(BUD))</w:t>
      </w:r>
      <w:bookmarkEnd w:id="8"/>
    </w:p>
    <w:p w:rsidR="00AE64DD" w:rsidRPr="00606181" w:rsidRDefault="00AE64DD" w:rsidP="00AE64DD"/>
    <w:p w:rsidR="004F1E29" w:rsidRPr="00606181" w:rsidRDefault="004F1E29" w:rsidP="004F1E29">
      <w:pPr>
        <w:pStyle w:val="Normal12"/>
      </w:pPr>
      <w:bookmarkStart w:id="9" w:name="TextBodyBegin"/>
      <w:bookmarkEnd w:id="9"/>
      <w:r w:rsidRPr="00606181">
        <w:rPr>
          <w:i/>
        </w:rPr>
        <w:t>Европейският парламент</w:t>
      </w:r>
      <w:r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="004F1E29" w:rsidRPr="00606181">
        <w:tab/>
        <w:t>като взе предвид член 314 от Договора за функционирането на Европейския съюз,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>като взе предвид член 106а от Договора за създаване на Европейската общност за атомна енергия,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 xml:space="preserve">като взе предвид Регламент (ЕС, Eвратом) № 966/2012 на Европейския парламент и на Съвета от 25 октомври 2012 г. относно финансовите правила, приложими за общия бюджет на Съюза, и за отмяна на Регламент (ЕО, </w:t>
      </w:r>
      <w:proofErr w:type="spellStart"/>
      <w:r w:rsidR="004F1E29" w:rsidRPr="00606181">
        <w:t>Евратом</w:t>
      </w:r>
      <w:proofErr w:type="spellEnd"/>
      <w:r w:rsidR="004F1E29" w:rsidRPr="00606181">
        <w:t>) № 1605/2002 на Съвета</w:t>
      </w:r>
      <w:r w:rsidR="004F1E29" w:rsidRPr="00606181">
        <w:rPr>
          <w:vertAlign w:val="superscript"/>
        </w:rPr>
        <w:footnoteReference w:id="1"/>
      </w:r>
      <w:r w:rsidR="004F1E29" w:rsidRPr="00606181">
        <w:t>, и по-специално член 18, параграф 3 и член 41 от него,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>като взе предвид общия бюджет на Европейския съюз за финансовата 2018 година, приет окончателно на 30 ноември 2017 г.</w:t>
      </w:r>
      <w:r w:rsidR="004F1E29" w:rsidRPr="00606181">
        <w:rPr>
          <w:vertAlign w:val="superscript"/>
        </w:rPr>
        <w:footnoteReference w:id="2"/>
      </w:r>
      <w:r w:rsidR="004F1E29"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 xml:space="preserve">като взе предвид Регламент (EC, </w:t>
      </w:r>
      <w:proofErr w:type="spellStart"/>
      <w:r w:rsidR="004F1E29" w:rsidRPr="00606181">
        <w:t>Евратом</w:t>
      </w:r>
      <w:proofErr w:type="spellEnd"/>
      <w:r w:rsidR="004F1E29" w:rsidRPr="00606181">
        <w:t>) № 1311/2013 на Съвета от 2 декември 2013 г. за определяне на многогодишната финансова рамка за годините 2014</w:t>
      </w:r>
      <w:r w:rsidR="00DB0956" w:rsidRPr="00606181">
        <w:t>—</w:t>
      </w:r>
      <w:r w:rsidR="004F1E29" w:rsidRPr="00606181">
        <w:t>2020</w:t>
      </w:r>
      <w:r w:rsidR="004F1E29" w:rsidRPr="00606181">
        <w:rPr>
          <w:vertAlign w:val="superscript"/>
        </w:rPr>
        <w:footnoteReference w:id="3"/>
      </w:r>
      <w:r w:rsidR="004F1E29"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 xml:space="preserve">като взе предвид Междуинституционалното споразумение от 2 декември 2013 г. между Европейския парламент, Съвета и Комисията относно бюджетната дисциплина, сътрудничеството по бюджетни въпроси и доброто финансово </w:t>
      </w:r>
      <w:r w:rsidR="004F1E29" w:rsidRPr="00606181">
        <w:lastRenderedPageBreak/>
        <w:t>управление</w:t>
      </w:r>
      <w:r w:rsidR="004F1E29" w:rsidRPr="00606181">
        <w:rPr>
          <w:vertAlign w:val="superscript"/>
        </w:rPr>
        <w:footnoteReference w:id="4"/>
      </w:r>
      <w:r w:rsidR="004F1E29"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 xml:space="preserve">като взе предвид Решение 2014/335/ЕС, </w:t>
      </w:r>
      <w:proofErr w:type="spellStart"/>
      <w:r w:rsidR="004F1E29" w:rsidRPr="00606181">
        <w:t>Евратом</w:t>
      </w:r>
      <w:proofErr w:type="spellEnd"/>
      <w:r w:rsidR="004F1E29" w:rsidRPr="00606181">
        <w:t xml:space="preserve"> на Съвета от 26 май 2014 г. относно системата на собствените ресурси на Европейския съюз</w:t>
      </w:r>
      <w:r w:rsidR="004F1E29" w:rsidRPr="00606181">
        <w:rPr>
          <w:vertAlign w:val="superscript"/>
        </w:rPr>
        <w:footnoteReference w:id="5"/>
      </w:r>
      <w:r w:rsidR="004F1E29"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>като взе предвид проект на коригиращ бюджет № 2/2018, приет от Комисията на 13 април 2018 г. (COM(2018)0227),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>като взе предвид позицията относно проект на коригиращ бюджет № 2/2018, приета от Съвета на 18 юни 2018 г. и предадена на Парламента на 19 юни 2018 г. (09325/2018 – C8</w:t>
      </w:r>
      <w:r w:rsidR="004F1E29" w:rsidRPr="00606181">
        <w:noBreakHyphen/>
        <w:t>0277/2018),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 xml:space="preserve">като взе предвид членове 88 и 91 от своя </w:t>
      </w:r>
      <w:r w:rsidRPr="00606181">
        <w:t>П</w:t>
      </w:r>
      <w:r w:rsidR="004F1E29" w:rsidRPr="00606181">
        <w:t>равилник</w:t>
      </w:r>
      <w:r w:rsidRPr="00606181">
        <w:t xml:space="preserve"> за дейността</w:t>
      </w:r>
      <w:r w:rsidR="004F1E29" w:rsidRPr="00606181">
        <w:t>,</w:t>
      </w:r>
    </w:p>
    <w:p w:rsidR="004F1E29" w:rsidRPr="00606181" w:rsidRDefault="00BF3187" w:rsidP="004F1E29">
      <w:pPr>
        <w:spacing w:after="240"/>
        <w:ind w:left="567" w:hanging="567"/>
      </w:pPr>
      <w:r w:rsidRPr="00606181">
        <w:t>—</w:t>
      </w:r>
      <w:r w:rsidRPr="00606181">
        <w:tab/>
      </w:r>
      <w:r w:rsidR="004F1E29" w:rsidRPr="00606181">
        <w:t>като взе предвид доклада на комисията по бюджети (A8-0209/2018),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А.</w:t>
      </w:r>
      <w:r w:rsidRPr="00606181">
        <w:tab/>
        <w:t>като има предвид, че проект на коригиращ бюджет № 2/2018 цели вписването в бюджета за 2018 г. на излишъка от финансовата 2017 година, възлизащ на 555,5 милиона евро;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Б.</w:t>
      </w:r>
      <w:r w:rsidRPr="00606181">
        <w:tab/>
        <w:t>като има предвид, че основните елементи на този излишък са положителния резултат на приходите в размер на 338,6 милиона евро, икономията на разходи в размер на 383,4 милиона евро и положителното салдо от разликите в обменния курс в размер на 166,4 милиона евро;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В.</w:t>
      </w:r>
      <w:r w:rsidRPr="00606181">
        <w:tab/>
        <w:t>като има предвид, че в приходната част най-съществената по размер разлика се дължи на по-големи от очакваното приходи от лихви за забавени плащания и глоби (342,6 милиона евро);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Г.</w:t>
      </w:r>
      <w:r w:rsidRPr="00606181">
        <w:tab/>
        <w:t xml:space="preserve">като има предвид, че в разходната част неусвоените от Комисията бюджетни кредити за плащания </w:t>
      </w:r>
      <w:r w:rsidR="009D7BF1" w:rsidRPr="00606181">
        <w:t>достигнаха</w:t>
      </w:r>
      <w:r w:rsidRPr="00606181">
        <w:t xml:space="preserve"> 201,5 милиона евро за 2017 г. (от които 99,3 милиона евро от резерва за спешна помощ) и на 53,5 милиона евро преноси от 2016 г., а неусвоените от другите институции средства </w:t>
      </w:r>
      <w:r w:rsidR="009D7BF1" w:rsidRPr="00606181">
        <w:t>достигнаха</w:t>
      </w:r>
      <w:r w:rsidRPr="00606181">
        <w:t xml:space="preserve"> 82,6 милиона евро за 2017 г. и 45,7 милиона евро преноси от 2016 г.);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1.</w:t>
      </w:r>
      <w:r w:rsidRPr="00606181">
        <w:tab/>
        <w:t xml:space="preserve">отбелязва представения от Комисията проект на коригиращ бюджет № 2/2018, чието единствено предназначение е вписването в бюджета на излишъка от 2017 г. в размер на 555,5 милиона евро, в съответствие с член 18 от </w:t>
      </w:r>
      <w:r w:rsidR="00BF3187" w:rsidRPr="00606181">
        <w:t>Р</w:t>
      </w:r>
      <w:r w:rsidRPr="00606181">
        <w:t>егламент</w:t>
      </w:r>
      <w:r w:rsidR="00BF3187" w:rsidRPr="00606181">
        <w:t xml:space="preserve"> (ЕС, </w:t>
      </w:r>
      <w:proofErr w:type="spellStart"/>
      <w:r w:rsidR="00BF3187" w:rsidRPr="00606181">
        <w:t>Евратом</w:t>
      </w:r>
      <w:proofErr w:type="spellEnd"/>
      <w:r w:rsidR="00BF3187" w:rsidRPr="00606181">
        <w:t>) №</w:t>
      </w:r>
      <w:r w:rsidR="005107AF" w:rsidRPr="00606181">
        <w:t> 966/2012</w:t>
      </w:r>
      <w:r w:rsidRPr="00606181">
        <w:t>, и позицията на Съвета по него;</w:t>
      </w:r>
    </w:p>
    <w:p w:rsidR="004F1E29" w:rsidRPr="00606181" w:rsidRDefault="004F1E29" w:rsidP="00DB0956">
      <w:pPr>
        <w:spacing w:after="240"/>
        <w:ind w:left="567" w:hanging="567"/>
      </w:pPr>
      <w:r w:rsidRPr="00606181">
        <w:t>2.</w:t>
      </w:r>
      <w:r w:rsidRPr="00606181">
        <w:tab/>
        <w:t xml:space="preserve">припомня, че ниската степен на </w:t>
      </w:r>
      <w:proofErr w:type="spellStart"/>
      <w:r w:rsidRPr="00606181">
        <w:t>неусвояване</w:t>
      </w:r>
      <w:proofErr w:type="spellEnd"/>
      <w:r w:rsidRPr="00606181">
        <w:t xml:space="preserve"> на бюджетните кредити за плащания в края на </w:t>
      </w:r>
      <w:r w:rsidR="005107AF" w:rsidRPr="00606181">
        <w:t xml:space="preserve">2017 </w:t>
      </w:r>
      <w:r w:rsidRPr="00606181">
        <w:t>г</w:t>
      </w:r>
      <w:r w:rsidR="009D7BF1" w:rsidRPr="00606181">
        <w:t>.</w:t>
      </w:r>
      <w:r w:rsidRPr="00606181">
        <w:t xml:space="preserve"> се </w:t>
      </w:r>
      <w:r w:rsidR="005107AF" w:rsidRPr="00606181">
        <w:t xml:space="preserve">е </w:t>
      </w:r>
      <w:r w:rsidRPr="00606181">
        <w:t>дълж</w:t>
      </w:r>
      <w:r w:rsidR="005107AF" w:rsidRPr="00606181">
        <w:t>ало</w:t>
      </w:r>
      <w:r w:rsidRPr="00606181">
        <w:t xml:space="preserve"> единствено на приемането на коригиращ бюджет № 6/2017, с който бюджетните кредити за плащания бяха намалени със 7 719,7 милиона евро поради извънредно голяма забава на изпълнението, особено по </w:t>
      </w:r>
      <w:proofErr w:type="spellStart"/>
      <w:r w:rsidRPr="00606181">
        <w:t>подфункция</w:t>
      </w:r>
      <w:proofErr w:type="spellEnd"/>
      <w:r w:rsidRPr="00606181">
        <w:t xml:space="preserve"> 1б „Икономическо, социално и териториално сближаване“; припомня освен това, че коригиращите бюджети през </w:t>
      </w:r>
      <w:r w:rsidR="005107AF" w:rsidRPr="00606181">
        <w:t>2017</w:t>
      </w:r>
      <w:r w:rsidRPr="00606181">
        <w:t xml:space="preserve"> г</w:t>
      </w:r>
      <w:r w:rsidR="009D7BF1" w:rsidRPr="00606181">
        <w:t>.</w:t>
      </w:r>
      <w:r w:rsidRPr="00606181">
        <w:t xml:space="preserve">, дори когато значително увеличаваха бюджетните кредити за поети задължения (например 1 166,8 милиона евро по фонд „Солидарност“ на ЕС за Италия, 500 милиона евро за инициативата за младежка заетост, 275 милиона евро за Европейския фонд за </w:t>
      </w:r>
      <w:r w:rsidRPr="00606181">
        <w:lastRenderedPageBreak/>
        <w:t>устойчиво развитие) бяха финансирани изцяло чрез преразпределяне на неусвоени бюджетни кредити за плащания; изразява съжаление, че забава в изпълнението и неточни прогнози на държавите членки се наблюдават и през 2018 г.;</w:t>
      </w:r>
    </w:p>
    <w:p w:rsidR="004F1E29" w:rsidRPr="00606181" w:rsidRDefault="004F1E29" w:rsidP="002C2FEB">
      <w:pPr>
        <w:spacing w:after="240"/>
        <w:ind w:left="567" w:hanging="567"/>
      </w:pPr>
      <w:r w:rsidRPr="00606181">
        <w:t>3.</w:t>
      </w:r>
      <w:r w:rsidRPr="00606181">
        <w:tab/>
        <w:t>отбелязва още веднъж относително високото равнище на глобите в областта на конкуренцията през 2017 г., в размер общо на 3,273 милиарда евро; счита, че в допълнение към излишъците, произтичащи от непълно усвояване, следва да има възможност приходите от глоби и приходите, свързани с просрочени плащания, да се използват отново в бюджета на Съюза без съответно намаление на вноските на база брутен национален доход (БНД); припомня своето предложение за създаването на специален резерв в бюджета на Съюза, който постепенно да се захранва от различните видове непредвидени други приходи и надлежно да се пренася с цел да се осигурят допълнителни средства за разходи, когато възникне необходимост;</w:t>
      </w:r>
    </w:p>
    <w:p w:rsidR="004F1E29" w:rsidRPr="00606181" w:rsidRDefault="004F1E29" w:rsidP="00DB0956">
      <w:pPr>
        <w:pStyle w:val="Normal12Hanging"/>
        <w:rPr>
          <w:szCs w:val="24"/>
        </w:rPr>
      </w:pPr>
      <w:r w:rsidRPr="00606181">
        <w:t>4.</w:t>
      </w:r>
      <w:r w:rsidRPr="00606181">
        <w:tab/>
        <w:t>счита освен това, че предвид спешната потребност от бързи действия в отговор на предизвикателството, което поставя миграцията, и като се отчете забавата в удължаването на срока на действие на Механизма за бежанците в Турция, излишъкът от 2017 г., възлизащ на 555,5 милиона евро, би могъл да бъде отлично решение за финансирането на вноската на Съюза в този инструмент за 2018 г., без да се натоварва до краен предел бюджетът на Съюза;</w:t>
      </w:r>
    </w:p>
    <w:p w:rsidR="004F1E29" w:rsidRPr="00606181" w:rsidRDefault="004F1E29">
      <w:pPr>
        <w:spacing w:after="240"/>
        <w:ind w:left="567" w:hanging="567"/>
      </w:pPr>
      <w:r w:rsidRPr="00606181">
        <w:t>5.</w:t>
      </w:r>
      <w:r w:rsidRPr="00606181">
        <w:tab/>
        <w:t>одобрява позицията на Съвета относно проект на коригиращ бюджет № 2/2018;</w:t>
      </w:r>
    </w:p>
    <w:p w:rsidR="004F1E29" w:rsidRPr="00606181" w:rsidRDefault="004F1E29">
      <w:pPr>
        <w:spacing w:after="240"/>
        <w:ind w:left="567" w:hanging="567"/>
      </w:pPr>
      <w:r w:rsidRPr="00606181">
        <w:t>6.</w:t>
      </w:r>
      <w:r w:rsidRPr="00606181">
        <w:tab/>
        <w:t xml:space="preserve">възлага на своя председател да обяви, че коригиращ бюджет № 2/2018 е окончателно приет, както и да осигури неговото публикуване в </w:t>
      </w:r>
      <w:r w:rsidRPr="00606181">
        <w:rPr>
          <w:i/>
        </w:rPr>
        <w:t>Официален вестник на Европейския съюз</w:t>
      </w:r>
      <w:r w:rsidRPr="00606181">
        <w:t>;</w:t>
      </w:r>
    </w:p>
    <w:p w:rsidR="004F1E29" w:rsidRPr="00606181" w:rsidRDefault="004F1E29">
      <w:pPr>
        <w:spacing w:after="240"/>
        <w:ind w:left="560" w:hanging="560"/>
      </w:pPr>
      <w:r w:rsidRPr="00606181">
        <w:t>7.</w:t>
      </w:r>
      <w:r w:rsidRPr="00606181">
        <w:tab/>
        <w:t>възлага на своя председател да предаде настоящата резолюция съответно на Съвета и на Комисията, както и на другите институции и заинтересовани органи и на националните парламенти.</w:t>
      </w:r>
    </w:p>
    <w:p w:rsidR="00E365E1" w:rsidRPr="00606181" w:rsidRDefault="00E365E1" w:rsidP="004F1E29">
      <w:bookmarkStart w:id="10" w:name="TextBodyEnd"/>
      <w:bookmarkEnd w:id="10"/>
    </w:p>
    <w:sectPr w:rsidR="00E365E1" w:rsidRPr="00606181" w:rsidSect="003E4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DD" w:rsidRPr="003E4B61" w:rsidRDefault="00AE64DD">
      <w:r w:rsidRPr="003E4B61">
        <w:separator/>
      </w:r>
    </w:p>
  </w:endnote>
  <w:endnote w:type="continuationSeparator" w:id="0">
    <w:p w:rsidR="00AE64DD" w:rsidRPr="003E4B61" w:rsidRDefault="00AE64DD">
      <w:r w:rsidRPr="003E4B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DD" w:rsidRPr="003E4B61" w:rsidRDefault="00AE64DD">
      <w:r w:rsidRPr="003E4B61">
        <w:separator/>
      </w:r>
    </w:p>
  </w:footnote>
  <w:footnote w:type="continuationSeparator" w:id="0">
    <w:p w:rsidR="00AE64DD" w:rsidRPr="003E4B61" w:rsidRDefault="00AE64DD">
      <w:r w:rsidRPr="003E4B61">
        <w:continuationSeparator/>
      </w:r>
    </w:p>
  </w:footnote>
  <w:footnote w:id="1">
    <w:p w:rsidR="004F1E29" w:rsidRPr="003E4B61" w:rsidRDefault="004F1E29" w:rsidP="003E4B61">
      <w:pPr>
        <w:pStyle w:val="FootnoteText"/>
        <w:ind w:left="567" w:hanging="567"/>
        <w:rPr>
          <w:sz w:val="24"/>
          <w:lang w:val="bg-BG"/>
        </w:rPr>
      </w:pPr>
      <w:r w:rsidRPr="003E4B61">
        <w:rPr>
          <w:rStyle w:val="FootnoteReference"/>
          <w:sz w:val="24"/>
          <w:lang w:val="bg-BG"/>
        </w:rPr>
        <w:footnoteRef/>
      </w:r>
      <w:r w:rsidR="003E4B61" w:rsidRPr="003E4B61">
        <w:rPr>
          <w:sz w:val="24"/>
          <w:lang w:val="bg-BG"/>
        </w:rPr>
        <w:t xml:space="preserve"> </w:t>
      </w:r>
      <w:r w:rsidR="003E4B61" w:rsidRPr="003E4B61">
        <w:rPr>
          <w:sz w:val="24"/>
          <w:lang w:val="bg-BG"/>
        </w:rPr>
        <w:tab/>
      </w:r>
      <w:r w:rsidRPr="003E4B61">
        <w:rPr>
          <w:sz w:val="24"/>
          <w:lang w:val="bg-BG"/>
        </w:rPr>
        <w:t>ОВ L 298, 26.10.2012 г., стр. 1.</w:t>
      </w:r>
    </w:p>
  </w:footnote>
  <w:footnote w:id="2">
    <w:p w:rsidR="004F1E29" w:rsidRPr="003E4B61" w:rsidRDefault="004F1E29" w:rsidP="003E4B61">
      <w:pPr>
        <w:pStyle w:val="FootnoteText"/>
        <w:ind w:left="567" w:hanging="567"/>
        <w:rPr>
          <w:sz w:val="24"/>
          <w:lang w:val="bg-BG"/>
        </w:rPr>
      </w:pPr>
      <w:r w:rsidRPr="003E4B61">
        <w:rPr>
          <w:rStyle w:val="FootnoteReference"/>
          <w:sz w:val="24"/>
          <w:lang w:val="bg-BG"/>
        </w:rPr>
        <w:footnoteRef/>
      </w:r>
      <w:r w:rsidR="003E4B61" w:rsidRPr="003E4B61">
        <w:rPr>
          <w:sz w:val="24"/>
          <w:lang w:val="bg-BG"/>
        </w:rPr>
        <w:t xml:space="preserve"> </w:t>
      </w:r>
      <w:r w:rsidR="003E4B61" w:rsidRPr="003E4B61">
        <w:rPr>
          <w:sz w:val="24"/>
          <w:lang w:val="bg-BG"/>
        </w:rPr>
        <w:tab/>
      </w:r>
      <w:r w:rsidRPr="003E4B61">
        <w:rPr>
          <w:sz w:val="24"/>
          <w:lang w:val="bg-BG"/>
        </w:rPr>
        <w:t>ОВ L 57, 28.2.2018 г.</w:t>
      </w:r>
    </w:p>
  </w:footnote>
  <w:footnote w:id="3">
    <w:p w:rsidR="004F1E29" w:rsidRPr="003E4B61" w:rsidRDefault="004F1E29" w:rsidP="003E4B61">
      <w:pPr>
        <w:pStyle w:val="FootnoteText"/>
        <w:ind w:left="567" w:hanging="567"/>
        <w:rPr>
          <w:sz w:val="24"/>
          <w:lang w:val="bg-BG"/>
        </w:rPr>
      </w:pPr>
      <w:r w:rsidRPr="003E4B61">
        <w:rPr>
          <w:rStyle w:val="FootnoteReference"/>
          <w:sz w:val="24"/>
          <w:lang w:val="bg-BG"/>
        </w:rPr>
        <w:footnoteRef/>
      </w:r>
      <w:r w:rsidR="003E4B61" w:rsidRPr="003E4B61">
        <w:rPr>
          <w:sz w:val="24"/>
          <w:lang w:val="bg-BG"/>
        </w:rPr>
        <w:t xml:space="preserve"> </w:t>
      </w:r>
      <w:r w:rsidR="003E4B61" w:rsidRPr="003E4B61">
        <w:rPr>
          <w:sz w:val="24"/>
          <w:lang w:val="bg-BG"/>
        </w:rPr>
        <w:tab/>
      </w:r>
      <w:r w:rsidRPr="003E4B61">
        <w:rPr>
          <w:sz w:val="24"/>
          <w:lang w:val="bg-BG"/>
        </w:rPr>
        <w:t>ОВ L 347, 20.12.2013 г., стр. 884.</w:t>
      </w:r>
    </w:p>
  </w:footnote>
  <w:footnote w:id="4">
    <w:p w:rsidR="004F1E29" w:rsidRPr="003E4B61" w:rsidRDefault="004F1E29" w:rsidP="003E4B61">
      <w:pPr>
        <w:pStyle w:val="FootnoteText"/>
        <w:ind w:left="567" w:hanging="567"/>
        <w:rPr>
          <w:sz w:val="24"/>
          <w:lang w:val="bg-BG"/>
        </w:rPr>
      </w:pPr>
      <w:r w:rsidRPr="003E4B61">
        <w:rPr>
          <w:rStyle w:val="FootnoteReference"/>
          <w:sz w:val="24"/>
          <w:lang w:val="bg-BG"/>
        </w:rPr>
        <w:footnoteRef/>
      </w:r>
      <w:r w:rsidR="003E4B61" w:rsidRPr="003E4B61">
        <w:rPr>
          <w:sz w:val="24"/>
          <w:lang w:val="bg-BG"/>
        </w:rPr>
        <w:t xml:space="preserve"> </w:t>
      </w:r>
      <w:r w:rsidR="003E4B61" w:rsidRPr="003E4B61">
        <w:rPr>
          <w:sz w:val="24"/>
          <w:lang w:val="bg-BG"/>
        </w:rPr>
        <w:tab/>
      </w:r>
      <w:r w:rsidRPr="003E4B61">
        <w:rPr>
          <w:sz w:val="24"/>
          <w:lang w:val="bg-BG"/>
        </w:rPr>
        <w:t>ОВ C 373, 20.12.2013 г., стр. 1.</w:t>
      </w:r>
    </w:p>
  </w:footnote>
  <w:footnote w:id="5">
    <w:p w:rsidR="004F1E29" w:rsidRPr="003E4B61" w:rsidRDefault="004F1E29" w:rsidP="003E4B61">
      <w:pPr>
        <w:pStyle w:val="FootnoteText"/>
        <w:ind w:left="567" w:hanging="567"/>
        <w:rPr>
          <w:sz w:val="24"/>
          <w:lang w:val="bg-BG"/>
        </w:rPr>
      </w:pPr>
      <w:r w:rsidRPr="003E4B61">
        <w:rPr>
          <w:rStyle w:val="FootnoteReference"/>
          <w:sz w:val="24"/>
          <w:lang w:val="bg-BG"/>
        </w:rPr>
        <w:footnoteRef/>
      </w:r>
      <w:r w:rsidR="003E4B61" w:rsidRPr="003E4B61">
        <w:rPr>
          <w:sz w:val="24"/>
          <w:lang w:val="bg-BG"/>
        </w:rPr>
        <w:t xml:space="preserve"> </w:t>
      </w:r>
      <w:r w:rsidR="003E4B61" w:rsidRPr="003E4B61">
        <w:rPr>
          <w:sz w:val="24"/>
          <w:lang w:val="bg-BG"/>
        </w:rPr>
        <w:tab/>
      </w:r>
      <w:r w:rsidRPr="003E4B61">
        <w:rPr>
          <w:sz w:val="24"/>
          <w:lang w:val="bg-BG"/>
        </w:rPr>
        <w:t>OВ L 168, 7.6.2014 г., стр. 105.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1" w:rsidRPr="003E4B61" w:rsidRDefault="003E4B61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09/2018"/>
    <w:docVar w:name="dvlangue" w:val="BG"/>
    <w:docVar w:name="dvnumam" w:val="0"/>
    <w:docVar w:name="dvpe" w:val="622.073"/>
    <w:docVar w:name="dvrapporteur" w:val="Докладчик: "/>
    <w:docVar w:name="dvtitre" w:val="Резолюция на Европейския парламент от ... 2018 г. относно позицията на Съвета относно проект на коригиращ бюджет № 2/2018 на Европейския съюз за финансовата 2018 година: вписване на излишъка от финансовата 2017 година(09325/2018 – C8-0277/2018 – 2018/2057(BUD))"/>
  </w:docVars>
  <w:rsids>
    <w:rsidRoot w:val="00AE64DD"/>
    <w:rsid w:val="00002272"/>
    <w:rsid w:val="000677B9"/>
    <w:rsid w:val="000E7DD9"/>
    <w:rsid w:val="0010095E"/>
    <w:rsid w:val="00125B37"/>
    <w:rsid w:val="002767FF"/>
    <w:rsid w:val="002B5493"/>
    <w:rsid w:val="002C2FEB"/>
    <w:rsid w:val="00361C00"/>
    <w:rsid w:val="00395FA1"/>
    <w:rsid w:val="003E15D4"/>
    <w:rsid w:val="003E4B61"/>
    <w:rsid w:val="00411CCE"/>
    <w:rsid w:val="0041666E"/>
    <w:rsid w:val="00421060"/>
    <w:rsid w:val="00494A28"/>
    <w:rsid w:val="004F1E29"/>
    <w:rsid w:val="0050519A"/>
    <w:rsid w:val="005072A1"/>
    <w:rsid w:val="005107AF"/>
    <w:rsid w:val="00514517"/>
    <w:rsid w:val="006037C0"/>
    <w:rsid w:val="00606181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D7BF1"/>
    <w:rsid w:val="00A4678D"/>
    <w:rsid w:val="00AE64DD"/>
    <w:rsid w:val="00AF3B82"/>
    <w:rsid w:val="00B558F0"/>
    <w:rsid w:val="00B57521"/>
    <w:rsid w:val="00BD7BD8"/>
    <w:rsid w:val="00BF3187"/>
    <w:rsid w:val="00C05BFE"/>
    <w:rsid w:val="00C23CD4"/>
    <w:rsid w:val="00C941CB"/>
    <w:rsid w:val="00CC2357"/>
    <w:rsid w:val="00D058B8"/>
    <w:rsid w:val="00D834A0"/>
    <w:rsid w:val="00D91E21"/>
    <w:rsid w:val="00DB0956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1401A4"/>
  <w15:chartTrackingRefBased/>
  <w15:docId w15:val="{7DD29A3E-E130-45C5-B696-1BD01909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DB0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095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STOYANOVA-MONTELEONE Vessela</dc:creator>
  <cp:keywords/>
  <cp:lastModifiedBy>GIRGINOV Kiril</cp:lastModifiedBy>
  <cp:revision>2</cp:revision>
  <cp:lastPrinted>2018-07-04T10:37:00Z</cp:lastPrinted>
  <dcterms:created xsi:type="dcterms:W3CDTF">2019-10-15T07:35:00Z</dcterms:created>
  <dcterms:modified xsi:type="dcterms:W3CDTF">2019-10-15T07:35:00Z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A8-0209/2018</vt:lpwstr>
  </property>
  <property fmtid="{D5CDD505-2E9C-101B-9397-08002B2CF9AE}" pid="4" name="&lt;Type&gt;">
    <vt:lpwstr>RR</vt:lpwstr>
  </property>
</Properties>
</file>