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C675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C6753" w:rsidRDefault="00F30FDE" w:rsidP="0010095E">
            <w:pPr>
              <w:pStyle w:val="EPName"/>
              <w:rPr>
                <w:lang w:val="fi-FI"/>
              </w:rPr>
            </w:pPr>
            <w:r w:rsidRPr="004C6753">
              <w:rPr>
                <w:lang w:val="fi-FI"/>
              </w:rPr>
              <w:t>Euroopan parlamentti</w:t>
            </w:r>
          </w:p>
          <w:p w:rsidR="00751A4A" w:rsidRPr="004C6753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 w:rsidRPr="004C6753">
              <w:rPr>
                <w:lang w:val="fi-FI"/>
              </w:rPr>
              <w:t>2014</w:t>
            </w:r>
            <w:r w:rsidR="00C941CB" w:rsidRPr="004C6753">
              <w:rPr>
                <w:lang w:val="fi-F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C6753" w:rsidRDefault="004C6753" w:rsidP="0010095E">
            <w:pPr>
              <w:pStyle w:val="EPLogo"/>
            </w:pPr>
            <w:r w:rsidRPr="004C6753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4C6753" w:rsidRDefault="00D058B8" w:rsidP="00D058B8">
      <w:pPr>
        <w:pStyle w:val="LineTop"/>
        <w:rPr>
          <w:lang w:val="fi-FI"/>
        </w:rPr>
      </w:pPr>
    </w:p>
    <w:p w:rsidR="00680577" w:rsidRPr="004C6753" w:rsidRDefault="00F30FDE" w:rsidP="00680577">
      <w:pPr>
        <w:pStyle w:val="ZSessionDoc"/>
        <w:rPr>
          <w:b/>
          <w:i w:val="0"/>
        </w:rPr>
      </w:pPr>
      <w:r w:rsidRPr="004C6753">
        <w:rPr>
          <w:b/>
          <w:i w:val="0"/>
        </w:rPr>
        <w:t>HYVÄKSYTYT TEKSTIT</w:t>
      </w:r>
    </w:p>
    <w:p w:rsidR="00D058B8" w:rsidRPr="004C6753" w:rsidRDefault="00D058B8" w:rsidP="00D058B8">
      <w:pPr>
        <w:pStyle w:val="LineBottom"/>
      </w:pPr>
    </w:p>
    <w:p w:rsidR="00F30FDE" w:rsidRPr="004C6753" w:rsidRDefault="00F30FDE" w:rsidP="00F30FDE">
      <w:pPr>
        <w:pStyle w:val="ATHeading1"/>
        <w:rPr>
          <w:noProof w:val="0"/>
          <w:lang w:val="fi-FI"/>
        </w:rPr>
      </w:pPr>
      <w:bookmarkStart w:id="0" w:name="TANumber"/>
      <w:r w:rsidRPr="004C6753">
        <w:rPr>
          <w:noProof w:val="0"/>
          <w:lang w:val="fi-FI"/>
        </w:rPr>
        <w:t>P8_TA</w:t>
      </w:r>
      <w:bookmarkStart w:id="1" w:name="_GoBack"/>
      <w:bookmarkEnd w:id="1"/>
      <w:r w:rsidRPr="004C6753">
        <w:rPr>
          <w:noProof w:val="0"/>
          <w:lang w:val="fi-FI"/>
        </w:rPr>
        <w:t>(2019)00</w:t>
      </w:r>
      <w:r w:rsidR="004C6753">
        <w:rPr>
          <w:noProof w:val="0"/>
          <w:lang w:val="fi-FI"/>
        </w:rPr>
        <w:t>27</w:t>
      </w:r>
      <w:bookmarkEnd w:id="0"/>
    </w:p>
    <w:p w:rsidR="00F30FDE" w:rsidRPr="004C6753" w:rsidRDefault="006A7026" w:rsidP="00F30FDE">
      <w:pPr>
        <w:pStyle w:val="ATHeading2"/>
        <w:rPr>
          <w:noProof w:val="0"/>
          <w:lang w:val="fi-FI"/>
        </w:rPr>
      </w:pPr>
      <w:bookmarkStart w:id="2" w:name="title"/>
      <w:r w:rsidRPr="004C6753">
        <w:rPr>
          <w:bCs/>
          <w:noProof w:val="0"/>
          <w:lang w:val="fi-FI"/>
        </w:rPr>
        <w:t>EU:n tilapäinen matkustusasiakirja</w:t>
      </w:r>
      <w:bookmarkEnd w:id="2"/>
      <w:r w:rsidR="00F30FDE" w:rsidRPr="004C6753">
        <w:rPr>
          <w:noProof w:val="0"/>
          <w:lang w:val="fi-FI"/>
        </w:rPr>
        <w:t xml:space="preserve"> </w:t>
      </w:r>
      <w:bookmarkStart w:id="3" w:name="Etoiles"/>
      <w:r w:rsidR="00F30FDE" w:rsidRPr="004C6753">
        <w:rPr>
          <w:noProof w:val="0"/>
          <w:lang w:val="fi-FI"/>
        </w:rPr>
        <w:t>*</w:t>
      </w:r>
      <w:bookmarkEnd w:id="3"/>
    </w:p>
    <w:p w:rsidR="00F30FDE" w:rsidRPr="004C6753" w:rsidRDefault="00F30FDE" w:rsidP="00F30FDE">
      <w:pPr>
        <w:rPr>
          <w:i/>
          <w:vanish/>
        </w:rPr>
      </w:pPr>
      <w:r w:rsidRPr="004C6753">
        <w:rPr>
          <w:i/>
        </w:rPr>
        <w:fldChar w:fldCharType="begin"/>
      </w:r>
      <w:r w:rsidRPr="004C6753">
        <w:rPr>
          <w:i/>
        </w:rPr>
        <w:instrText xml:space="preserve"> TC"(</w:instrText>
      </w:r>
      <w:bookmarkStart w:id="4" w:name="DocNumber"/>
      <w:r w:rsidRPr="004C6753">
        <w:rPr>
          <w:i/>
        </w:rPr>
        <w:instrText>A8-0433/2018</w:instrText>
      </w:r>
      <w:bookmarkEnd w:id="4"/>
      <w:r w:rsidRPr="004C6753">
        <w:rPr>
          <w:i/>
        </w:rPr>
        <w:instrText xml:space="preserve"> - Esittelijä: Kinga Gál)"\l3 \n&gt; \* MERGEFORMAT </w:instrText>
      </w:r>
      <w:r w:rsidRPr="004C6753">
        <w:rPr>
          <w:i/>
        </w:rPr>
        <w:fldChar w:fldCharType="end"/>
      </w:r>
    </w:p>
    <w:p w:rsidR="00F30FDE" w:rsidRPr="004C6753" w:rsidRDefault="00F30FDE" w:rsidP="00F30FDE">
      <w:pPr>
        <w:rPr>
          <w:vanish/>
        </w:rPr>
      </w:pPr>
      <w:bookmarkStart w:id="5" w:name="Commission"/>
      <w:r w:rsidRPr="004C6753">
        <w:rPr>
          <w:vanish/>
        </w:rPr>
        <w:t>Kansalaisvapauksien sekä oikeus- ja sisäasioiden valiokunta</w:t>
      </w:r>
      <w:bookmarkEnd w:id="5"/>
    </w:p>
    <w:p w:rsidR="00F30FDE" w:rsidRPr="004C6753" w:rsidRDefault="00F30FDE" w:rsidP="00F30FDE">
      <w:pPr>
        <w:rPr>
          <w:vanish/>
        </w:rPr>
      </w:pPr>
      <w:bookmarkStart w:id="6" w:name="PE"/>
      <w:r w:rsidRPr="004C6753">
        <w:rPr>
          <w:vanish/>
        </w:rPr>
        <w:t>PE627.613</w:t>
      </w:r>
      <w:bookmarkEnd w:id="6"/>
    </w:p>
    <w:p w:rsidR="00F30FDE" w:rsidRPr="004C6753" w:rsidRDefault="00F30FDE" w:rsidP="00F30FDE">
      <w:pPr>
        <w:pStyle w:val="ATHeading3"/>
        <w:rPr>
          <w:noProof w:val="0"/>
          <w:lang w:val="fi-FI"/>
        </w:rPr>
      </w:pPr>
      <w:bookmarkStart w:id="7" w:name="Sujet"/>
      <w:r w:rsidRPr="004C6753">
        <w:rPr>
          <w:noProof w:val="0"/>
          <w:lang w:val="fi-FI"/>
        </w:rPr>
        <w:t xml:space="preserve">Euroopan parlamentin lainsäädäntöpäätöslauselma </w:t>
      </w:r>
      <w:r w:rsidR="00B0503A" w:rsidRPr="004C6753">
        <w:rPr>
          <w:noProof w:val="0"/>
          <w:lang w:val="fi-FI"/>
        </w:rPr>
        <w:t>16</w:t>
      </w:r>
      <w:r w:rsidRPr="004C6753">
        <w:rPr>
          <w:noProof w:val="0"/>
          <w:lang w:val="fi-FI"/>
        </w:rPr>
        <w:t xml:space="preserve">. </w:t>
      </w:r>
      <w:r w:rsidR="006A7026" w:rsidRPr="004C6753">
        <w:rPr>
          <w:noProof w:val="0"/>
          <w:lang w:val="fi-FI"/>
        </w:rPr>
        <w:t>tammikuuta 2019</w:t>
      </w:r>
      <w:r w:rsidRPr="004C6753">
        <w:rPr>
          <w:noProof w:val="0"/>
          <w:lang w:val="fi-FI"/>
        </w:rPr>
        <w:t xml:space="preserve"> ehdotuksesta neuvoston direktiiviksi EU:n tilapäisen matkustusasiakirjan laatimisesta ja päätöksen 96/409/YUTP kumoamisesta</w:t>
      </w:r>
      <w:bookmarkEnd w:id="7"/>
      <w:r w:rsidRPr="004C6753">
        <w:rPr>
          <w:noProof w:val="0"/>
          <w:lang w:val="fi-FI"/>
        </w:rPr>
        <w:t xml:space="preserve"> </w:t>
      </w:r>
      <w:bookmarkStart w:id="8" w:name="References"/>
      <w:r w:rsidRPr="004C6753">
        <w:rPr>
          <w:noProof w:val="0"/>
          <w:lang w:val="fi-FI"/>
        </w:rPr>
        <w:t>(COM(2018)0358 – C8-0386/2018 – 2018/0186(CNS))</w:t>
      </w:r>
      <w:bookmarkEnd w:id="8"/>
    </w:p>
    <w:p w:rsidR="002B6B1B" w:rsidRPr="004C6753" w:rsidRDefault="002B6B1B" w:rsidP="002B6B1B">
      <w:pPr>
        <w:pStyle w:val="Normal12Bold"/>
      </w:pPr>
      <w:bookmarkStart w:id="9" w:name="TextBodyBegin"/>
      <w:bookmarkEnd w:id="9"/>
      <w:r w:rsidRPr="004C6753">
        <w:t>(Erityinen lainsäätämisjärjestys – kuuleminen)</w:t>
      </w:r>
    </w:p>
    <w:p w:rsidR="006A7026" w:rsidRPr="004C6753" w:rsidRDefault="006A7026" w:rsidP="006A7026">
      <w:pPr>
        <w:pStyle w:val="Normal12"/>
        <w:widowControl/>
        <w:rPr>
          <w:i/>
        </w:rPr>
      </w:pPr>
    </w:p>
    <w:p w:rsidR="002B6B1B" w:rsidRPr="004C6753" w:rsidRDefault="002B6B1B" w:rsidP="006A7026">
      <w:pPr>
        <w:pStyle w:val="Normal12"/>
        <w:widowControl/>
      </w:pPr>
      <w:r w:rsidRPr="004C6753">
        <w:rPr>
          <w:i/>
        </w:rPr>
        <w:t>Euroopan parlamentti</w:t>
      </w:r>
      <w:r w:rsidRPr="004C6753">
        <w:t>, joka</w:t>
      </w:r>
    </w:p>
    <w:p w:rsidR="002B6B1B" w:rsidRPr="004C6753" w:rsidRDefault="002B6B1B" w:rsidP="006A7026">
      <w:pPr>
        <w:pStyle w:val="Normal12Hanging"/>
        <w:widowControl/>
      </w:pPr>
      <w:r w:rsidRPr="004C6753">
        <w:t>–</w:t>
      </w:r>
      <w:r w:rsidRPr="004C6753">
        <w:tab/>
        <w:t>ottaa huomioon komission ehdotuksen neuvostolle (COM(2018)0358),</w:t>
      </w:r>
    </w:p>
    <w:p w:rsidR="002B6B1B" w:rsidRPr="004C6753" w:rsidRDefault="002B6B1B" w:rsidP="006A7026">
      <w:pPr>
        <w:pStyle w:val="Normal12Hanging"/>
        <w:widowControl/>
      </w:pPr>
      <w:r w:rsidRPr="004C6753">
        <w:t>–</w:t>
      </w:r>
      <w:r w:rsidRPr="004C6753">
        <w:tab/>
        <w:t>ottaa huomioon Euroopan unionin toiminnasta tehdyn sopimuksen 23 artiklan 2 kohdan, jonka mukaisesti neuvosto on kuullut parlamenttia (C8</w:t>
      </w:r>
      <w:r w:rsidRPr="004C6753">
        <w:noBreakHyphen/>
        <w:t>0386/2018),</w:t>
      </w:r>
    </w:p>
    <w:p w:rsidR="002B6B1B" w:rsidRPr="004C6753" w:rsidRDefault="002B6B1B" w:rsidP="006A7026">
      <w:pPr>
        <w:pStyle w:val="Normal12Hanging"/>
        <w:widowControl/>
      </w:pPr>
      <w:r w:rsidRPr="004C6753">
        <w:t>–</w:t>
      </w:r>
      <w:r w:rsidRPr="004C6753">
        <w:tab/>
        <w:t>ottaa huomioon työjärjestyksen 78 c artiklan,</w:t>
      </w:r>
    </w:p>
    <w:p w:rsidR="002B6B1B" w:rsidRPr="004C6753" w:rsidRDefault="002B6B1B" w:rsidP="006A7026">
      <w:pPr>
        <w:pStyle w:val="Normal12Hanging"/>
        <w:widowControl/>
      </w:pPr>
      <w:r w:rsidRPr="004C6753">
        <w:t>–</w:t>
      </w:r>
      <w:r w:rsidRPr="004C6753">
        <w:tab/>
        <w:t>ottaa huomioon kansalaisvapauksien sekä oikeus- ja sisäasioiden valiokunnan mietinnön (A8-0433/2018),</w:t>
      </w:r>
    </w:p>
    <w:p w:rsidR="002B6B1B" w:rsidRPr="004C6753" w:rsidRDefault="002B6B1B" w:rsidP="006A7026">
      <w:pPr>
        <w:pStyle w:val="Normal12Hanging"/>
        <w:widowControl/>
      </w:pPr>
      <w:r w:rsidRPr="004C6753">
        <w:t>1.</w:t>
      </w:r>
      <w:r w:rsidRPr="004C6753">
        <w:tab/>
        <w:t>hyväksyy komission ehdotuksen sellaisena kuin se on tarkistettuna;</w:t>
      </w:r>
    </w:p>
    <w:p w:rsidR="002B6B1B" w:rsidRPr="004C6753" w:rsidRDefault="002B6B1B" w:rsidP="006A7026">
      <w:pPr>
        <w:pStyle w:val="Normal12Hanging"/>
        <w:widowControl/>
      </w:pPr>
      <w:r w:rsidRPr="004C6753">
        <w:t>2.</w:t>
      </w:r>
      <w:r w:rsidRPr="004C6753">
        <w:tab/>
        <w:t>pyytää komissiota muuttamaan ehdotustaan vastaavasti Euroopan unionin toiminnasta tehdyn sopimuksen 293 artiklan 2 kohdan mukaisesti;</w:t>
      </w:r>
    </w:p>
    <w:p w:rsidR="002B6B1B" w:rsidRPr="004C6753" w:rsidRDefault="002B6B1B" w:rsidP="006A7026">
      <w:pPr>
        <w:pStyle w:val="Normal12Hanging"/>
        <w:widowControl/>
      </w:pPr>
      <w:r w:rsidRPr="004C6753">
        <w:t>3.</w:t>
      </w:r>
      <w:r w:rsidRPr="004C6753">
        <w:tab/>
        <w:t>pyytää neuvostoa ilmoittamaan parlamentille, jos se aikoo poiketa parlamentin hyväksymästä sanamuodosta;</w:t>
      </w:r>
    </w:p>
    <w:p w:rsidR="002B6B1B" w:rsidRPr="004C6753" w:rsidRDefault="002B6B1B" w:rsidP="006A7026">
      <w:pPr>
        <w:pStyle w:val="Normal12Hanging"/>
        <w:widowControl/>
      </w:pPr>
      <w:r w:rsidRPr="004C6753">
        <w:t>4.</w:t>
      </w:r>
      <w:r w:rsidRPr="004C6753">
        <w:tab/>
        <w:t>pyytää tulla kuulluksi uudelleen, jos neuvosto aikoo tehdä huomattavia muutoksia komission ehdotukseen;</w:t>
      </w:r>
    </w:p>
    <w:p w:rsidR="002B6B1B" w:rsidRPr="004C6753" w:rsidRDefault="002B6B1B" w:rsidP="006A7026">
      <w:pPr>
        <w:pStyle w:val="Normal12Hanging"/>
        <w:widowControl/>
      </w:pPr>
      <w:r w:rsidRPr="004C6753">
        <w:t>5.</w:t>
      </w:r>
      <w:r w:rsidRPr="004C6753">
        <w:tab/>
        <w:t>kehottaa puhemiestä välittämään parlamentin kannan neuvostolle ja komissiolle sekä kansallisille parlamenteille.</w:t>
      </w:r>
    </w:p>
    <w:p w:rsidR="002B6B1B" w:rsidRPr="004C6753" w:rsidRDefault="002B6B1B" w:rsidP="006A7026">
      <w:pPr>
        <w:widowControl/>
      </w:pPr>
    </w:p>
    <w:p w:rsidR="002B6B1B" w:rsidRPr="004C6753" w:rsidRDefault="006A7026" w:rsidP="006A7026">
      <w:pPr>
        <w:pStyle w:val="AMNumberTabs"/>
        <w:keepNext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</w:pPr>
      <w:r w:rsidRPr="004C6753">
        <w:lastRenderedPageBreak/>
        <w:t xml:space="preserve">Tarkistus </w:t>
      </w:r>
      <w:r w:rsidR="002B6B1B" w:rsidRPr="004C6753">
        <w:t>1</w:t>
      </w:r>
    </w:p>
    <w:p w:rsidR="002B6B1B" w:rsidRPr="004C6753" w:rsidRDefault="002B6B1B" w:rsidP="00D46E20">
      <w:pPr>
        <w:pStyle w:val="NormalBold12b"/>
        <w:keepNext/>
        <w:widowControl/>
      </w:pPr>
      <w:r w:rsidRPr="004C6753">
        <w:t>Ehdotus direktiiviksi</w:t>
      </w:r>
    </w:p>
    <w:p w:rsidR="002B6B1B" w:rsidRPr="004C6753" w:rsidRDefault="002B6B1B" w:rsidP="006A7026">
      <w:pPr>
        <w:pStyle w:val="NormalBold"/>
        <w:widowControl/>
      </w:pPr>
      <w:r w:rsidRPr="004C6753">
        <w:t>Johdanto-osan 19 kappale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6B1B" w:rsidRPr="004C6753" w:rsidTr="002D5B3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B6B1B" w:rsidRPr="004C6753" w:rsidRDefault="002B6B1B" w:rsidP="006A7026">
            <w:pPr>
              <w:widowControl/>
            </w:pPr>
          </w:p>
        </w:tc>
      </w:tr>
      <w:tr w:rsidR="002B6B1B" w:rsidRPr="004C6753" w:rsidTr="002D5B34">
        <w:trPr>
          <w:trHeight w:val="240"/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Komission teksti</w:t>
            </w:r>
          </w:p>
        </w:tc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Tarkistus</w:t>
            </w:r>
          </w:p>
        </w:tc>
      </w:tr>
      <w:tr w:rsidR="002B6B1B" w:rsidRPr="004C6753" w:rsidTr="002D5B34">
        <w:trPr>
          <w:jc w:val="center"/>
        </w:trPr>
        <w:tc>
          <w:tcPr>
            <w:tcW w:w="4876" w:type="dxa"/>
          </w:tcPr>
          <w:p w:rsidR="002B6B1B" w:rsidRPr="004C6753" w:rsidRDefault="002B6B1B" w:rsidP="00480758">
            <w:pPr>
              <w:pStyle w:val="Normal6"/>
              <w:widowControl/>
            </w:pPr>
            <w:r w:rsidRPr="004C6753">
              <w:t>(19)</w:t>
            </w:r>
            <w:r w:rsidRPr="004C6753">
              <w:tab/>
              <w:t>Paremmasta lainsäädännöstä tehdyn toimielinten sopimuksen</w:t>
            </w:r>
            <w:r w:rsidR="00480758" w:rsidRPr="004C6753">
              <w:rPr>
                <w:vertAlign w:val="superscript"/>
              </w:rPr>
              <w:t>24</w:t>
            </w:r>
            <w:r w:rsidRPr="004C6753">
              <w:t xml:space="preserve"> 22 ja 23 kohdan mukaisesti komission olisi arvioitava tätä direktiiviä, varsinkin erityisten seurantajärjestelyjen avulla kerättyjen tietojen perusteella, direktiivin vaikutusten ja mahdollisten lisätoimien tarpeen arvioimiseksi.</w:t>
            </w:r>
          </w:p>
        </w:tc>
        <w:tc>
          <w:tcPr>
            <w:tcW w:w="4876" w:type="dxa"/>
          </w:tcPr>
          <w:p w:rsidR="002B6B1B" w:rsidRPr="004C6753" w:rsidRDefault="002B6B1B" w:rsidP="00480758">
            <w:pPr>
              <w:pStyle w:val="Normal6"/>
              <w:widowControl/>
            </w:pPr>
            <w:r w:rsidRPr="004C6753">
              <w:t>(19)</w:t>
            </w:r>
            <w:r w:rsidRPr="004C6753">
              <w:tab/>
              <w:t>Paremmasta lainsäädännöstä tehdyn toimielinten sopimuksen</w:t>
            </w:r>
            <w:r w:rsidR="00480758" w:rsidRPr="004C6753">
              <w:rPr>
                <w:vertAlign w:val="superscript"/>
              </w:rPr>
              <w:t>24</w:t>
            </w:r>
            <w:r w:rsidRPr="004C6753">
              <w:t xml:space="preserve"> 22 ja 23 kohdan mukaisesti komission olisi arvioitava tätä direktiiviä, varsinkin erityisten seurantajärjestelyjen avulla kerättyjen tietojen perusteella, direktiivin vaikutusten</w:t>
            </w:r>
            <w:r w:rsidRPr="004C6753">
              <w:rPr>
                <w:b/>
                <w:i/>
              </w:rPr>
              <w:t>, myös sen perusoikeuksiin kohdistuvien vaikutusten,</w:t>
            </w:r>
            <w:r w:rsidRPr="004C6753">
              <w:t xml:space="preserve"> ja mahdollisten lisätoimien tarpeen arvioimiseksi. </w:t>
            </w:r>
            <w:r w:rsidRPr="004C6753">
              <w:rPr>
                <w:b/>
                <w:i/>
              </w:rPr>
              <w:t>Arvio olisi esitettävä Euroopan parlamentille, Euroopan tietosuojavaltuutetulle ja Euroopan unionin perusoikeusvirastolle.</w:t>
            </w:r>
          </w:p>
        </w:tc>
      </w:tr>
      <w:tr w:rsidR="002B6B1B" w:rsidRPr="004C6753" w:rsidTr="002D5B34">
        <w:trPr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Normal6"/>
              <w:widowControl/>
            </w:pPr>
            <w:r w:rsidRPr="004C6753">
              <w:t>_________________</w:t>
            </w:r>
          </w:p>
        </w:tc>
        <w:tc>
          <w:tcPr>
            <w:tcW w:w="4876" w:type="dxa"/>
          </w:tcPr>
          <w:p w:rsidR="002B6B1B" w:rsidRPr="004C6753" w:rsidRDefault="002B6B1B" w:rsidP="006A7026">
            <w:pPr>
              <w:pStyle w:val="Normal6"/>
              <w:widowControl/>
            </w:pPr>
            <w:r w:rsidRPr="004C6753">
              <w:t>_________________</w:t>
            </w:r>
          </w:p>
        </w:tc>
      </w:tr>
      <w:tr w:rsidR="002B6B1B" w:rsidRPr="004C6753" w:rsidTr="002D5B34">
        <w:trPr>
          <w:jc w:val="center"/>
        </w:trPr>
        <w:tc>
          <w:tcPr>
            <w:tcW w:w="4876" w:type="dxa"/>
          </w:tcPr>
          <w:p w:rsidR="002B6B1B" w:rsidRPr="004C6753" w:rsidRDefault="00480758" w:rsidP="006A7026">
            <w:pPr>
              <w:pStyle w:val="Normal6"/>
              <w:widowControl/>
            </w:pPr>
            <w:r w:rsidRPr="004C6753">
              <w:rPr>
                <w:vertAlign w:val="superscript"/>
              </w:rPr>
              <w:t>24</w:t>
            </w:r>
            <w:r w:rsidR="002B6B1B" w:rsidRPr="004C6753">
              <w:t xml:space="preserve"> Euroopan parlamentin, Euroopan unionin neuvoston ja Euroopan komission välillä 13 päivänä huhtikuuta 2016 tehty toimielinten sopimus paremmasta lainsäädännöstä (EUVL L 123, 12.5.2016, s. 1).</w:t>
            </w:r>
          </w:p>
        </w:tc>
        <w:tc>
          <w:tcPr>
            <w:tcW w:w="4876" w:type="dxa"/>
          </w:tcPr>
          <w:p w:rsidR="002B6B1B" w:rsidRPr="004C6753" w:rsidRDefault="00480758" w:rsidP="006A7026">
            <w:pPr>
              <w:pStyle w:val="Normal6"/>
              <w:widowControl/>
            </w:pPr>
            <w:r w:rsidRPr="004C6753">
              <w:rPr>
                <w:vertAlign w:val="superscript"/>
              </w:rPr>
              <w:t>24</w:t>
            </w:r>
            <w:r w:rsidR="002B6B1B" w:rsidRPr="004C6753">
              <w:t xml:space="preserve"> Euroopan parlamentin, Euroopan unionin neuvoston ja Euroopan komission välillä 13 päivänä huhtikuuta 2016 tehty toimielinten sopimus paremmasta lainsäädännöstä (EUVL L 123, 12.5.2016, s. 1).</w:t>
            </w:r>
          </w:p>
        </w:tc>
      </w:tr>
    </w:tbl>
    <w:p w:rsidR="001A42A0" w:rsidRPr="00246F2E" w:rsidRDefault="001A42A0" w:rsidP="00D46E20">
      <w:pPr>
        <w:pStyle w:val="AMNumberTabs"/>
        <w:keepNext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</w:pPr>
      <w:r>
        <w:t xml:space="preserve">Tarkistus </w:t>
      </w:r>
      <w:r w:rsidRPr="00246F2E">
        <w:t>5</w:t>
      </w:r>
    </w:p>
    <w:p w:rsidR="001A42A0" w:rsidRPr="00246F2E" w:rsidRDefault="001A42A0" w:rsidP="00D46E20">
      <w:pPr>
        <w:pStyle w:val="NormalBold12b"/>
        <w:keepNext/>
        <w:widowControl/>
      </w:pPr>
      <w:r w:rsidRPr="00246F2E">
        <w:t>Ehdotus direktiiviksi</w:t>
      </w:r>
    </w:p>
    <w:p w:rsidR="001A42A0" w:rsidRPr="00246F2E" w:rsidRDefault="001A42A0" w:rsidP="001A42A0">
      <w:pPr>
        <w:pStyle w:val="NormalBold"/>
      </w:pPr>
      <w:r w:rsidRPr="00246F2E">
        <w:t>Johdanto-osan 20 kappale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A42A0" w:rsidRPr="00246F2E" w:rsidTr="00072730">
        <w:trPr>
          <w:jc w:val="center"/>
        </w:trPr>
        <w:tc>
          <w:tcPr>
            <w:tcW w:w="9752" w:type="dxa"/>
            <w:gridSpan w:val="2"/>
          </w:tcPr>
          <w:p w:rsidR="001A42A0" w:rsidRPr="00246F2E" w:rsidRDefault="001A42A0" w:rsidP="00072730">
            <w:pPr>
              <w:keepNext/>
            </w:pPr>
          </w:p>
        </w:tc>
      </w:tr>
      <w:tr w:rsidR="001A42A0" w:rsidRPr="00246F2E" w:rsidTr="00072730">
        <w:trPr>
          <w:jc w:val="center"/>
        </w:trPr>
        <w:tc>
          <w:tcPr>
            <w:tcW w:w="4876" w:type="dxa"/>
          </w:tcPr>
          <w:p w:rsidR="001A42A0" w:rsidRPr="00246F2E" w:rsidRDefault="001A42A0" w:rsidP="00072730">
            <w:pPr>
              <w:pStyle w:val="ColumnHeading"/>
              <w:keepNext/>
            </w:pPr>
            <w:r w:rsidRPr="00246F2E">
              <w:t>Komission teksti</w:t>
            </w:r>
          </w:p>
        </w:tc>
        <w:tc>
          <w:tcPr>
            <w:tcW w:w="4876" w:type="dxa"/>
          </w:tcPr>
          <w:p w:rsidR="001A42A0" w:rsidRPr="00246F2E" w:rsidRDefault="001A42A0" w:rsidP="00072730">
            <w:pPr>
              <w:pStyle w:val="ColumnHeading"/>
              <w:keepNext/>
            </w:pPr>
            <w:r w:rsidRPr="00246F2E">
              <w:t>Tarkistus</w:t>
            </w:r>
          </w:p>
        </w:tc>
      </w:tr>
      <w:tr w:rsidR="001A42A0" w:rsidRPr="00246F2E" w:rsidTr="00072730">
        <w:trPr>
          <w:jc w:val="center"/>
        </w:trPr>
        <w:tc>
          <w:tcPr>
            <w:tcW w:w="4876" w:type="dxa"/>
          </w:tcPr>
          <w:p w:rsidR="001A42A0" w:rsidRPr="00246F2E" w:rsidRDefault="001A42A0" w:rsidP="00072730">
            <w:pPr>
              <w:pStyle w:val="Normal6"/>
            </w:pPr>
            <w:r w:rsidRPr="00246F2E">
              <w:t>(20)</w:t>
            </w:r>
            <w:r w:rsidRPr="00246F2E">
              <w:tab/>
              <w:t>Jäsenvaltioiden tämän direktiivin täytäntöönpanon puitteissa suorittamaan henkilötietojen käsittelyyn sovelletaan Euroopan parlamentin ja neuvoston asetusta (EU) 2016/679</w:t>
            </w:r>
            <w:r w:rsidRPr="00246F2E">
              <w:rPr>
                <w:vertAlign w:val="superscript"/>
              </w:rPr>
              <w:t>25</w:t>
            </w:r>
            <w:r w:rsidRPr="00246F2E">
              <w:t xml:space="preserve">. EU:n tilapäisiä matkustusasiakirjoja koskeva järjestely edellyttää henkilötietojen käsittelyä hakijan henkilöllisyyden todentamista, EU:n tilapäisen matkustusasiakirjan tarran painamista ja rekisteröidyn hakijan matkustamisen helpottamista varten. On tarpeellista täsmentää käsiteltyihin henkilötietoihin sovellettavia suojatoimia, kuten kerättyjen henkilötietojen enimmäissäilytysaika. Kolmen vuoden enimmäissäilytysaika on tarpeen mahdollisten väärinkäytösten estämiseksi. </w:t>
            </w:r>
            <w:r w:rsidRPr="00246F2E">
              <w:lastRenderedPageBreak/>
              <w:t>Hakijoiden henkilötietojen poistaminen ei saisi vaikuttaa jäsenvaltioiden kykyyn seurata tämän direktiivin soveltamista.</w:t>
            </w:r>
          </w:p>
        </w:tc>
        <w:tc>
          <w:tcPr>
            <w:tcW w:w="4876" w:type="dxa"/>
          </w:tcPr>
          <w:p w:rsidR="001A42A0" w:rsidRPr="00246F2E" w:rsidRDefault="001A42A0" w:rsidP="00072730">
            <w:pPr>
              <w:pStyle w:val="Normal6"/>
              <w:rPr>
                <w:szCs w:val="24"/>
              </w:rPr>
            </w:pPr>
            <w:r w:rsidRPr="00246F2E">
              <w:lastRenderedPageBreak/>
              <w:t>(20)</w:t>
            </w:r>
            <w:r w:rsidRPr="00246F2E">
              <w:tab/>
              <w:t>Jäsenvaltioiden tämän direktiivin täytäntöönpanon puitteissa suorittamaan henkilötietojen käsittelyyn sovelletaan Euroopan parlamentin ja neuvoston asetusta (EU) 2016/679</w:t>
            </w:r>
            <w:r w:rsidRPr="00246F2E">
              <w:rPr>
                <w:vertAlign w:val="superscript"/>
              </w:rPr>
              <w:t>25</w:t>
            </w:r>
            <w:r w:rsidRPr="00246F2E">
              <w:t xml:space="preserve">. EU:n tilapäisiä matkustusasiakirjoja koskeva järjestely edellyttää henkilötietojen käsittelyä hakijan henkilöllisyyden todentamista, EU:n tilapäisen matkustusasiakirjan tarran painamista ja rekisteröidyn hakijan matkustamisen helpottamista varten. On tarpeellista täsmentää käsiteltyihin henkilötietoihin sovellettavia suojatoimia, kuten kerättyjen henkilötietojen enimmäissäilytysaika. Kolmen vuoden enimmäissäilytysaika on tarpeen mahdollisten väärinkäytösten estämiseksi. </w:t>
            </w:r>
            <w:r w:rsidRPr="00246F2E">
              <w:rPr>
                <w:b/>
                <w:i/>
              </w:rPr>
              <w:lastRenderedPageBreak/>
              <w:t xml:space="preserve">Ajan olisi oltava </w:t>
            </w:r>
            <w:r w:rsidR="006633DC">
              <w:rPr>
                <w:b/>
                <w:i/>
              </w:rPr>
              <w:t>oikeasuhteinen</w:t>
            </w:r>
            <w:r w:rsidRPr="00246F2E">
              <w:rPr>
                <w:b/>
                <w:i/>
              </w:rPr>
              <w:t xml:space="preserve">, ja se saisi jatkua enintään 90 päivää myönnetyn EU:n tilapäisen matkustusasiakirjan voimassaolon päättymisestä. </w:t>
            </w:r>
            <w:r w:rsidRPr="00246F2E">
              <w:t>Hakijoiden henkilötietojen</w:t>
            </w:r>
            <w:r w:rsidRPr="00246F2E">
              <w:rPr>
                <w:b/>
                <w:i/>
              </w:rPr>
              <w:t xml:space="preserve"> anonymisointi tai</w:t>
            </w:r>
            <w:r w:rsidRPr="00246F2E">
              <w:t xml:space="preserve"> poistaminen ei saisi vaikuttaa jäsenvaltioiden kykyyn seurata tämän direktiivin soveltamista.</w:t>
            </w:r>
          </w:p>
        </w:tc>
      </w:tr>
      <w:tr w:rsidR="001A42A0" w:rsidRPr="00246F2E" w:rsidTr="00072730">
        <w:trPr>
          <w:jc w:val="center"/>
        </w:trPr>
        <w:tc>
          <w:tcPr>
            <w:tcW w:w="4876" w:type="dxa"/>
          </w:tcPr>
          <w:p w:rsidR="001A42A0" w:rsidRPr="00246F2E" w:rsidRDefault="001A42A0" w:rsidP="00072730">
            <w:pPr>
              <w:pStyle w:val="Normal6"/>
            </w:pPr>
            <w:r w:rsidRPr="00246F2E">
              <w:lastRenderedPageBreak/>
              <w:t>__________________</w:t>
            </w:r>
          </w:p>
        </w:tc>
        <w:tc>
          <w:tcPr>
            <w:tcW w:w="4876" w:type="dxa"/>
          </w:tcPr>
          <w:p w:rsidR="001A42A0" w:rsidRPr="00246F2E" w:rsidRDefault="001A42A0" w:rsidP="00072730">
            <w:pPr>
              <w:pStyle w:val="Normal6"/>
              <w:rPr>
                <w:szCs w:val="24"/>
              </w:rPr>
            </w:pPr>
            <w:r w:rsidRPr="00246F2E">
              <w:t>__________________</w:t>
            </w:r>
          </w:p>
        </w:tc>
      </w:tr>
      <w:tr w:rsidR="001A42A0" w:rsidRPr="00246F2E" w:rsidTr="00072730">
        <w:trPr>
          <w:jc w:val="center"/>
        </w:trPr>
        <w:tc>
          <w:tcPr>
            <w:tcW w:w="4876" w:type="dxa"/>
          </w:tcPr>
          <w:p w:rsidR="001A42A0" w:rsidRPr="00246F2E" w:rsidRDefault="001A42A0" w:rsidP="00072730">
            <w:pPr>
              <w:pStyle w:val="Normal6"/>
            </w:pPr>
            <w:r w:rsidRPr="00246F2E">
              <w:rPr>
                <w:vertAlign w:val="superscript"/>
              </w:rPr>
              <w:t>25</w:t>
            </w:r>
            <w:r w:rsidRPr="00246F2E">
              <w:t xml:space="preserve"> Euroopan parlamentin ja neuvoston asetus (EU) 2016/679, annettu 27 päivänä huhtikuuta 2016, luonnollisten henkilöiden suojelusta henkilötietojen käsittelyssä sekä näiden tietojen vapaasta liikkuvuudesta ja direktiivin 95/46/EY kumoamisesta (yleinen tietosuoja-asetus) (EUVL L 119, 4.5.2016, s. 1).</w:t>
            </w:r>
          </w:p>
        </w:tc>
        <w:tc>
          <w:tcPr>
            <w:tcW w:w="4876" w:type="dxa"/>
          </w:tcPr>
          <w:p w:rsidR="001A42A0" w:rsidRPr="00246F2E" w:rsidRDefault="001A42A0" w:rsidP="00072730">
            <w:pPr>
              <w:pStyle w:val="Normal6"/>
              <w:rPr>
                <w:szCs w:val="24"/>
              </w:rPr>
            </w:pPr>
            <w:r w:rsidRPr="00246F2E">
              <w:rPr>
                <w:vertAlign w:val="superscript"/>
              </w:rPr>
              <w:t>25</w:t>
            </w:r>
            <w:r w:rsidRPr="00246F2E">
              <w:t xml:space="preserve"> Euroopan parlamentin ja neuvoston asetus (EU) 2016/679, annettu 27 päivänä huhtikuuta 2016, luonnollisten henkilöiden suojelusta henkilötietojen käsittelyssä sekä näiden tietojen vapaasta liikkuvuudesta ja direktiivin 95/46/EY kumoamisesta (yleinen tietosuoja-asetus) (EUVL L 119, 4.5.2016, s. 1).</w:t>
            </w:r>
          </w:p>
        </w:tc>
      </w:tr>
    </w:tbl>
    <w:p w:rsidR="002B6B1B" w:rsidRPr="004C6753" w:rsidRDefault="00B0503A" w:rsidP="006A7026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</w:pPr>
      <w:r w:rsidRPr="004C6753">
        <w:t xml:space="preserve">Tarkistus </w:t>
      </w:r>
      <w:r w:rsidR="002B6B1B" w:rsidRPr="004C6753">
        <w:t>2</w:t>
      </w:r>
    </w:p>
    <w:p w:rsidR="002B6B1B" w:rsidRPr="004C6753" w:rsidRDefault="002B6B1B" w:rsidP="006A7026">
      <w:pPr>
        <w:pStyle w:val="NormalBold12b"/>
        <w:widowControl/>
      </w:pPr>
      <w:r w:rsidRPr="004C6753">
        <w:t>Ehdotus direktiiviksi</w:t>
      </w:r>
    </w:p>
    <w:p w:rsidR="002B6B1B" w:rsidRPr="004C6753" w:rsidRDefault="002B6B1B" w:rsidP="006A7026">
      <w:pPr>
        <w:pStyle w:val="NormalBold"/>
        <w:widowControl/>
      </w:pPr>
      <w:r w:rsidRPr="004C6753">
        <w:t>4 artikla – 3 kohta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6B1B" w:rsidRPr="004C6753" w:rsidTr="002D5B3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B6B1B" w:rsidRPr="004C6753" w:rsidRDefault="002B6B1B" w:rsidP="006A7026">
            <w:pPr>
              <w:widowControl/>
            </w:pPr>
          </w:p>
        </w:tc>
      </w:tr>
      <w:tr w:rsidR="002B6B1B" w:rsidRPr="004C6753" w:rsidTr="002D5B34">
        <w:trPr>
          <w:trHeight w:val="240"/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Komission teksti</w:t>
            </w:r>
          </w:p>
        </w:tc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Tarkistus</w:t>
            </w:r>
          </w:p>
        </w:tc>
      </w:tr>
      <w:tr w:rsidR="002B6B1B" w:rsidRPr="004C6753" w:rsidTr="002D5B34">
        <w:trPr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Normal6"/>
              <w:widowControl/>
            </w:pPr>
            <w:r w:rsidRPr="004C6753">
              <w:t>3.</w:t>
            </w:r>
            <w:r w:rsidRPr="004C6753">
              <w:tab/>
              <w:t xml:space="preserve">Kansalaisuusjäsenvaltion on </w:t>
            </w:r>
            <w:r w:rsidRPr="004C6753">
              <w:rPr>
                <w:b/>
                <w:i/>
              </w:rPr>
              <w:t>36</w:t>
            </w:r>
            <w:r w:rsidRPr="004C6753">
              <w:t xml:space="preserve"> tunnin kuluessa 2 kohdassa mainittujen tietojen vastaanottamisesta vastattava direktiivin (EU) 2015/637 10 artiklan 3 kohdan mukaisesti ja vahvistettava, onko hakija </w:t>
            </w:r>
            <w:r w:rsidRPr="004C6753">
              <w:rPr>
                <w:b/>
                <w:i/>
              </w:rPr>
              <w:t>on</w:t>
            </w:r>
            <w:r w:rsidRPr="004C6753">
              <w:t xml:space="preserve"> sen kansalainen. Kun hakijan kansalaisuus on vahvistettu, avustavan jäsenvaltion on annettava hakijalle EU:n tilapäinen matkustusasiakirja viimeistään sitä päivää seuraavana työpäivänä, jona se vastaanotti kansalaisuusjäsenvaltion vastauksen.</w:t>
            </w:r>
          </w:p>
        </w:tc>
        <w:tc>
          <w:tcPr>
            <w:tcW w:w="4876" w:type="dxa"/>
          </w:tcPr>
          <w:p w:rsidR="002B6B1B" w:rsidRPr="004C6753" w:rsidRDefault="002B6B1B" w:rsidP="006A7026">
            <w:pPr>
              <w:pStyle w:val="Normal6"/>
              <w:widowControl/>
            </w:pPr>
            <w:r w:rsidRPr="004C6753">
              <w:t>3.</w:t>
            </w:r>
            <w:r w:rsidRPr="004C6753">
              <w:tab/>
              <w:t xml:space="preserve">Kansalaisuusjäsenvaltion on </w:t>
            </w:r>
            <w:r w:rsidRPr="004C6753">
              <w:rPr>
                <w:b/>
                <w:i/>
              </w:rPr>
              <w:t>24</w:t>
            </w:r>
            <w:r w:rsidRPr="004C6753">
              <w:t xml:space="preserve"> tunnin kuluessa 2 kohdassa mainittujen tietojen vastaanottamisesta vastattava direktiivin (EU) 2015/637 10 artiklan 3 kohdan mukaisesti ja vahvistettava, onko hakija sen kansalainen. Kun hakijan kansalaisuus on vahvistettu, avustavan jäsenvaltion on annettava hakijalle EU:n tilapäinen matkustusasiakirja viimeistään sitä päivää seuraavana työpäivänä, jona se vastaanotti kansalaisuusjäsenvaltion vastauksen.</w:t>
            </w:r>
          </w:p>
        </w:tc>
      </w:tr>
    </w:tbl>
    <w:p w:rsidR="002B6B1B" w:rsidRPr="004C6753" w:rsidRDefault="006A7026" w:rsidP="00B0503A">
      <w:pPr>
        <w:pStyle w:val="AMNumberTabs"/>
        <w:keepNext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</w:pPr>
      <w:r w:rsidRPr="004C6753">
        <w:t xml:space="preserve">Tarkistus </w:t>
      </w:r>
      <w:r w:rsidR="002B6B1B" w:rsidRPr="004C6753">
        <w:t>3</w:t>
      </w:r>
    </w:p>
    <w:p w:rsidR="002B6B1B" w:rsidRPr="004C6753" w:rsidRDefault="002B6B1B" w:rsidP="006A7026">
      <w:pPr>
        <w:pStyle w:val="NormalBold12b"/>
        <w:widowControl/>
      </w:pPr>
      <w:r w:rsidRPr="004C6753">
        <w:t>Ehdotus direktiiviksi</w:t>
      </w:r>
    </w:p>
    <w:p w:rsidR="002B6B1B" w:rsidRPr="004C6753" w:rsidRDefault="002B6B1B" w:rsidP="006A7026">
      <w:pPr>
        <w:pStyle w:val="NormalBold"/>
        <w:widowControl/>
      </w:pPr>
      <w:r w:rsidRPr="004C6753">
        <w:t>4 artikla – 4 kohta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6B1B" w:rsidRPr="004C6753" w:rsidTr="002D5B3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B6B1B" w:rsidRPr="004C6753" w:rsidRDefault="002B6B1B" w:rsidP="006A7026">
            <w:pPr>
              <w:widowControl/>
            </w:pPr>
          </w:p>
        </w:tc>
      </w:tr>
      <w:tr w:rsidR="002B6B1B" w:rsidRPr="004C6753" w:rsidTr="002D5B34">
        <w:trPr>
          <w:trHeight w:val="240"/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Komission teksti</w:t>
            </w:r>
          </w:p>
        </w:tc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Tarkistus</w:t>
            </w:r>
          </w:p>
        </w:tc>
      </w:tr>
      <w:tr w:rsidR="002B6B1B" w:rsidRPr="004C6753" w:rsidTr="002D5B34">
        <w:trPr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Normal6"/>
              <w:widowControl/>
            </w:pPr>
            <w:r w:rsidRPr="004C6753">
              <w:t>4.</w:t>
            </w:r>
            <w:r w:rsidRPr="004C6753">
              <w:tab/>
              <w:t>Asianmukaisesti perustelluissa poikkeustapauksissa jäsenvaltiot voivat ylittää 1 ja 3 kohdassa säädetyt määräajat.</w:t>
            </w:r>
          </w:p>
        </w:tc>
        <w:tc>
          <w:tcPr>
            <w:tcW w:w="4876" w:type="dxa"/>
          </w:tcPr>
          <w:p w:rsidR="002B6B1B" w:rsidRPr="004C6753" w:rsidRDefault="002B6B1B" w:rsidP="006A7026">
            <w:pPr>
              <w:pStyle w:val="Normal6"/>
              <w:widowControl/>
            </w:pPr>
            <w:r w:rsidRPr="004C6753">
              <w:t>4.</w:t>
            </w:r>
            <w:r w:rsidRPr="004C6753">
              <w:tab/>
              <w:t xml:space="preserve">Asianmukaisesti perustelluissa poikkeustapauksissa jäsenvaltiot voivat </w:t>
            </w:r>
            <w:r w:rsidRPr="004C6753">
              <w:rPr>
                <w:b/>
                <w:i/>
              </w:rPr>
              <w:t>alittaa tai</w:t>
            </w:r>
            <w:r w:rsidRPr="004C6753">
              <w:t xml:space="preserve"> ylittää 1 ja 3 kohdassa säädetyt määräajat.</w:t>
            </w:r>
          </w:p>
        </w:tc>
      </w:tr>
    </w:tbl>
    <w:p w:rsidR="001A42A0" w:rsidRPr="00BA0F55" w:rsidRDefault="001A42A0" w:rsidP="00D46E20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</w:pPr>
      <w:r w:rsidRPr="00BA0F55">
        <w:lastRenderedPageBreak/>
        <w:t>Tarkistus</w:t>
      </w:r>
      <w:r>
        <w:t xml:space="preserve"> </w:t>
      </w:r>
      <w:r w:rsidRPr="00BA0F55">
        <w:t>6</w:t>
      </w:r>
    </w:p>
    <w:p w:rsidR="001A42A0" w:rsidRPr="00BA0F55" w:rsidRDefault="001A42A0" w:rsidP="00D46E20">
      <w:pPr>
        <w:pStyle w:val="NormalBold12b"/>
        <w:keepNext/>
        <w:widowControl/>
      </w:pPr>
      <w:r w:rsidRPr="00BA0F55">
        <w:t>Ehdotus direktiiviksi</w:t>
      </w:r>
    </w:p>
    <w:p w:rsidR="001A42A0" w:rsidRPr="00BA0F55" w:rsidRDefault="001A42A0" w:rsidP="001A42A0">
      <w:pPr>
        <w:pStyle w:val="NormalBold"/>
      </w:pPr>
      <w:r w:rsidRPr="00BA0F55">
        <w:t>9 artikla – 1 kohta – b alakohta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A42A0" w:rsidRPr="00BA0F55" w:rsidTr="00072730">
        <w:trPr>
          <w:jc w:val="center"/>
        </w:trPr>
        <w:tc>
          <w:tcPr>
            <w:tcW w:w="9752" w:type="dxa"/>
            <w:gridSpan w:val="2"/>
          </w:tcPr>
          <w:p w:rsidR="001A42A0" w:rsidRPr="00BA0F55" w:rsidRDefault="001A42A0" w:rsidP="00072730">
            <w:pPr>
              <w:keepNext/>
            </w:pPr>
          </w:p>
        </w:tc>
      </w:tr>
      <w:tr w:rsidR="001A42A0" w:rsidRPr="00BA0F55" w:rsidTr="00072730">
        <w:trPr>
          <w:jc w:val="center"/>
        </w:trPr>
        <w:tc>
          <w:tcPr>
            <w:tcW w:w="4876" w:type="dxa"/>
          </w:tcPr>
          <w:p w:rsidR="001A42A0" w:rsidRPr="00BA0F55" w:rsidRDefault="001A42A0" w:rsidP="00072730">
            <w:pPr>
              <w:pStyle w:val="ColumnHeading"/>
              <w:keepNext/>
            </w:pPr>
            <w:r w:rsidRPr="00BA0F55">
              <w:t>Komission teksti</w:t>
            </w:r>
          </w:p>
        </w:tc>
        <w:tc>
          <w:tcPr>
            <w:tcW w:w="4876" w:type="dxa"/>
          </w:tcPr>
          <w:p w:rsidR="001A42A0" w:rsidRPr="00BA0F55" w:rsidRDefault="001A42A0" w:rsidP="00072730">
            <w:pPr>
              <w:pStyle w:val="ColumnHeading"/>
              <w:keepNext/>
            </w:pPr>
            <w:r w:rsidRPr="00BA0F55">
              <w:t>Tarkistus</w:t>
            </w:r>
          </w:p>
        </w:tc>
      </w:tr>
      <w:tr w:rsidR="001A42A0" w:rsidRPr="00BA0F55" w:rsidTr="00072730">
        <w:trPr>
          <w:jc w:val="center"/>
        </w:trPr>
        <w:tc>
          <w:tcPr>
            <w:tcW w:w="4876" w:type="dxa"/>
          </w:tcPr>
          <w:p w:rsidR="001A42A0" w:rsidRPr="00BA0F55" w:rsidRDefault="001A42A0" w:rsidP="00072730">
            <w:pPr>
              <w:pStyle w:val="Normal6"/>
            </w:pPr>
            <w:r w:rsidRPr="00BA0F55">
              <w:t>b)</w:t>
            </w:r>
            <w:r w:rsidRPr="00BA0F55">
              <w:tab/>
            </w:r>
            <w:r w:rsidRPr="00BA0F55">
              <w:rPr>
                <w:b/>
                <w:i/>
              </w:rPr>
              <w:t>lisäturvaominaisuudet</w:t>
            </w:r>
            <w:r w:rsidRPr="00BA0F55">
              <w:t xml:space="preserve"> ja </w:t>
            </w:r>
            <w:r w:rsidRPr="00BA0F55">
              <w:noBreakHyphen/>
              <w:t>vaatimukset, muun muassa tehostetut vaatimukset väärentämisen ja jäljentämisen estämiseksi;</w:t>
            </w:r>
          </w:p>
        </w:tc>
        <w:tc>
          <w:tcPr>
            <w:tcW w:w="4876" w:type="dxa"/>
          </w:tcPr>
          <w:p w:rsidR="001A42A0" w:rsidRPr="00BA0F55" w:rsidRDefault="001A42A0" w:rsidP="00072730">
            <w:pPr>
              <w:pStyle w:val="Normal6"/>
              <w:rPr>
                <w:szCs w:val="24"/>
              </w:rPr>
            </w:pPr>
            <w:r w:rsidRPr="00BA0F55">
              <w:t>b)</w:t>
            </w:r>
            <w:r w:rsidRPr="00BA0F55">
              <w:tab/>
            </w:r>
            <w:r w:rsidRPr="00BA0F55">
              <w:rPr>
                <w:b/>
                <w:i/>
              </w:rPr>
              <w:t>muut ei-biometriset turvaominaisuudet</w:t>
            </w:r>
            <w:r w:rsidRPr="00BA0F55">
              <w:t xml:space="preserve"> ja -vaatimukset, muun muassa tehostetut vaatimukset väärentämisen ja jäljentämisen estämiseksi;</w:t>
            </w:r>
          </w:p>
        </w:tc>
      </w:tr>
    </w:tbl>
    <w:p w:rsidR="001A42A0" w:rsidRPr="004E356C" w:rsidRDefault="001A42A0" w:rsidP="00D46E20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</w:pPr>
      <w:r w:rsidRPr="004E356C">
        <w:t>Tarkistus</w:t>
      </w:r>
      <w:r>
        <w:t xml:space="preserve"> </w:t>
      </w:r>
      <w:r w:rsidRPr="004E356C">
        <w:t>7</w:t>
      </w:r>
    </w:p>
    <w:p w:rsidR="001A42A0" w:rsidRPr="004E356C" w:rsidRDefault="001A42A0" w:rsidP="00D46E20">
      <w:pPr>
        <w:pStyle w:val="NormalBold12b"/>
        <w:keepNext/>
        <w:widowControl/>
      </w:pPr>
      <w:r w:rsidRPr="004E356C">
        <w:t>Ehdotus direktiiviksi</w:t>
      </w:r>
    </w:p>
    <w:p w:rsidR="001A42A0" w:rsidRPr="004E356C" w:rsidRDefault="001A42A0" w:rsidP="001A42A0">
      <w:pPr>
        <w:pStyle w:val="NormalBold"/>
      </w:pPr>
      <w:r w:rsidRPr="004E356C">
        <w:t>13 artikla – 4 kohta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A42A0" w:rsidRPr="004E356C" w:rsidTr="00072730">
        <w:trPr>
          <w:jc w:val="center"/>
        </w:trPr>
        <w:tc>
          <w:tcPr>
            <w:tcW w:w="9752" w:type="dxa"/>
            <w:gridSpan w:val="2"/>
          </w:tcPr>
          <w:p w:rsidR="001A42A0" w:rsidRPr="004E356C" w:rsidRDefault="001A42A0" w:rsidP="00072730">
            <w:pPr>
              <w:keepNext/>
            </w:pPr>
          </w:p>
        </w:tc>
      </w:tr>
      <w:tr w:rsidR="001A42A0" w:rsidRPr="004E356C" w:rsidTr="00072730">
        <w:trPr>
          <w:jc w:val="center"/>
        </w:trPr>
        <w:tc>
          <w:tcPr>
            <w:tcW w:w="4876" w:type="dxa"/>
          </w:tcPr>
          <w:p w:rsidR="001A42A0" w:rsidRPr="004E356C" w:rsidRDefault="001A42A0" w:rsidP="00072730">
            <w:pPr>
              <w:pStyle w:val="ColumnHeading"/>
              <w:keepNext/>
            </w:pPr>
            <w:r w:rsidRPr="004E356C">
              <w:t>Komission teksti</w:t>
            </w:r>
          </w:p>
        </w:tc>
        <w:tc>
          <w:tcPr>
            <w:tcW w:w="4876" w:type="dxa"/>
          </w:tcPr>
          <w:p w:rsidR="001A42A0" w:rsidRPr="004E356C" w:rsidRDefault="001A42A0" w:rsidP="00072730">
            <w:pPr>
              <w:pStyle w:val="ColumnHeading"/>
              <w:keepNext/>
            </w:pPr>
            <w:r w:rsidRPr="004E356C">
              <w:t>Tarkistus</w:t>
            </w:r>
          </w:p>
        </w:tc>
      </w:tr>
      <w:tr w:rsidR="001A42A0" w:rsidRPr="004E356C" w:rsidTr="00072730">
        <w:trPr>
          <w:jc w:val="center"/>
        </w:trPr>
        <w:tc>
          <w:tcPr>
            <w:tcW w:w="4876" w:type="dxa"/>
          </w:tcPr>
          <w:p w:rsidR="001A42A0" w:rsidRPr="004E356C" w:rsidRDefault="001A42A0" w:rsidP="00072730">
            <w:pPr>
              <w:pStyle w:val="Normal6"/>
            </w:pPr>
            <w:r w:rsidRPr="004E356C">
              <w:t>4.</w:t>
            </w:r>
            <w:r w:rsidRPr="004E356C">
              <w:tab/>
              <w:t xml:space="preserve">Avustava jäsenvaltio ja kansalaisuusjäsenvaltio saavat säilyttää hakijan henkilötiedot enintään </w:t>
            </w:r>
            <w:r w:rsidRPr="004E356C">
              <w:rPr>
                <w:b/>
                <w:i/>
              </w:rPr>
              <w:t>kolmen vuoden</w:t>
            </w:r>
            <w:r w:rsidRPr="004E356C">
              <w:t xml:space="preserve"> ajan. Henkilötietojen säilyttämisajan päätyttyä hakijan henkilötiedot on poistettava.</w:t>
            </w:r>
          </w:p>
        </w:tc>
        <w:tc>
          <w:tcPr>
            <w:tcW w:w="4876" w:type="dxa"/>
          </w:tcPr>
          <w:p w:rsidR="001A42A0" w:rsidRPr="004E356C" w:rsidRDefault="001A42A0" w:rsidP="00072730">
            <w:pPr>
              <w:pStyle w:val="Normal6"/>
              <w:rPr>
                <w:szCs w:val="24"/>
              </w:rPr>
            </w:pPr>
            <w:r w:rsidRPr="004E356C">
              <w:t>4.</w:t>
            </w:r>
            <w:r w:rsidRPr="004E356C">
              <w:tab/>
              <w:t xml:space="preserve">Avustava jäsenvaltio ja kansalaisuusjäsenvaltio saavat säilyttää hakijan henkilötiedot enintään </w:t>
            </w:r>
            <w:r w:rsidRPr="004E356C">
              <w:rPr>
                <w:b/>
                <w:i/>
              </w:rPr>
              <w:t>90 päivän</w:t>
            </w:r>
            <w:r w:rsidRPr="004E356C">
              <w:t xml:space="preserve"> ajan</w:t>
            </w:r>
            <w:r w:rsidRPr="004E356C">
              <w:rPr>
                <w:b/>
                <w:i/>
              </w:rPr>
              <w:t xml:space="preserve"> myönnetyn EU:n tilapäisen matkustusasiakirjan voimassaolon päättymisestä</w:t>
            </w:r>
            <w:r w:rsidRPr="004E356C">
              <w:t xml:space="preserve">. Henkilötietojen säilyttämisajan päätyttyä hakijan henkilötiedot on poistettava. </w:t>
            </w:r>
            <w:r w:rsidRPr="004E356C">
              <w:rPr>
                <w:b/>
                <w:i/>
              </w:rPr>
              <w:t>Anonymisoituja tietoja voidaan säilyttää, jos se on tarpeen tämän asetuksen seuraamiseksi ja arvioimiseksi.</w:t>
            </w:r>
          </w:p>
        </w:tc>
      </w:tr>
    </w:tbl>
    <w:p w:rsidR="002B6B1B" w:rsidRPr="004C6753" w:rsidRDefault="006A7026" w:rsidP="006A7026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</w:pPr>
      <w:r w:rsidRPr="004C6753">
        <w:t xml:space="preserve">Tarkistus </w:t>
      </w:r>
      <w:r w:rsidR="002B6B1B" w:rsidRPr="004C6753">
        <w:t>4</w:t>
      </w:r>
    </w:p>
    <w:p w:rsidR="002B6B1B" w:rsidRPr="004C6753" w:rsidRDefault="002B6B1B" w:rsidP="006A7026">
      <w:pPr>
        <w:pStyle w:val="NormalBold12b"/>
        <w:widowControl/>
      </w:pPr>
      <w:r w:rsidRPr="004C6753">
        <w:t>Ehdotus direktiiviksi</w:t>
      </w:r>
    </w:p>
    <w:p w:rsidR="002B6B1B" w:rsidRPr="004C6753" w:rsidRDefault="002B6B1B" w:rsidP="006A7026">
      <w:pPr>
        <w:pStyle w:val="NormalBold"/>
        <w:widowControl/>
      </w:pPr>
      <w:r w:rsidRPr="004C6753">
        <w:t>15 artikla – 1 kohta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6B1B" w:rsidRPr="004C6753" w:rsidTr="002D5B3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B6B1B" w:rsidRPr="004C6753" w:rsidRDefault="002B6B1B" w:rsidP="006A7026">
            <w:pPr>
              <w:widowControl/>
            </w:pPr>
          </w:p>
        </w:tc>
      </w:tr>
      <w:tr w:rsidR="002B6B1B" w:rsidRPr="004C6753" w:rsidTr="002D5B34">
        <w:trPr>
          <w:trHeight w:val="240"/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Komission teksti</w:t>
            </w:r>
          </w:p>
        </w:tc>
        <w:tc>
          <w:tcPr>
            <w:tcW w:w="4876" w:type="dxa"/>
          </w:tcPr>
          <w:p w:rsidR="002B6B1B" w:rsidRPr="004C6753" w:rsidRDefault="002B6B1B" w:rsidP="006A7026">
            <w:pPr>
              <w:pStyle w:val="ColumnHeading"/>
              <w:widowControl/>
            </w:pPr>
            <w:r w:rsidRPr="004C6753">
              <w:t>Tarkistus</w:t>
            </w:r>
          </w:p>
        </w:tc>
      </w:tr>
      <w:tr w:rsidR="002B6B1B" w:rsidRPr="003B0898" w:rsidTr="002D5B34">
        <w:trPr>
          <w:jc w:val="center"/>
        </w:trPr>
        <w:tc>
          <w:tcPr>
            <w:tcW w:w="4876" w:type="dxa"/>
          </w:tcPr>
          <w:p w:rsidR="002B6B1B" w:rsidRPr="004C6753" w:rsidRDefault="002B6B1B" w:rsidP="006A7026">
            <w:pPr>
              <w:pStyle w:val="Normal6"/>
              <w:widowControl/>
            </w:pPr>
            <w:r w:rsidRPr="004C6753">
              <w:t>1.</w:t>
            </w:r>
            <w:r w:rsidRPr="004C6753">
              <w:tab/>
              <w:t xml:space="preserve">Komissio tekee arvioinnin tämän direktiivin soveltamisesta aikaisintaan </w:t>
            </w:r>
            <w:r w:rsidRPr="004C6753">
              <w:rPr>
                <w:b/>
                <w:i/>
              </w:rPr>
              <w:t>viisi</w:t>
            </w:r>
            <w:r w:rsidRPr="004C6753">
              <w:t xml:space="preserve"> vuotta sen päivän jälkeen, johon mennessä direktiivi on saatettava osaksi kansallista lainsäädäntöä, ja toimittaa Euroopan parlamentille ja neuvostolle kertomuksen arviointia koskevista keskeisistä havainnoista, mukaan lukien henkilötietojen turvallisuustason asianmukaisuudesta.</w:t>
            </w:r>
          </w:p>
        </w:tc>
        <w:tc>
          <w:tcPr>
            <w:tcW w:w="4876" w:type="dxa"/>
          </w:tcPr>
          <w:p w:rsidR="002B6B1B" w:rsidRPr="003B0898" w:rsidRDefault="002B6B1B" w:rsidP="006A7026">
            <w:pPr>
              <w:pStyle w:val="Normal6"/>
              <w:widowControl/>
            </w:pPr>
            <w:r w:rsidRPr="004C6753">
              <w:t>1.</w:t>
            </w:r>
            <w:r w:rsidRPr="004C6753">
              <w:tab/>
              <w:t xml:space="preserve">Komissio tekee arvioinnin tämän direktiivin soveltamisesta aikaisintaan </w:t>
            </w:r>
            <w:r w:rsidRPr="004C6753">
              <w:rPr>
                <w:b/>
                <w:i/>
              </w:rPr>
              <w:t>kolme</w:t>
            </w:r>
            <w:r w:rsidRPr="004C6753">
              <w:t xml:space="preserve"> vuotta sen päivän jälkeen, johon mennessä direktiivi on saatettava osaksi kansallista lainsäädäntöä, ja toimittaa Euroopan parlamentille ja neuvostolle kertomuksen arviointia koskevista keskeisistä havainnoista, mukaan lukien henkilötietojen turvallisuustason asianmukaisuudesta</w:t>
            </w:r>
            <w:r w:rsidRPr="004C6753">
              <w:rPr>
                <w:b/>
                <w:i/>
              </w:rPr>
              <w:t xml:space="preserve"> sekä mahdollisesta vaikutuksesta perusoikeuksiin</w:t>
            </w:r>
            <w:r w:rsidRPr="004C6753">
              <w:t>.</w:t>
            </w:r>
          </w:p>
        </w:tc>
      </w:tr>
    </w:tbl>
    <w:p w:rsidR="00E365E1" w:rsidRPr="003B0898" w:rsidRDefault="00E365E1" w:rsidP="006A7026">
      <w:pPr>
        <w:widowControl/>
      </w:pPr>
      <w:bookmarkStart w:id="10" w:name="TextBodyEnd"/>
      <w:bookmarkEnd w:id="10"/>
    </w:p>
    <w:sectPr w:rsidR="00E365E1" w:rsidRPr="003B0898" w:rsidSect="003B0898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DE" w:rsidRPr="003B0898" w:rsidRDefault="00F30FDE">
      <w:r w:rsidRPr="003B0898">
        <w:separator/>
      </w:r>
    </w:p>
  </w:endnote>
  <w:endnote w:type="continuationSeparator" w:id="0">
    <w:p w:rsidR="00F30FDE" w:rsidRPr="003B0898" w:rsidRDefault="00F30FDE">
      <w:r w:rsidRPr="003B08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DE" w:rsidRPr="003B0898" w:rsidRDefault="00F30FDE">
      <w:r w:rsidRPr="003B0898">
        <w:separator/>
      </w:r>
    </w:p>
  </w:footnote>
  <w:footnote w:type="continuationSeparator" w:id="0">
    <w:p w:rsidR="00F30FDE" w:rsidRPr="003B0898" w:rsidRDefault="00F30FDE">
      <w:r w:rsidRPr="003B089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433/2018"/>
    <w:docVar w:name="dvlangue" w:val="FI"/>
    <w:docVar w:name="dvnumam" w:val="0"/>
    <w:docVar w:name="dvpe" w:val="627.613"/>
    <w:docVar w:name="dvrapporteur" w:val="Esittelijä: "/>
    <w:docVar w:name="dvtitre" w:val="Euroopan parlamentin lainsäädäntöpäätöslauselma xx. xxxkuuta 2018 ehdotuksesta neuvoston direktiiviksi EU:n tilapäisen matkustusasiakirjan laatimisesta ja päätöksen 96/409/YUTP kumoamisesta(COM(2018)0358 – C8-0386/2018 – 2018/0186(CNS))"/>
  </w:docVars>
  <w:rsids>
    <w:rsidRoot w:val="00F30FDE"/>
    <w:rsid w:val="00002272"/>
    <w:rsid w:val="000677B9"/>
    <w:rsid w:val="000E7DD9"/>
    <w:rsid w:val="0010095E"/>
    <w:rsid w:val="00125B37"/>
    <w:rsid w:val="001A42A0"/>
    <w:rsid w:val="001B07A2"/>
    <w:rsid w:val="002767FF"/>
    <w:rsid w:val="002B5493"/>
    <w:rsid w:val="002B6B1B"/>
    <w:rsid w:val="00357CC5"/>
    <w:rsid w:val="00361C00"/>
    <w:rsid w:val="00395FA1"/>
    <w:rsid w:val="003B0898"/>
    <w:rsid w:val="003E15D4"/>
    <w:rsid w:val="00411CCE"/>
    <w:rsid w:val="0041666E"/>
    <w:rsid w:val="00421060"/>
    <w:rsid w:val="00480758"/>
    <w:rsid w:val="00494A28"/>
    <w:rsid w:val="004C6753"/>
    <w:rsid w:val="0050519A"/>
    <w:rsid w:val="005072A1"/>
    <w:rsid w:val="00514517"/>
    <w:rsid w:val="006037C0"/>
    <w:rsid w:val="006633DC"/>
    <w:rsid w:val="00680577"/>
    <w:rsid w:val="006A7026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0503A"/>
    <w:rsid w:val="00B558F0"/>
    <w:rsid w:val="00BD7BD8"/>
    <w:rsid w:val="00C05BFE"/>
    <w:rsid w:val="00C23CD4"/>
    <w:rsid w:val="00C941CB"/>
    <w:rsid w:val="00CC2357"/>
    <w:rsid w:val="00D058B8"/>
    <w:rsid w:val="00D12241"/>
    <w:rsid w:val="00D46E20"/>
    <w:rsid w:val="00D834A0"/>
    <w:rsid w:val="00D91E21"/>
    <w:rsid w:val="00E365E1"/>
    <w:rsid w:val="00ED4235"/>
    <w:rsid w:val="00F04346"/>
    <w:rsid w:val="00F075DC"/>
    <w:rsid w:val="00F30FDE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8B26-3084-4B14-816A-F2A90BD0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2B6B1B"/>
    <w:rPr>
      <w:sz w:val="24"/>
      <w:lang w:val="fi-FI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2B6B1B"/>
    <w:rPr>
      <w:b/>
      <w:sz w:val="24"/>
      <w:lang w:val="fi-FI"/>
    </w:rPr>
  </w:style>
  <w:style w:type="paragraph" w:customStyle="1" w:styleId="Normal12Italic">
    <w:name w:val="Normal12Italic"/>
    <w:basedOn w:val="Normal"/>
    <w:rsid w:val="002B6B1B"/>
    <w:pPr>
      <w:spacing w:before="240"/>
    </w:pPr>
    <w:rPr>
      <w:i/>
    </w:rPr>
  </w:style>
  <w:style w:type="paragraph" w:customStyle="1" w:styleId="JustificationTitle">
    <w:name w:val="JustificationTitle"/>
    <w:basedOn w:val="Normal"/>
    <w:next w:val="Normal12"/>
    <w:rsid w:val="002B6B1B"/>
    <w:pPr>
      <w:keepNext/>
      <w:spacing w:before="240"/>
      <w:jc w:val="center"/>
    </w:pPr>
    <w:rPr>
      <w:i/>
    </w:rPr>
  </w:style>
  <w:style w:type="paragraph" w:customStyle="1" w:styleId="ColumnHeading">
    <w:name w:val="ColumnHeading"/>
    <w:basedOn w:val="Normal"/>
    <w:rsid w:val="002B6B1B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B6B1B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link w:val="NormalBold12bChar"/>
    <w:rsid w:val="002B6B1B"/>
    <w:pPr>
      <w:spacing w:before="240"/>
    </w:pPr>
    <w:rPr>
      <w:b/>
    </w:rPr>
  </w:style>
  <w:style w:type="character" w:customStyle="1" w:styleId="NormalBold12bChar">
    <w:name w:val="NormalBold12b Char"/>
    <w:basedOn w:val="DefaultParagraphFont"/>
    <w:link w:val="NormalBold12b"/>
    <w:rsid w:val="001A42A0"/>
    <w:rPr>
      <w:b/>
      <w:sz w:val="24"/>
      <w:lang w:val="fi-FI"/>
    </w:rPr>
  </w:style>
  <w:style w:type="paragraph" w:styleId="BalloonText">
    <w:name w:val="Balloon Text"/>
    <w:basedOn w:val="Normal"/>
    <w:link w:val="BalloonTextChar"/>
    <w:rsid w:val="0035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CC5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VUORIHUHTA Anne Kristiina</dc:creator>
  <cp:keywords/>
  <cp:lastModifiedBy>KINNUNEN Hannele</cp:lastModifiedBy>
  <cp:revision>2</cp:revision>
  <cp:lastPrinted>2004-11-19T15:42:00Z</cp:lastPrinted>
  <dcterms:created xsi:type="dcterms:W3CDTF">2019-09-25T16:18:00Z</dcterms:created>
  <dcterms:modified xsi:type="dcterms:W3CDTF">2019-09-25T16:18:00Z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P8_TA-PROV(2019)0027_</vt:lpwstr>
  </property>
  <property fmtid="{D5CDD505-2E9C-101B-9397-08002B2CF9AE}" pid="4" name="&lt;Type&gt;">
    <vt:lpwstr>RR</vt:lpwstr>
  </property>
</Properties>
</file>