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F4529" w:rsidTr="0010095E">
        <w:trPr>
          <w:trHeight w:hRule="exact" w:val="1418"/>
        </w:trPr>
        <w:tc>
          <w:tcPr>
            <w:tcW w:w="6804" w:type="dxa"/>
            <w:shd w:val="clear" w:color="auto" w:fill="auto"/>
            <w:vAlign w:val="center"/>
          </w:tcPr>
          <w:p w:rsidR="00751A4A" w:rsidRPr="007F4529" w:rsidRDefault="008B394C" w:rsidP="0010095E">
            <w:pPr>
              <w:pStyle w:val="EPName"/>
              <w:rPr>
                <w:lang w:val="es-ES_tradnl"/>
              </w:rPr>
            </w:pPr>
            <w:r w:rsidRPr="007F4529">
              <w:rPr>
                <w:lang w:val="es-ES_tradnl"/>
              </w:rPr>
              <w:t>Parlamento Europeo</w:t>
            </w:r>
          </w:p>
          <w:p w:rsidR="00751A4A" w:rsidRPr="007F4529" w:rsidRDefault="00756632" w:rsidP="00756632">
            <w:pPr>
              <w:pStyle w:val="EPTerm"/>
              <w:rPr>
                <w:rStyle w:val="HideTWBExt"/>
                <w:noProof w:val="0"/>
                <w:vanish w:val="0"/>
                <w:color w:val="auto"/>
                <w:lang w:val="es-ES_tradnl"/>
              </w:rPr>
            </w:pPr>
            <w:r w:rsidRPr="007F4529">
              <w:rPr>
                <w:lang w:val="es-ES_tradnl"/>
              </w:rPr>
              <w:t>2014</w:t>
            </w:r>
            <w:r w:rsidR="00C941CB" w:rsidRPr="007F4529">
              <w:rPr>
                <w:lang w:val="es-ES_tradnl"/>
              </w:rPr>
              <w:t>-2019</w:t>
            </w:r>
          </w:p>
        </w:tc>
        <w:tc>
          <w:tcPr>
            <w:tcW w:w="2268" w:type="dxa"/>
            <w:shd w:val="clear" w:color="auto" w:fill="auto"/>
          </w:tcPr>
          <w:p w:rsidR="00751A4A" w:rsidRPr="007F4529" w:rsidRDefault="006B7F9E"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7" o:title="EP logo RGB_Mute"/>
                </v:shape>
              </w:pict>
            </w:r>
          </w:p>
        </w:tc>
      </w:tr>
    </w:tbl>
    <w:p w:rsidR="00D058B8" w:rsidRPr="007F4529" w:rsidRDefault="00D058B8" w:rsidP="00D058B8">
      <w:pPr>
        <w:pStyle w:val="LineTop"/>
        <w:rPr>
          <w:lang w:val="es-ES_tradnl"/>
        </w:rPr>
      </w:pPr>
    </w:p>
    <w:p w:rsidR="00680577" w:rsidRPr="007F4529" w:rsidRDefault="008B394C" w:rsidP="00680577">
      <w:pPr>
        <w:pStyle w:val="ZSessionDoc"/>
        <w:rPr>
          <w:b/>
          <w:i w:val="0"/>
        </w:rPr>
      </w:pPr>
      <w:r w:rsidRPr="007F4529">
        <w:rPr>
          <w:b/>
          <w:i w:val="0"/>
        </w:rPr>
        <w:t>TEXTOS APROBADOS</w:t>
      </w:r>
    </w:p>
    <w:p w:rsidR="00D058B8" w:rsidRPr="007F4529" w:rsidRDefault="00D058B8" w:rsidP="00D058B8">
      <w:pPr>
        <w:pStyle w:val="LineBottom"/>
      </w:pPr>
    </w:p>
    <w:p w:rsidR="008B394C" w:rsidRPr="007F4529" w:rsidRDefault="002464EC" w:rsidP="008B394C">
      <w:pPr>
        <w:pStyle w:val="ATHeading1"/>
        <w:rPr>
          <w:noProof w:val="0"/>
          <w:lang w:val="es-ES_tradnl"/>
        </w:rPr>
      </w:pPr>
      <w:bookmarkStart w:id="0" w:name="TANumber"/>
      <w:r>
        <w:rPr>
          <w:noProof w:val="0"/>
          <w:lang w:val="es-ES_tradnl"/>
        </w:rPr>
        <w:t>P8_</w:t>
      </w:r>
      <w:proofErr w:type="gramStart"/>
      <w:r>
        <w:rPr>
          <w:noProof w:val="0"/>
          <w:lang w:val="es-ES_tradnl"/>
        </w:rPr>
        <w:t>TA</w:t>
      </w:r>
      <w:r w:rsidR="008B394C" w:rsidRPr="007F4529">
        <w:rPr>
          <w:noProof w:val="0"/>
          <w:lang w:val="es-ES_tradnl"/>
        </w:rPr>
        <w:t>(</w:t>
      </w:r>
      <w:proofErr w:type="gramEnd"/>
      <w:r w:rsidR="008B394C" w:rsidRPr="007F4529">
        <w:rPr>
          <w:noProof w:val="0"/>
          <w:lang w:val="es-ES_tradnl"/>
        </w:rPr>
        <w:t>2019)00</w:t>
      </w:r>
      <w:r w:rsidR="0096698F" w:rsidRPr="007F4529">
        <w:rPr>
          <w:noProof w:val="0"/>
          <w:lang w:val="es-ES_tradnl"/>
        </w:rPr>
        <w:t>55</w:t>
      </w:r>
      <w:bookmarkEnd w:id="0"/>
    </w:p>
    <w:p w:rsidR="008B394C" w:rsidRPr="007F4529" w:rsidRDefault="008B394C" w:rsidP="008B394C">
      <w:pPr>
        <w:pStyle w:val="ATHeading2"/>
        <w:rPr>
          <w:noProof w:val="0"/>
          <w:lang w:val="es-ES_tradnl"/>
        </w:rPr>
      </w:pPr>
      <w:bookmarkStart w:id="1" w:name="title"/>
      <w:r w:rsidRPr="007F4529">
        <w:rPr>
          <w:noProof w:val="0"/>
          <w:lang w:val="es-ES_tradnl"/>
        </w:rPr>
        <w:t>Aplicación y funcionamiento del nombre de dominio de primer nivel «.eu»</w:t>
      </w:r>
      <w:bookmarkEnd w:id="1"/>
      <w:r w:rsidRPr="007F4529">
        <w:rPr>
          <w:noProof w:val="0"/>
          <w:lang w:val="es-ES_tradnl"/>
        </w:rPr>
        <w:t xml:space="preserve"> </w:t>
      </w:r>
      <w:bookmarkStart w:id="2" w:name="Etoiles"/>
      <w:r w:rsidRPr="007F4529">
        <w:rPr>
          <w:noProof w:val="0"/>
          <w:lang w:val="es-ES_tradnl"/>
        </w:rPr>
        <w:t>***I</w:t>
      </w:r>
      <w:bookmarkEnd w:id="2"/>
    </w:p>
    <w:p w:rsidR="008B394C" w:rsidRPr="007F4529" w:rsidRDefault="008B394C" w:rsidP="008B394C">
      <w:pPr>
        <w:rPr>
          <w:i/>
          <w:vanish/>
        </w:rPr>
      </w:pPr>
      <w:r w:rsidRPr="007F4529">
        <w:rPr>
          <w:i/>
        </w:rPr>
        <w:fldChar w:fldCharType="begin"/>
      </w:r>
      <w:r w:rsidRPr="007F4529">
        <w:rPr>
          <w:i/>
        </w:rPr>
        <w:instrText xml:space="preserve"> TC"(</w:instrText>
      </w:r>
      <w:bookmarkStart w:id="3" w:name="DocNumber"/>
      <w:r w:rsidRPr="007F4529">
        <w:rPr>
          <w:i/>
        </w:rPr>
        <w:instrText>A8-0394/2018</w:instrText>
      </w:r>
      <w:bookmarkEnd w:id="3"/>
      <w:r w:rsidRPr="007F4529">
        <w:rPr>
          <w:i/>
        </w:rPr>
        <w:instrText xml:space="preserve"> - Ponente: </w:instrText>
      </w:r>
      <w:proofErr w:type="spellStart"/>
      <w:r w:rsidRPr="007F4529">
        <w:rPr>
          <w:i/>
        </w:rPr>
        <w:instrText>Fredrick</w:instrText>
      </w:r>
      <w:proofErr w:type="spellEnd"/>
      <w:r w:rsidRPr="007F4529">
        <w:rPr>
          <w:i/>
        </w:rPr>
        <w:instrText xml:space="preserve"> </w:instrText>
      </w:r>
      <w:proofErr w:type="spellStart"/>
      <w:r w:rsidRPr="007F4529">
        <w:rPr>
          <w:i/>
        </w:rPr>
        <w:instrText>Federley</w:instrText>
      </w:r>
      <w:proofErr w:type="spellEnd"/>
      <w:r w:rsidRPr="007F4529">
        <w:rPr>
          <w:i/>
        </w:rPr>
        <w:instrText xml:space="preserve">)"\l3 \n&gt; \* MERGEFORMAT </w:instrText>
      </w:r>
      <w:r w:rsidRPr="007F4529">
        <w:rPr>
          <w:i/>
        </w:rPr>
        <w:fldChar w:fldCharType="end"/>
      </w:r>
    </w:p>
    <w:p w:rsidR="008B394C" w:rsidRPr="007F4529" w:rsidRDefault="008B394C" w:rsidP="008B394C">
      <w:pPr>
        <w:rPr>
          <w:vanish/>
        </w:rPr>
      </w:pPr>
      <w:bookmarkStart w:id="4" w:name="Commission"/>
      <w:r w:rsidRPr="007F4529">
        <w:rPr>
          <w:vanish/>
        </w:rPr>
        <w:t>Comisión de Industria, Investigación y Energía</w:t>
      </w:r>
      <w:bookmarkEnd w:id="4"/>
    </w:p>
    <w:p w:rsidR="008B394C" w:rsidRPr="007F4529" w:rsidRDefault="008B394C" w:rsidP="008B394C">
      <w:pPr>
        <w:rPr>
          <w:vanish/>
        </w:rPr>
      </w:pPr>
      <w:bookmarkStart w:id="5" w:name="PE"/>
      <w:r w:rsidRPr="007F4529">
        <w:rPr>
          <w:vanish/>
        </w:rPr>
        <w:t>PE626.994</w:t>
      </w:r>
      <w:bookmarkEnd w:id="5"/>
    </w:p>
    <w:p w:rsidR="008B394C" w:rsidRPr="007F4529" w:rsidRDefault="008B394C" w:rsidP="008B394C">
      <w:pPr>
        <w:pStyle w:val="ATHeading3"/>
        <w:rPr>
          <w:noProof w:val="0"/>
          <w:lang w:val="es-ES_tradnl"/>
        </w:rPr>
      </w:pPr>
      <w:bookmarkStart w:id="6" w:name="Sujet"/>
      <w:r w:rsidRPr="007F4529">
        <w:rPr>
          <w:noProof w:val="0"/>
          <w:lang w:val="es-ES_tradnl"/>
        </w:rPr>
        <w:t>Resolución legislativa del Parlamento Europeo, de 31 de enero de 2019, sobre la propuesta de Reglamento del Parlamento Europeo y del Consejo sobre la aplicación y el funcionamiento del nombre de dominio de primer nivel «.eu» y por el que se derogan el Reglamento (CE) n.º 733/2002 y el Reglamento (CE) n.º 874/2004 de la Comisión</w:t>
      </w:r>
      <w:bookmarkEnd w:id="6"/>
      <w:r w:rsidRPr="007F4529">
        <w:rPr>
          <w:noProof w:val="0"/>
          <w:lang w:val="es-ES_tradnl"/>
        </w:rPr>
        <w:t xml:space="preserve"> </w:t>
      </w:r>
      <w:bookmarkStart w:id="7" w:name="References"/>
      <w:r w:rsidRPr="007F4529">
        <w:rPr>
          <w:noProof w:val="0"/>
          <w:lang w:val="es-ES_tradnl"/>
        </w:rPr>
        <w:t>(</w:t>
      </w:r>
      <w:proofErr w:type="gramStart"/>
      <w:r w:rsidRPr="007F4529">
        <w:rPr>
          <w:noProof w:val="0"/>
          <w:lang w:val="es-ES_tradnl"/>
        </w:rPr>
        <w:t>COM(</w:t>
      </w:r>
      <w:proofErr w:type="gramEnd"/>
      <w:r w:rsidRPr="007F4529">
        <w:rPr>
          <w:noProof w:val="0"/>
          <w:lang w:val="es-ES_tradnl"/>
        </w:rPr>
        <w:t>2018)0231 – C8-0170/2018 – 2018/0110(COD))</w:t>
      </w:r>
      <w:bookmarkEnd w:id="7"/>
    </w:p>
    <w:p w:rsidR="008B394C" w:rsidRPr="007F4529" w:rsidRDefault="008B394C" w:rsidP="008B394C"/>
    <w:p w:rsidR="0065246E" w:rsidRPr="007F4529" w:rsidRDefault="0065246E" w:rsidP="0065246E">
      <w:pPr>
        <w:pStyle w:val="Normal12Bold"/>
      </w:pPr>
      <w:bookmarkStart w:id="8" w:name="TextBodyBegin"/>
      <w:bookmarkEnd w:id="8"/>
      <w:r w:rsidRPr="007F4529">
        <w:t>(Procedimiento legislativo ordinario: primera lectura)</w:t>
      </w:r>
    </w:p>
    <w:p w:rsidR="0065246E" w:rsidRPr="007F4529" w:rsidRDefault="0065246E" w:rsidP="0065246E">
      <w:pPr>
        <w:pStyle w:val="Normal12"/>
      </w:pPr>
      <w:r w:rsidRPr="007F4529">
        <w:rPr>
          <w:i/>
        </w:rPr>
        <w:t>El Parlamento Europeo</w:t>
      </w:r>
      <w:r w:rsidRPr="007F4529">
        <w:t>,</w:t>
      </w:r>
    </w:p>
    <w:p w:rsidR="0065246E" w:rsidRPr="007F4529" w:rsidRDefault="0065246E" w:rsidP="0065246E">
      <w:pPr>
        <w:pStyle w:val="Normal12Hanging"/>
      </w:pPr>
      <w:r w:rsidRPr="007F4529">
        <w:t>–</w:t>
      </w:r>
      <w:r w:rsidRPr="007F4529">
        <w:tab/>
        <w:t>Vista la propuesta de la Comisión al Parlamento Europeo y al Consejo (</w:t>
      </w:r>
      <w:proofErr w:type="gramStart"/>
      <w:r w:rsidRPr="007F4529">
        <w:t>COM(</w:t>
      </w:r>
      <w:proofErr w:type="gramEnd"/>
      <w:r w:rsidRPr="007F4529">
        <w:t>2018)0231),</w:t>
      </w:r>
    </w:p>
    <w:p w:rsidR="0065246E" w:rsidRPr="007F4529" w:rsidRDefault="0065246E" w:rsidP="0065246E">
      <w:pPr>
        <w:pStyle w:val="Normal12Hanging"/>
      </w:pPr>
      <w:r w:rsidRPr="007F4529">
        <w:t>–</w:t>
      </w:r>
      <w:r w:rsidRPr="007F4529">
        <w:tab/>
        <w:t>Vistos el artículo 294, apartado 2, y el artículo 172 del Tratado de Funcionamiento de la Unión Europea, conforme a los cuales la Comisión le ha presentado su propuesta (C8</w:t>
      </w:r>
      <w:r w:rsidRPr="007F4529">
        <w:noBreakHyphen/>
        <w:t>0170/2018),</w:t>
      </w:r>
      <w:bookmarkStart w:id="9" w:name="_GoBack"/>
      <w:bookmarkEnd w:id="9"/>
    </w:p>
    <w:p w:rsidR="0065246E" w:rsidRPr="007F4529" w:rsidRDefault="0065246E" w:rsidP="0065246E">
      <w:pPr>
        <w:pStyle w:val="Normal12Hanging"/>
      </w:pPr>
      <w:r w:rsidRPr="007F4529">
        <w:t>–</w:t>
      </w:r>
      <w:r w:rsidRPr="007F4529">
        <w:tab/>
        <w:t>Visto el artículo 294, apartado 3, del Tratado de Funcionamiento de la Unión Europea,</w:t>
      </w:r>
    </w:p>
    <w:p w:rsidR="0065246E" w:rsidRPr="007F4529" w:rsidRDefault="0065246E" w:rsidP="0065246E">
      <w:pPr>
        <w:pStyle w:val="Normal12Hanging"/>
      </w:pPr>
      <w:r w:rsidRPr="007F4529">
        <w:t>–</w:t>
      </w:r>
      <w:r w:rsidRPr="007F4529">
        <w:tab/>
        <w:t>Visto el dictamen del Comité Económico y Social Europeo de 11 de julio de 2018</w:t>
      </w:r>
      <w:r w:rsidRPr="007F4529">
        <w:rPr>
          <w:rStyle w:val="FootnoteReference"/>
        </w:rPr>
        <w:footnoteReference w:id="1"/>
      </w:r>
      <w:r w:rsidRPr="007F4529">
        <w:t>,</w:t>
      </w:r>
    </w:p>
    <w:p w:rsidR="0065246E" w:rsidRPr="007F4529" w:rsidRDefault="0065246E" w:rsidP="0065246E">
      <w:pPr>
        <w:pStyle w:val="Normal12Hanging"/>
      </w:pPr>
      <w:r w:rsidRPr="007F4529">
        <w:t>–</w:t>
      </w:r>
      <w:r w:rsidRPr="007F4529">
        <w:tab/>
      </w:r>
      <w:r w:rsidR="001D180A" w:rsidRPr="007F4529">
        <w:t>Previa consulta al</w:t>
      </w:r>
      <w:r w:rsidRPr="007F4529">
        <w:t xml:space="preserve"> Comité de las Regiones</w:t>
      </w:r>
      <w:r w:rsidR="001D180A" w:rsidRPr="007F4529">
        <w:t>;</w:t>
      </w:r>
    </w:p>
    <w:p w:rsidR="001D180A" w:rsidRPr="007F4529" w:rsidRDefault="001D180A" w:rsidP="0065246E">
      <w:pPr>
        <w:pStyle w:val="Normal12Hanging"/>
      </w:pPr>
      <w:r w:rsidRPr="007F4529">
        <w:t>–</w:t>
      </w:r>
      <w:r w:rsidRPr="007F4529">
        <w:tab/>
        <w:t>Vistos el acuerdo provisional aprobado por la comisión competente con arreglo al artículo 69 septies, apartado 4, del Reglamento interno, y el compromiso asumido por el representante del Consejo, mediante carta de 19 de diciembre de 2018, de aprobar la posición del Parlamento, de conformidad con el artículo 294, apartado 4, del Tratado de Funcionamiento de la Unión Europea,</w:t>
      </w:r>
    </w:p>
    <w:p w:rsidR="0065246E" w:rsidRPr="007F4529" w:rsidRDefault="0065246E" w:rsidP="0065246E">
      <w:pPr>
        <w:pStyle w:val="Normal12Hanging"/>
      </w:pPr>
      <w:r w:rsidRPr="007F4529">
        <w:t>–</w:t>
      </w:r>
      <w:r w:rsidRPr="007F4529">
        <w:tab/>
        <w:t>Visto el artículo 59 de su Reglamento interno,</w:t>
      </w:r>
    </w:p>
    <w:p w:rsidR="0065246E" w:rsidRPr="007F4529" w:rsidRDefault="0065246E" w:rsidP="0065246E">
      <w:pPr>
        <w:pStyle w:val="Normal12Hanging"/>
      </w:pPr>
      <w:r w:rsidRPr="007F4529">
        <w:lastRenderedPageBreak/>
        <w:t>–</w:t>
      </w:r>
      <w:r w:rsidRPr="007F4529">
        <w:tab/>
        <w:t>Visto el informe de la Comisión de Industria, Investigación y Energía (A8-0394/2018),</w:t>
      </w:r>
    </w:p>
    <w:p w:rsidR="0065246E" w:rsidRPr="007F4529" w:rsidRDefault="0065246E" w:rsidP="0065246E">
      <w:pPr>
        <w:pStyle w:val="Normal12Hanging"/>
      </w:pPr>
      <w:r w:rsidRPr="007F4529">
        <w:t>1.</w:t>
      </w:r>
      <w:r w:rsidRPr="007F4529">
        <w:tab/>
        <w:t>Aprueba la Posición en primera lectura que figura a continuación;</w:t>
      </w:r>
    </w:p>
    <w:p w:rsidR="0065246E" w:rsidRPr="007F4529" w:rsidRDefault="0065246E" w:rsidP="0065246E">
      <w:pPr>
        <w:pStyle w:val="Normal12Hanging"/>
      </w:pPr>
      <w:r w:rsidRPr="007F4529">
        <w:t>2.</w:t>
      </w:r>
      <w:r w:rsidRPr="007F4529">
        <w:tab/>
        <w:t>Pide a la Comisión que le consulte de nuevo si sustituye su propuesta, la modifica sustancialmente o se propone modificarla sustancialmente;</w:t>
      </w:r>
    </w:p>
    <w:p w:rsidR="001D180A" w:rsidRPr="007F4529" w:rsidRDefault="0065246E" w:rsidP="0065246E">
      <w:pPr>
        <w:pStyle w:val="Normal12Hanging"/>
      </w:pPr>
      <w:r w:rsidRPr="007F4529">
        <w:t>3.</w:t>
      </w:r>
      <w:r w:rsidRPr="007F4529">
        <w:tab/>
        <w:t>Encarga a su presidente que transmita la Posición del Parlamento al Consejo y a la Comisión, así como a los Parlamentos nacionales.</w:t>
      </w:r>
    </w:p>
    <w:p w:rsidR="00957130" w:rsidRPr="007F4529" w:rsidRDefault="001D180A" w:rsidP="00957130">
      <w:pPr>
        <w:pStyle w:val="Normal12Hanging"/>
        <w:ind w:left="0" w:firstLine="0"/>
        <w:jc w:val="both"/>
        <w:rPr>
          <w:b/>
        </w:rPr>
      </w:pPr>
      <w:r w:rsidRPr="007F4529">
        <w:br w:type="page"/>
      </w:r>
      <w:bookmarkStart w:id="10" w:name="TextBodyEnd"/>
      <w:bookmarkEnd w:id="10"/>
      <w:r w:rsidR="00957130" w:rsidRPr="007F4529">
        <w:rPr>
          <w:b/>
        </w:rPr>
        <w:lastRenderedPageBreak/>
        <w:t>P8_TC1-</w:t>
      </w:r>
      <w:proofErr w:type="gramStart"/>
      <w:r w:rsidR="00957130" w:rsidRPr="007F4529">
        <w:rPr>
          <w:b/>
        </w:rPr>
        <w:t>COD(</w:t>
      </w:r>
      <w:proofErr w:type="gramEnd"/>
      <w:r w:rsidR="00957130" w:rsidRPr="007F4529">
        <w:rPr>
          <w:b/>
        </w:rPr>
        <w:t>2018)0110</w:t>
      </w:r>
    </w:p>
    <w:p w:rsidR="00957130" w:rsidRDefault="00957130" w:rsidP="0096698F">
      <w:pPr>
        <w:pStyle w:val="Titreobjet"/>
        <w:tabs>
          <w:tab w:val="left" w:pos="851"/>
          <w:tab w:val="left" w:pos="1418"/>
          <w:tab w:val="left" w:pos="1985"/>
          <w:tab w:val="left" w:pos="2552"/>
        </w:tabs>
        <w:jc w:val="left"/>
      </w:pPr>
      <w:r w:rsidRPr="007F4529">
        <w:t xml:space="preserve">Posición del Parlamento Europeo aprobada en primera lectura el 31 de enero de 2019 con vistas a la adopción del Reglamento (UE) 2019/... del Parlamento Europeo y del Consejo sobre la aplicación y el funcionamiento del nombre de dominio de primer nivel «.eu», por el que </w:t>
      </w:r>
      <w:r w:rsidRPr="002464EC">
        <w:t>se modifica y se deroga</w:t>
      </w:r>
      <w:r w:rsidRPr="007F4529">
        <w:t xml:space="preserve"> el Reglamento (CE) n.º 733/2002 </w:t>
      </w:r>
      <w:r w:rsidRPr="002464EC">
        <w:t>y se deroga el</w:t>
      </w:r>
      <w:r w:rsidRPr="007F4529">
        <w:t xml:space="preserve"> Reglamento (CE) n.º 874/2004 de la Comisión</w:t>
      </w:r>
    </w:p>
    <w:p w:rsidR="002464EC" w:rsidRPr="002464EC" w:rsidRDefault="002464EC" w:rsidP="002464EC">
      <w:pPr>
        <w:pStyle w:val="IntrtEEE"/>
        <w:jc w:val="left"/>
      </w:pPr>
      <w:r>
        <w:rPr>
          <w:i/>
          <w:lang w:val="es-ES_tradnl"/>
        </w:rPr>
        <w:t>(Dado que el Parlamento Europeo y el Consejo llegaron a un acuerdo, la posición del Parlamento coincide con el texto del acto legislativo definitivo, el Reglamento (UE) 2019/517.)</w:t>
      </w:r>
    </w:p>
    <w:sectPr w:rsidR="002464EC" w:rsidRPr="002464EC" w:rsidSect="00461C2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4C" w:rsidRPr="00461C20" w:rsidRDefault="008B394C">
      <w:r w:rsidRPr="00461C20">
        <w:separator/>
      </w:r>
    </w:p>
  </w:endnote>
  <w:endnote w:type="continuationSeparator" w:id="0">
    <w:p w:rsidR="008B394C" w:rsidRPr="00461C20" w:rsidRDefault="008B394C">
      <w:r w:rsidRPr="00461C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20" w:rsidRPr="00461C20" w:rsidRDefault="00461C20">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20" w:rsidRPr="00461C20" w:rsidRDefault="00461C20">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20" w:rsidRPr="00461C20" w:rsidRDefault="00461C20">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4C" w:rsidRPr="00461C20" w:rsidRDefault="008B394C">
      <w:r w:rsidRPr="00461C20">
        <w:separator/>
      </w:r>
    </w:p>
  </w:footnote>
  <w:footnote w:type="continuationSeparator" w:id="0">
    <w:p w:rsidR="008B394C" w:rsidRPr="00461C20" w:rsidRDefault="008B394C">
      <w:r w:rsidRPr="00461C20">
        <w:continuationSeparator/>
      </w:r>
    </w:p>
  </w:footnote>
  <w:footnote w:id="1">
    <w:p w:rsidR="0065246E" w:rsidRPr="00461C20" w:rsidRDefault="0065246E" w:rsidP="00461C20">
      <w:pPr>
        <w:pStyle w:val="FootnoteText"/>
        <w:ind w:left="567" w:hanging="567"/>
        <w:rPr>
          <w:sz w:val="24"/>
          <w:lang w:val="es-ES_tradnl"/>
        </w:rPr>
      </w:pPr>
      <w:r w:rsidRPr="00461C20">
        <w:rPr>
          <w:rStyle w:val="FootnoteReference"/>
          <w:sz w:val="24"/>
          <w:lang w:val="es-ES_tradnl"/>
        </w:rPr>
        <w:footnoteRef/>
      </w:r>
      <w:r w:rsidR="00461C20" w:rsidRPr="00461C20">
        <w:rPr>
          <w:sz w:val="24"/>
          <w:lang w:val="es-ES_tradnl"/>
        </w:rPr>
        <w:t xml:space="preserve"> </w:t>
      </w:r>
      <w:r w:rsidR="00461C20" w:rsidRPr="00461C20">
        <w:rPr>
          <w:sz w:val="24"/>
          <w:lang w:val="es-ES_tradnl"/>
        </w:rPr>
        <w:tab/>
      </w:r>
      <w:r w:rsidR="006B7F9E">
        <w:rPr>
          <w:sz w:val="24"/>
          <w:lang w:val="es-ES_tradnl"/>
        </w:rPr>
        <w:t>D</w:t>
      </w:r>
      <w:r w:rsidR="006B7F9E" w:rsidRPr="006B7F9E">
        <w:rPr>
          <w:sz w:val="24"/>
          <w:szCs w:val="24"/>
          <w:lang w:val="es-ES_tradnl"/>
        </w:rPr>
        <w:t>O C 367</w:t>
      </w:r>
      <w:r w:rsidR="006B7F9E">
        <w:rPr>
          <w:sz w:val="24"/>
          <w:szCs w:val="24"/>
          <w:lang w:val="es-ES_tradnl"/>
        </w:rPr>
        <w:t xml:space="preserve"> de</w:t>
      </w:r>
      <w:r w:rsidR="006B7F9E" w:rsidRPr="006B7F9E">
        <w:rPr>
          <w:sz w:val="24"/>
          <w:szCs w:val="24"/>
          <w:lang w:val="es-ES_tradnl"/>
        </w:rPr>
        <w:t xml:space="preserve"> 10.10.2018, p. 112</w:t>
      </w:r>
      <w:r w:rsidRPr="00461C20">
        <w:rPr>
          <w:sz w:val="24"/>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20" w:rsidRPr="00461C20" w:rsidRDefault="00461C20">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20" w:rsidRPr="00461C20" w:rsidRDefault="00461C20">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20" w:rsidRPr="00461C20" w:rsidRDefault="00461C20">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94/2018"/>
    <w:docVar w:name="dvlangue" w:val="ES"/>
    <w:docVar w:name="dvnumam" w:val="45"/>
    <w:docVar w:name="dvpe" w:val="626.994"/>
    <w:docVar w:name="dvrapporteur" w:val="Ponente: "/>
    <w:docVar w:name="dvtitre" w:val="Resolución legislativa del Parlamento Europeo, de 31 de enero de 2019, sobre la propuesta de Reglamento del Parlamento Europeo y del Consejo sobre la aplicación y el funcionamiento del nombre de dominio de primer nivel «.eu» y por el que se derogan el Reglamento (CE) n.º 733/2002 y el Reglamento (CE) n.º 874/2004 de la Comisión(COM(2018)0231 – C8-0170/2018 – 2018/0110(COD))"/>
  </w:docVars>
  <w:rsids>
    <w:rsidRoot w:val="008B394C"/>
    <w:rsid w:val="00002272"/>
    <w:rsid w:val="000538A5"/>
    <w:rsid w:val="000677B9"/>
    <w:rsid w:val="000E7DD9"/>
    <w:rsid w:val="0010095E"/>
    <w:rsid w:val="00125B37"/>
    <w:rsid w:val="001D180A"/>
    <w:rsid w:val="002148F4"/>
    <w:rsid w:val="002464EC"/>
    <w:rsid w:val="002767FF"/>
    <w:rsid w:val="002B5493"/>
    <w:rsid w:val="00361C00"/>
    <w:rsid w:val="00395FA1"/>
    <w:rsid w:val="003A7E1C"/>
    <w:rsid w:val="003E15D4"/>
    <w:rsid w:val="00411CCE"/>
    <w:rsid w:val="0041666E"/>
    <w:rsid w:val="00421060"/>
    <w:rsid w:val="00461C20"/>
    <w:rsid w:val="00494A28"/>
    <w:rsid w:val="0050519A"/>
    <w:rsid w:val="005072A1"/>
    <w:rsid w:val="00514517"/>
    <w:rsid w:val="00554BF7"/>
    <w:rsid w:val="00566043"/>
    <w:rsid w:val="006037C0"/>
    <w:rsid w:val="0065246E"/>
    <w:rsid w:val="00680577"/>
    <w:rsid w:val="006B7F9E"/>
    <w:rsid w:val="006F74FA"/>
    <w:rsid w:val="00731ADD"/>
    <w:rsid w:val="00734777"/>
    <w:rsid w:val="00751A4A"/>
    <w:rsid w:val="00756632"/>
    <w:rsid w:val="007D1690"/>
    <w:rsid w:val="007F4529"/>
    <w:rsid w:val="00865F67"/>
    <w:rsid w:val="00881A7B"/>
    <w:rsid w:val="008840E5"/>
    <w:rsid w:val="008B394C"/>
    <w:rsid w:val="008C2AC6"/>
    <w:rsid w:val="009509D8"/>
    <w:rsid w:val="00957130"/>
    <w:rsid w:val="0096698F"/>
    <w:rsid w:val="00981893"/>
    <w:rsid w:val="00985A5B"/>
    <w:rsid w:val="00A4678D"/>
    <w:rsid w:val="00AF3B82"/>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25501D"/>
  <w15:chartTrackingRefBased/>
  <w15:docId w15:val="{4A7398E5-7169-4638-BF7D-9B38F539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65246E"/>
    <w:rPr>
      <w:sz w:val="24"/>
      <w:lang w:val="es-ES_tradnl"/>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65246E"/>
    <w:rPr>
      <w:b/>
      <w:sz w:val="24"/>
      <w:lang w:val="es-ES_tradnl"/>
    </w:rPr>
  </w:style>
  <w:style w:type="paragraph" w:customStyle="1" w:styleId="Normal12Italic">
    <w:name w:val="Normal12Italic"/>
    <w:basedOn w:val="Normal"/>
    <w:rsid w:val="0065246E"/>
    <w:pPr>
      <w:spacing w:before="240"/>
    </w:pPr>
    <w:rPr>
      <w:i/>
    </w:rPr>
  </w:style>
  <w:style w:type="paragraph" w:customStyle="1" w:styleId="JustificationTitle">
    <w:name w:val="JustificationTitle"/>
    <w:basedOn w:val="Normal"/>
    <w:next w:val="Normal12"/>
    <w:rsid w:val="0065246E"/>
    <w:pPr>
      <w:keepNext/>
      <w:spacing w:before="240"/>
      <w:jc w:val="center"/>
    </w:pPr>
    <w:rPr>
      <w:i/>
    </w:rPr>
  </w:style>
  <w:style w:type="paragraph" w:customStyle="1" w:styleId="ColumnHeading">
    <w:name w:val="ColumnHeading"/>
    <w:basedOn w:val="Normal"/>
    <w:rsid w:val="0065246E"/>
    <w:pPr>
      <w:spacing w:after="240"/>
      <w:jc w:val="center"/>
    </w:pPr>
    <w:rPr>
      <w:i/>
    </w:rPr>
  </w:style>
  <w:style w:type="paragraph" w:customStyle="1" w:styleId="AMNumberTabs">
    <w:name w:val="AMNumberTabs"/>
    <w:basedOn w:val="Normal"/>
    <w:rsid w:val="0065246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65246E"/>
    <w:pPr>
      <w:spacing w:before="240"/>
    </w:pPr>
    <w:rPr>
      <w:b/>
    </w:rPr>
  </w:style>
  <w:style w:type="paragraph" w:styleId="BalloonText">
    <w:name w:val="Balloon Text"/>
    <w:basedOn w:val="Normal"/>
    <w:link w:val="BalloonTextChar"/>
    <w:rsid w:val="00957130"/>
    <w:rPr>
      <w:rFonts w:ascii="Segoe UI" w:hAnsi="Segoe UI" w:cs="Segoe UI"/>
      <w:sz w:val="18"/>
      <w:szCs w:val="18"/>
    </w:rPr>
  </w:style>
  <w:style w:type="character" w:customStyle="1" w:styleId="BalloonTextChar">
    <w:name w:val="Balloon Text Char"/>
    <w:basedOn w:val="DefaultParagraphFont"/>
    <w:link w:val="BalloonText"/>
    <w:rsid w:val="00957130"/>
    <w:rPr>
      <w:rFonts w:ascii="Segoe UI" w:hAnsi="Segoe UI" w:cs="Segoe UI"/>
      <w:sz w:val="18"/>
      <w:szCs w:val="18"/>
      <w:lang w:val="es-ES_tradnl"/>
    </w:rPr>
  </w:style>
  <w:style w:type="paragraph" w:customStyle="1" w:styleId="Applicationdirecte">
    <w:name w:val="Application directe"/>
    <w:basedOn w:val="Normal"/>
    <w:next w:val="Fait"/>
    <w:rsid w:val="00957130"/>
    <w:pPr>
      <w:widowControl/>
      <w:spacing w:before="480" w:after="120"/>
      <w:jc w:val="both"/>
    </w:pPr>
    <w:rPr>
      <w:rFonts w:eastAsia="Calibri"/>
      <w:szCs w:val="22"/>
      <w:lang w:val="es-ES" w:eastAsia="en-US"/>
    </w:rPr>
  </w:style>
  <w:style w:type="paragraph" w:customStyle="1" w:styleId="Fait">
    <w:name w:val="Fait à"/>
    <w:basedOn w:val="Normal"/>
    <w:next w:val="Institutionquisigne"/>
    <w:rsid w:val="00957130"/>
    <w:pPr>
      <w:keepNext/>
      <w:widowControl/>
      <w:spacing w:before="120"/>
      <w:jc w:val="both"/>
    </w:pPr>
    <w:rPr>
      <w:rFonts w:eastAsia="Calibri"/>
      <w:szCs w:val="22"/>
      <w:lang w:val="es-ES" w:eastAsia="en-US"/>
    </w:rPr>
  </w:style>
  <w:style w:type="paragraph" w:customStyle="1" w:styleId="Formuledadoption">
    <w:name w:val="Formule d'adoption"/>
    <w:basedOn w:val="Normal"/>
    <w:next w:val="Titrearticle"/>
    <w:rsid w:val="00957130"/>
    <w:pPr>
      <w:keepNext/>
      <w:widowControl/>
      <w:spacing w:before="120" w:after="120"/>
      <w:jc w:val="both"/>
    </w:pPr>
    <w:rPr>
      <w:rFonts w:eastAsia="Calibri"/>
      <w:szCs w:val="22"/>
      <w:lang w:val="es-ES" w:eastAsia="en-US"/>
    </w:rPr>
  </w:style>
  <w:style w:type="paragraph" w:customStyle="1" w:styleId="Institutionquiagit">
    <w:name w:val="Institution qui agit"/>
    <w:basedOn w:val="Normal"/>
    <w:next w:val="Normal"/>
    <w:rsid w:val="00957130"/>
    <w:pPr>
      <w:keepNext/>
      <w:widowControl/>
      <w:spacing w:before="600" w:after="120"/>
      <w:jc w:val="both"/>
    </w:pPr>
    <w:rPr>
      <w:rFonts w:eastAsia="Calibri"/>
      <w:szCs w:val="22"/>
      <w:lang w:val="es-ES" w:eastAsia="en-US"/>
    </w:rPr>
  </w:style>
  <w:style w:type="paragraph" w:customStyle="1" w:styleId="Institutionquisigne">
    <w:name w:val="Institution qui signe"/>
    <w:basedOn w:val="Normal"/>
    <w:next w:val="Personnequisigne"/>
    <w:rsid w:val="00957130"/>
    <w:pPr>
      <w:keepNext/>
      <w:widowControl/>
      <w:tabs>
        <w:tab w:val="left" w:pos="4252"/>
      </w:tabs>
      <w:spacing w:before="720"/>
      <w:jc w:val="both"/>
    </w:pPr>
    <w:rPr>
      <w:rFonts w:eastAsia="Calibri"/>
      <w:i/>
      <w:szCs w:val="22"/>
      <w:lang w:val="es-ES" w:eastAsia="en-US"/>
    </w:rPr>
  </w:style>
  <w:style w:type="paragraph" w:customStyle="1" w:styleId="ManualConsidrant">
    <w:name w:val="Manual Considérant"/>
    <w:basedOn w:val="Normal"/>
    <w:rsid w:val="00957130"/>
    <w:pPr>
      <w:widowControl/>
      <w:spacing w:before="120" w:after="120"/>
      <w:ind w:left="709" w:hanging="709"/>
      <w:jc w:val="both"/>
    </w:pPr>
    <w:rPr>
      <w:rFonts w:eastAsia="Calibri"/>
      <w:szCs w:val="22"/>
      <w:lang w:val="es-ES" w:eastAsia="en-US"/>
    </w:rPr>
  </w:style>
  <w:style w:type="paragraph" w:customStyle="1" w:styleId="Personnequisigne">
    <w:name w:val="Personne qui signe"/>
    <w:basedOn w:val="Normal"/>
    <w:next w:val="Institutionquisigne"/>
    <w:rsid w:val="00957130"/>
    <w:pPr>
      <w:widowControl/>
      <w:tabs>
        <w:tab w:val="left" w:pos="4252"/>
      </w:tabs>
    </w:pPr>
    <w:rPr>
      <w:rFonts w:eastAsia="Calibri"/>
      <w:i/>
      <w:szCs w:val="22"/>
      <w:lang w:val="es-ES" w:eastAsia="en-US"/>
    </w:rPr>
  </w:style>
  <w:style w:type="paragraph" w:customStyle="1" w:styleId="Titrearticle">
    <w:name w:val="Titre article"/>
    <w:basedOn w:val="Normal"/>
    <w:next w:val="Normal"/>
    <w:rsid w:val="00957130"/>
    <w:pPr>
      <w:keepNext/>
      <w:widowControl/>
      <w:spacing w:before="360" w:after="120"/>
      <w:jc w:val="center"/>
    </w:pPr>
    <w:rPr>
      <w:rFonts w:eastAsia="Calibri"/>
      <w:i/>
      <w:szCs w:val="22"/>
      <w:lang w:val="es-ES" w:eastAsia="en-US"/>
    </w:rPr>
  </w:style>
  <w:style w:type="paragraph" w:customStyle="1" w:styleId="Titreobjet">
    <w:name w:val="Titre objet"/>
    <w:basedOn w:val="Normal"/>
    <w:next w:val="IntrtEEE"/>
    <w:rsid w:val="00957130"/>
    <w:pPr>
      <w:widowControl/>
      <w:spacing w:before="360" w:after="360"/>
      <w:jc w:val="center"/>
    </w:pPr>
    <w:rPr>
      <w:rFonts w:eastAsia="Calibri"/>
      <w:b/>
      <w:szCs w:val="22"/>
      <w:lang w:val="es-ES" w:eastAsia="en-US"/>
    </w:rPr>
  </w:style>
  <w:style w:type="paragraph" w:customStyle="1" w:styleId="IntrtEEE">
    <w:name w:val="Intérêt EEE"/>
    <w:basedOn w:val="Normal"/>
    <w:next w:val="Normal"/>
    <w:rsid w:val="00957130"/>
    <w:pPr>
      <w:widowControl/>
      <w:spacing w:before="360" w:after="240"/>
      <w:jc w:val="center"/>
    </w:pPr>
    <w:rPr>
      <w:rFonts w:eastAsia="Calibri"/>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Virginia Bustos</dc:creator>
  <cp:keywords/>
  <cp:lastModifiedBy>RODRIGUEZ Fernan </cp:lastModifiedBy>
  <cp:revision>2</cp:revision>
  <cp:lastPrinted>2019-01-31T11:32:00Z</cp:lastPrinted>
  <dcterms:created xsi:type="dcterms:W3CDTF">2019-12-04T16:49:00Z</dcterms:created>
  <dcterms:modified xsi:type="dcterms:W3CDTF">2019-12-04T16:49:00Z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P8_TA-PROV(2019)0055_</vt:lpwstr>
  </property>
  <property fmtid="{D5CDD505-2E9C-101B-9397-08002B2CF9AE}" pid="4" name="&lt;Type&gt;">
    <vt:lpwstr>RR</vt:lpwstr>
  </property>
</Properties>
</file>