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4"/>
        <w:gridCol w:w="2268"/>
      </w:tblGrid>
      <w:tr w:rsidR="00751A4A" w:rsidRPr="00B02FD0" w:rsidTr="0010095E">
        <w:trPr>
          <w:trHeight w:hRule="exact" w:val="1418"/>
        </w:trPr>
        <w:tc>
          <w:tcPr>
            <w:tcW w:w="6804" w:type="dxa"/>
            <w:shd w:val="clear" w:color="auto" w:fill="auto"/>
            <w:vAlign w:val="center"/>
          </w:tcPr>
          <w:p w:rsidR="00751A4A" w:rsidRPr="00B02FD0" w:rsidRDefault="001E3512" w:rsidP="0010095E">
            <w:pPr>
              <w:pStyle w:val="EPName"/>
              <w:rPr>
                <w:lang w:val="pt-PT"/>
              </w:rPr>
            </w:pPr>
            <w:r w:rsidRPr="00B02FD0">
              <w:rPr>
                <w:lang w:val="pt-PT"/>
              </w:rPr>
              <w:t>Parlamento Europeu</w:t>
            </w:r>
          </w:p>
          <w:p w:rsidR="00751A4A" w:rsidRPr="00B02FD0" w:rsidRDefault="00756632" w:rsidP="00CD51ED">
            <w:pPr>
              <w:pStyle w:val="EPTerm"/>
              <w:rPr>
                <w:rStyle w:val="HideTWBExt"/>
                <w:noProof w:val="0"/>
                <w:vanish w:val="0"/>
                <w:color w:val="auto"/>
                <w:lang w:val="pt-PT"/>
              </w:rPr>
            </w:pPr>
            <w:r w:rsidRPr="00B02FD0">
              <w:rPr>
                <w:lang w:val="pt-PT"/>
              </w:rPr>
              <w:t>201</w:t>
            </w:r>
            <w:r w:rsidR="00CD51ED" w:rsidRPr="00B02FD0">
              <w:rPr>
                <w:lang w:val="pt-PT"/>
              </w:rPr>
              <w:t>9</w:t>
            </w:r>
            <w:r w:rsidR="00C941CB" w:rsidRPr="00B02FD0">
              <w:rPr>
                <w:lang w:val="pt-PT"/>
              </w:rPr>
              <w:t>-20</w:t>
            </w:r>
            <w:r w:rsidR="00CD51ED" w:rsidRPr="00B02FD0">
              <w:rPr>
                <w:lang w:val="pt-PT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751A4A" w:rsidRPr="00B02FD0" w:rsidRDefault="000011DD" w:rsidP="0010095E">
            <w:pPr>
              <w:pStyle w:val="EPLogo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5pt;height:51pt">
                  <v:imagedata r:id="rId7" o:title="EP logo RGB_Mute"/>
                </v:shape>
              </w:pict>
            </w:r>
          </w:p>
        </w:tc>
      </w:tr>
    </w:tbl>
    <w:p w:rsidR="00D058B8" w:rsidRPr="00B02FD0" w:rsidRDefault="00D058B8" w:rsidP="00D058B8">
      <w:pPr>
        <w:pStyle w:val="LineTop"/>
        <w:rPr>
          <w:lang w:val="pt-PT"/>
        </w:rPr>
      </w:pPr>
    </w:p>
    <w:p w:rsidR="00680577" w:rsidRPr="00B02FD0" w:rsidRDefault="001E3512" w:rsidP="00680577">
      <w:pPr>
        <w:pStyle w:val="ZSessionDoc"/>
        <w:rPr>
          <w:b/>
          <w:i w:val="0"/>
        </w:rPr>
      </w:pPr>
      <w:r w:rsidRPr="00B02FD0">
        <w:rPr>
          <w:b/>
          <w:i w:val="0"/>
        </w:rPr>
        <w:t>TEXTOS APROVADOS</w:t>
      </w:r>
    </w:p>
    <w:p w:rsidR="00D058B8" w:rsidRPr="00B02FD0" w:rsidRDefault="00D058B8" w:rsidP="00D058B8">
      <w:pPr>
        <w:pStyle w:val="LineBottom"/>
      </w:pPr>
    </w:p>
    <w:p w:rsidR="001E3512" w:rsidRPr="00B02FD0" w:rsidRDefault="000011DD" w:rsidP="001E3512">
      <w:pPr>
        <w:pStyle w:val="ATHeading1"/>
        <w:rPr>
          <w:noProof w:val="0"/>
          <w:lang w:val="pt-PT"/>
        </w:rPr>
      </w:pPr>
      <w:bookmarkStart w:id="0" w:name="TANumber"/>
      <w:r>
        <w:rPr>
          <w:noProof w:val="0"/>
          <w:lang w:val="pt-PT"/>
        </w:rPr>
        <w:t>P9_TA</w:t>
      </w:r>
      <w:bookmarkStart w:id="1" w:name="_GoBack"/>
      <w:bookmarkEnd w:id="1"/>
      <w:r w:rsidR="001E3512" w:rsidRPr="00B02FD0">
        <w:rPr>
          <w:noProof w:val="0"/>
          <w:lang w:val="pt-PT"/>
        </w:rPr>
        <w:t>(2019)</w:t>
      </w:r>
      <w:bookmarkEnd w:id="0"/>
      <w:r w:rsidR="004E1547" w:rsidRPr="00B02FD0">
        <w:rPr>
          <w:noProof w:val="0"/>
          <w:lang w:val="pt-PT"/>
        </w:rPr>
        <w:t>0021</w:t>
      </w:r>
    </w:p>
    <w:p w:rsidR="001E3512" w:rsidRPr="00B02FD0" w:rsidRDefault="001E3512" w:rsidP="001E3512">
      <w:pPr>
        <w:pStyle w:val="ATHeading2"/>
        <w:rPr>
          <w:noProof w:val="0"/>
          <w:lang w:val="pt-PT"/>
        </w:rPr>
      </w:pPr>
      <w:bookmarkStart w:id="2" w:name="title"/>
      <w:r w:rsidRPr="00B02FD0">
        <w:rPr>
          <w:noProof w:val="0"/>
          <w:lang w:val="pt-PT"/>
        </w:rPr>
        <w:t>Importância da memória europeia para o futuro da Europa</w:t>
      </w:r>
      <w:bookmarkStart w:id="3" w:name="Etoiles"/>
      <w:bookmarkEnd w:id="2"/>
      <w:bookmarkEnd w:id="3"/>
    </w:p>
    <w:p w:rsidR="001E3512" w:rsidRPr="00B02FD0" w:rsidRDefault="001E3512" w:rsidP="001E3512">
      <w:pPr>
        <w:rPr>
          <w:i/>
          <w:vanish/>
        </w:rPr>
      </w:pPr>
      <w:r w:rsidRPr="00B02FD0">
        <w:rPr>
          <w:i/>
        </w:rPr>
        <w:fldChar w:fldCharType="begin"/>
      </w:r>
      <w:r w:rsidRPr="00B02FD0">
        <w:rPr>
          <w:i/>
        </w:rPr>
        <w:instrText xml:space="preserve"> TC"(</w:instrText>
      </w:r>
      <w:bookmarkStart w:id="4" w:name="DocNumber"/>
      <w:r w:rsidRPr="00B02FD0">
        <w:rPr>
          <w:i/>
        </w:rPr>
        <w:instrText>B9-0097, 0098, 0099, 0100/2019</w:instrText>
      </w:r>
      <w:bookmarkEnd w:id="4"/>
      <w:r w:rsidRPr="00B02FD0">
        <w:rPr>
          <w:i/>
        </w:rPr>
        <w:instrText xml:space="preserve">)"\l3 \n&gt; \* MERGEFORMAT </w:instrText>
      </w:r>
      <w:r w:rsidRPr="00B02FD0">
        <w:rPr>
          <w:i/>
        </w:rPr>
        <w:fldChar w:fldCharType="end"/>
      </w:r>
    </w:p>
    <w:p w:rsidR="001E3512" w:rsidRPr="00B02FD0" w:rsidRDefault="001E3512" w:rsidP="001E3512">
      <w:pPr>
        <w:rPr>
          <w:vanish/>
        </w:rPr>
      </w:pPr>
      <w:bookmarkStart w:id="5" w:name="PE"/>
      <w:r w:rsidRPr="00B02FD0">
        <w:rPr>
          <w:vanish/>
        </w:rPr>
        <w:t>PE637.835</w:t>
      </w:r>
      <w:bookmarkEnd w:id="5"/>
    </w:p>
    <w:p w:rsidR="001E3512" w:rsidRPr="00B02FD0" w:rsidRDefault="001E3512" w:rsidP="001E3512">
      <w:pPr>
        <w:pStyle w:val="ATHeading3"/>
        <w:rPr>
          <w:noProof w:val="0"/>
          <w:lang w:val="pt-PT"/>
        </w:rPr>
      </w:pPr>
      <w:bookmarkStart w:id="6" w:name="Sujet"/>
      <w:r w:rsidRPr="00B02FD0">
        <w:rPr>
          <w:noProof w:val="0"/>
          <w:lang w:val="pt-PT"/>
        </w:rPr>
        <w:t xml:space="preserve">Resolução do Parlamento Europeu, de </w:t>
      </w:r>
      <w:r w:rsidR="0045622B" w:rsidRPr="00B02FD0">
        <w:rPr>
          <w:noProof w:val="0"/>
          <w:lang w:val="pt-PT"/>
        </w:rPr>
        <w:t xml:space="preserve">19 </w:t>
      </w:r>
      <w:r w:rsidRPr="00B02FD0">
        <w:rPr>
          <w:noProof w:val="0"/>
          <w:lang w:val="pt-PT"/>
        </w:rPr>
        <w:t xml:space="preserve">de </w:t>
      </w:r>
      <w:r w:rsidR="0045622B" w:rsidRPr="00B02FD0">
        <w:rPr>
          <w:noProof w:val="0"/>
          <w:lang w:val="pt-PT"/>
        </w:rPr>
        <w:t xml:space="preserve">setembro </w:t>
      </w:r>
      <w:r w:rsidRPr="00B02FD0">
        <w:rPr>
          <w:noProof w:val="0"/>
          <w:lang w:val="pt-PT"/>
        </w:rPr>
        <w:t>de 2019, sobre a importância da memória europeia para o futuro da Europa</w:t>
      </w:r>
      <w:bookmarkEnd w:id="6"/>
      <w:r w:rsidRPr="00B02FD0">
        <w:rPr>
          <w:noProof w:val="0"/>
          <w:lang w:val="pt-PT"/>
        </w:rPr>
        <w:t xml:space="preserve"> </w:t>
      </w:r>
      <w:bookmarkStart w:id="7" w:name="References"/>
      <w:r w:rsidRPr="00B02FD0">
        <w:rPr>
          <w:noProof w:val="0"/>
          <w:lang w:val="pt-PT"/>
        </w:rPr>
        <w:t>(2019/2819(RSP))</w:t>
      </w:r>
      <w:bookmarkEnd w:id="7"/>
    </w:p>
    <w:p w:rsidR="001E3512" w:rsidRPr="00B02FD0" w:rsidRDefault="001E3512" w:rsidP="001E3512"/>
    <w:p w:rsidR="002742D1" w:rsidRPr="00B02FD0" w:rsidRDefault="002742D1" w:rsidP="002742D1">
      <w:pPr>
        <w:pStyle w:val="Normal12"/>
      </w:pPr>
      <w:bookmarkStart w:id="8" w:name="TextBodyBegin"/>
      <w:bookmarkEnd w:id="8"/>
      <w:r w:rsidRPr="00B02FD0">
        <w:rPr>
          <w:i/>
        </w:rPr>
        <w:t>O Parlamento Europeu</w:t>
      </w:r>
      <w:r w:rsidRPr="00B02FD0">
        <w:t>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os princípios universais dos direitos humanos e os princípios fundamentais da União Europeia enquanto comunidade baseada em valores comuns,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 xml:space="preserve">Tendo em conta a declaração proferida em 22 de agosto de 2019 por </w:t>
      </w:r>
      <w:proofErr w:type="spellStart"/>
      <w:r w:rsidRPr="00B02FD0">
        <w:t>Frans</w:t>
      </w:r>
      <w:proofErr w:type="spellEnd"/>
      <w:r w:rsidRPr="00B02FD0">
        <w:t xml:space="preserve"> </w:t>
      </w:r>
      <w:proofErr w:type="spellStart"/>
      <w:r w:rsidRPr="00B02FD0">
        <w:t>Timmermans</w:t>
      </w:r>
      <w:proofErr w:type="spellEnd"/>
      <w:r w:rsidRPr="00B02FD0">
        <w:t xml:space="preserve">, primeiro vice-presidente da Comissão Europeia, e pela Comissária </w:t>
      </w:r>
      <w:proofErr w:type="spellStart"/>
      <w:r w:rsidRPr="00B02FD0">
        <w:t>Věra</w:t>
      </w:r>
      <w:proofErr w:type="spellEnd"/>
      <w:r w:rsidRPr="00B02FD0">
        <w:t xml:space="preserve"> </w:t>
      </w:r>
      <w:proofErr w:type="spellStart"/>
      <w:r w:rsidRPr="00B02FD0">
        <w:t>Jourová</w:t>
      </w:r>
      <w:proofErr w:type="spellEnd"/>
      <w:r w:rsidRPr="00B02FD0">
        <w:t>, na véspera do Dia Europeu da Memória das Vítimas de todos os regimes totalitários e autoritários,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 Declaração Universal dos Direitos do Homem das Nações Unidas adotada em 10 de dezembro de 1948,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 sua Resolução, de 12 de maio de 2005, sobre o 60.º aniversário do fim da Segunda Guerra Mundial na Europa, em 8 de maio de 1945</w:t>
      </w:r>
      <w:r w:rsidRPr="00B02FD0">
        <w:rPr>
          <w:rStyle w:val="FootnoteReference"/>
          <w:szCs w:val="24"/>
        </w:rPr>
        <w:footnoteReference w:id="1"/>
      </w:r>
      <w:r w:rsidRPr="00B02FD0">
        <w:t>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 Resolução 1481 da Assembleia Parlamentar do Conselho da Europa, de 26 de janeiro de 2006, sobre a necessidade de condenação internacional dos crimes dos regimes comunistas totalitários,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 Decisão-Quadro 2008/913/JAI do</w:t>
      </w:r>
      <w:r w:rsidR="0045622B" w:rsidRPr="00B02FD0">
        <w:t xml:space="preserve"> Conselho, de 28 de novembro de </w:t>
      </w:r>
      <w:r w:rsidRPr="00B02FD0">
        <w:t>2008, relativa à luta contra certas formas e manifestações de racismo e xenofobia por via do direito penal</w:t>
      </w:r>
      <w:r w:rsidRPr="00B02FD0">
        <w:rPr>
          <w:rStyle w:val="FootnoteReference"/>
          <w:szCs w:val="24"/>
        </w:rPr>
        <w:footnoteReference w:id="2"/>
      </w:r>
      <w:r w:rsidRPr="00B02FD0">
        <w:t>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Declaração de Praga, sobre a Consciência Europeia e o Comunismo, adotada em 3 de junho de 2008,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 xml:space="preserve">Tendo em conta a sua declaração sobre a proclamação do dia 23 de Agosto como Dia Europeu da Memória das Vítimas do Estalinismo e do Nazismo, aprovada em 23 de </w:t>
      </w:r>
      <w:r w:rsidRPr="00B02FD0">
        <w:lastRenderedPageBreak/>
        <w:t>setembro de 2008</w:t>
      </w:r>
      <w:r w:rsidRPr="00B02FD0">
        <w:rPr>
          <w:rStyle w:val="FootnoteReference"/>
          <w:szCs w:val="24"/>
        </w:rPr>
        <w:footnoteReference w:id="3"/>
      </w:r>
      <w:r w:rsidRPr="00B02FD0">
        <w:t>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 sua Resolução, de 2 de abril de 2009, sobre a consciência europeia e o totalitarismo</w:t>
      </w:r>
      <w:r w:rsidRPr="00B02FD0">
        <w:rPr>
          <w:rStyle w:val="FootnoteReference"/>
          <w:szCs w:val="24"/>
        </w:rPr>
        <w:footnoteReference w:id="4"/>
      </w:r>
      <w:r w:rsidRPr="00B02FD0">
        <w:t>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o relatório da Comissão, de 22 de dezembro de 2010, sobre a memória dos crimes cometidos pelos regimes totalitários na Europa (</w:t>
      </w:r>
      <w:proofErr w:type="gramStart"/>
      <w:r w:rsidRPr="00B02FD0">
        <w:t>COM(</w:t>
      </w:r>
      <w:proofErr w:type="gramEnd"/>
      <w:r w:rsidRPr="00B02FD0">
        <w:t>2010)0783),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as conclusões do Conselho, de 9 e 10 de junho de 2011, sobre a memória dos crimes cometidos pelos regimes totalitários na Europa,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 Declaração de Varsóvia proferida em 23 de agosto de 2011 por ocasião do Dia Europeu da Memória das Vítimas dos Regimes Totalitários,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 declaração conjunta, de 23 de agosto de 2018, dos representantes dos governos dos Estados-Membros da União Europeia em honra das vítimas do comunismo,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 sua Resolução histórica sobre a situação na Estónia, na Letónia e na Lituânia, aprovada em 13 de janeiro de 1983, em reação ao «Apelo báltico» lançado por 45 cidadãos destes países,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as resoluções e declarações sobre os crimes cometidos pelos regimes comunistas totalitários adotadas por vários parlamentos nacionais,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–</w:t>
      </w:r>
      <w:r w:rsidRPr="00B02FD0">
        <w:tab/>
        <w:t>Tendo em conta o artigo 123.º, n.ºs 2 e 4, do seu Regimento,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A.</w:t>
      </w:r>
      <w:r w:rsidRPr="00B02FD0">
        <w:tab/>
        <w:t>Considerando que no presente ano se assinala o 80.º aniversário do deflagrar da Segunda Guerra Mundial, que provocou sofrimento humano numa escala sem precedentes e a ocupação de países europeus durante muitas décadas;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B.</w:t>
      </w:r>
      <w:r w:rsidRPr="00B02FD0">
        <w:tab/>
        <w:t>Considerando</w:t>
      </w:r>
      <w:proofErr w:type="gramEnd"/>
      <w:r w:rsidRPr="00B02FD0">
        <w:t xml:space="preserve"> que há 80 anos, em 23 de agosto de 1939, a União Soviética comunista e a Alemanha nazi assinaram um pacto de não-agressão, conhecido como Pacto Molotov</w:t>
      </w:r>
      <w:r w:rsidRPr="00B02FD0">
        <w:noBreakHyphen/>
      </w:r>
      <w:proofErr w:type="spellStart"/>
      <w:r w:rsidRPr="00B02FD0">
        <w:t>Ribbentrop</w:t>
      </w:r>
      <w:proofErr w:type="spellEnd"/>
      <w:r w:rsidRPr="00B02FD0">
        <w:t>, e os seus protocolos secretos, dividindo a Europa e os territórios de Estados independentes entre os dois regimes totalitários segundo esferas de interesse, preparando assim o caminho para o início da Segunda Guerra Mundial;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C.</w:t>
      </w:r>
      <w:r w:rsidRPr="00B02FD0">
        <w:tab/>
        <w:t>Considerando que, em consequência direta do Pacto Molotov-</w:t>
      </w:r>
      <w:proofErr w:type="spellStart"/>
      <w:r w:rsidRPr="00B02FD0">
        <w:t>Ribbentrop</w:t>
      </w:r>
      <w:proofErr w:type="spellEnd"/>
      <w:r w:rsidRPr="00B02FD0">
        <w:t>, seguido do tratado de fronteira e amizade entre o regime soviético e nazi de 28 de setembro de</w:t>
      </w:r>
      <w:r w:rsidR="0045622B" w:rsidRPr="00B02FD0">
        <w:t> </w:t>
      </w:r>
      <w:r w:rsidRPr="00B02FD0">
        <w:t>1939, a República Polaca foi primeiro invadida por Hitler e, duas semanas mais tarde, por Estaline – o que privou o país da sua independência e foi uma tragédia sem precedentes para o povo polaco – a União Soviética comunista iniciou uma guerra de agressão contra a Finlândia em 30 de novembro de 1939 e, em junho de 1940, ocupou e anexou partes da Roménia – territórios que nunca foram devolvidos – e procedeu à anexação das repúblicas independentes da Lituânia, da Letónia e da Estónia;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D.</w:t>
      </w:r>
      <w:r w:rsidRPr="00B02FD0">
        <w:tab/>
        <w:t xml:space="preserve">Considerando que, após a derrota do regime nazi e do fim da Segunda Guerra Mundial, o pós-guerra foi, para alguns países europeus, sinónimo de reconstrução e de reconciliação, enquanto outros permaneceram sob o jugo de ditaduras – alguns sob a ocupação ou influência direta soviética – durante meio século, e continuaram a ser </w:t>
      </w:r>
      <w:r w:rsidRPr="00B02FD0">
        <w:lastRenderedPageBreak/>
        <w:t>privados de liberdade, soberania, dignidade, direitos humanos e desenvolvimento socioeconómico;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E.</w:t>
      </w:r>
      <w:r w:rsidRPr="00B02FD0">
        <w:tab/>
        <w:t>Considerando que, apesar de os crimes do regime nazi terem sido julgados e punidos nos julgamentos de Nuremberga, continua a ser urgente reforçar a sensibilização para os crimes cometidos pelo estalinismo e por outras ditaduras, bem como efetuar uma avaliação moral deste período e uma investigação judicial desses crimes;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F.</w:t>
      </w:r>
      <w:r w:rsidRPr="00B02FD0">
        <w:tab/>
        <w:t>Considerando</w:t>
      </w:r>
      <w:proofErr w:type="gramEnd"/>
      <w:r w:rsidRPr="00B02FD0">
        <w:t xml:space="preserve"> que, em alguns Estados-Membros, as ideologias comunistas e nazi são proibidas por lei;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G.</w:t>
      </w:r>
      <w:r w:rsidRPr="00B02FD0">
        <w:tab/>
        <w:t>Considerando que a integração europeia constituiu, desde o início, uma resposta aos sofrimentos infligidos por duas guerras mundiais e pela tirania nazi que conduziu ao Holocausto, e à expansão de regimes comunistas totalitários e não democráticos na Europa Central e Oriental, e que esta integração permitiu também superar as profundas divisões e hostilidades na Europa mercê da cooperação e da integração, pôr termo à guerra e garantir a democracia na Europa; que para os países europeus que estiveram sujeitos à ocupação soviética e às ditaduras comunistas, o alargamento da UE, com início em 2004, consubstancia a sua reintegração na família europeia à qual pertencem;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H.</w:t>
      </w:r>
      <w:r w:rsidRPr="00B02FD0">
        <w:tab/>
        <w:t>Considerando</w:t>
      </w:r>
      <w:proofErr w:type="gramEnd"/>
      <w:r w:rsidRPr="00B02FD0">
        <w:t xml:space="preserve"> que cumpre manter viva a memória do trágico passado da Europa, a fim de honrar as vítimas, condenar os autores dos crimes e estabelecer as bases para uma reconciliação assente na verdade e na memória;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I.</w:t>
      </w:r>
      <w:r w:rsidRPr="00B02FD0">
        <w:tab/>
        <w:t>Considerando</w:t>
      </w:r>
      <w:proofErr w:type="gramEnd"/>
      <w:r w:rsidRPr="00B02FD0">
        <w:t xml:space="preserve"> que a evocação das vítimas dos regimes totalitários, bem como o reconhecimento e a tomada de consciência do legado europeu partilhado de crimes cometidos por regimes comunistas, pelos nazis e por outras ditaduras, são de importância crucial para a unidade da Europa e dos seus povos e para a construção de uma Europa capaz de resistir às ameaças externas modernas;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J.</w:t>
      </w:r>
      <w:r w:rsidRPr="00B02FD0">
        <w:tab/>
        <w:t>Considerando</w:t>
      </w:r>
      <w:proofErr w:type="gramEnd"/>
      <w:r w:rsidRPr="00B02FD0">
        <w:t xml:space="preserve"> que há 30 anos, em 23 de agosto</w:t>
      </w:r>
      <w:r w:rsidR="00DA34CB" w:rsidRPr="00B02FD0">
        <w:t xml:space="preserve"> de 1989, foi assinalado o 50.º </w:t>
      </w:r>
      <w:r w:rsidRPr="00B02FD0">
        <w:t>aniversário do Pacto Molotov-</w:t>
      </w:r>
      <w:proofErr w:type="spellStart"/>
      <w:r w:rsidRPr="00B02FD0">
        <w:t>Ribbentrop</w:t>
      </w:r>
      <w:proofErr w:type="spellEnd"/>
      <w:r w:rsidRPr="00B02FD0">
        <w:t xml:space="preserve"> e as vítimas dos regimes totalitários foram lembradas durante a Cadeia Báltica, uma manifestação sem precedentes de dois milhões de lituanos, letões e estónios, que deram as mãos para formar uma cadeia humana entre Vílnius e </w:t>
      </w:r>
      <w:proofErr w:type="spellStart"/>
      <w:r w:rsidRPr="00B02FD0">
        <w:t>Taline</w:t>
      </w:r>
      <w:proofErr w:type="spellEnd"/>
      <w:r w:rsidRPr="00B02FD0">
        <w:t xml:space="preserve"> passando por Riga;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K.</w:t>
      </w:r>
      <w:r w:rsidRPr="00B02FD0">
        <w:tab/>
        <w:t>Considerando</w:t>
      </w:r>
      <w:proofErr w:type="gramEnd"/>
      <w:r w:rsidRPr="00B02FD0">
        <w:t xml:space="preserve"> que, apesar de, em 24 de dezembro de 1989, o Congresso dos Deputados do Povo da URSS ter condenado a assinatura do Pacto Molotov-</w:t>
      </w:r>
      <w:proofErr w:type="spellStart"/>
      <w:r w:rsidRPr="00B02FD0">
        <w:t>Ribbentrop</w:t>
      </w:r>
      <w:proofErr w:type="spellEnd"/>
      <w:r w:rsidRPr="00B02FD0">
        <w:t>, além de outros acordos celebrados com a Alemanha nazi, as autoridades russas negaram a responsabilidade por este acordo e pelas respetivas consequências em agosto de 2019 e estão atualmente a promover a ideia de que a Polónia, os Estados Bálticos e o Ocidente são os verdadeiros instigadores da Segunda Guerra Mundial;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L.</w:t>
      </w:r>
      <w:r w:rsidRPr="00B02FD0">
        <w:tab/>
        <w:t>Considerando</w:t>
      </w:r>
      <w:proofErr w:type="gramEnd"/>
      <w:r w:rsidRPr="00B02FD0">
        <w:t xml:space="preserve"> que a evocação das vítimas dos regimes totalitários e autoritários, bem como o reconhecimento e a tomada de consciência do legado europeu partilhado de crimes cometidos pelas ditaduras estalinista, pelos nazis e por outras ditaduras, são de importância crucial para a unidade da Europa e dos seus povos e para a construção de uma Europa capaz de resistir às ameaças externas modernas;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M.</w:t>
      </w:r>
      <w:r w:rsidRPr="00B02FD0">
        <w:tab/>
        <w:t xml:space="preserve">Considerando que vários grupos e partidos políticos abertamente radicais, racistas e xenófobos incitam ao ódio e à violência na sociedade, por exemplo, através da disseminação em linha de discursos de incitação ao ódio, que conduz frequentemente a </w:t>
      </w:r>
      <w:r w:rsidRPr="00B02FD0">
        <w:lastRenderedPageBreak/>
        <w:t>um aumento da violência, da xenofobia e da intolerância;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1.</w:t>
      </w:r>
      <w:r w:rsidRPr="00B02FD0">
        <w:tab/>
        <w:t>Relembra</w:t>
      </w:r>
      <w:proofErr w:type="gramEnd"/>
      <w:r w:rsidRPr="00B02FD0">
        <w:t xml:space="preserve"> que, tal como consagrado no artigo 2.º do TUE, a União se funda nos valores do respeito pela dignidade humana, da liberdade, da democracia, da igualdade, do Estado de direito e do respeito pelos direitos humanos, incluindo os direitos das pessoas pertencentes a minorias; relembra que estes valores são comuns a todos os Estados-Membros;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2.</w:t>
      </w:r>
      <w:r w:rsidRPr="00B02FD0">
        <w:tab/>
        <w:t>Salienta</w:t>
      </w:r>
      <w:proofErr w:type="gramEnd"/>
      <w:r w:rsidRPr="00B02FD0">
        <w:t xml:space="preserve"> que a Segunda Guerra Mundial, a guerra mais devastadora da história europeia, foi o resultado imediato do infame pacto de não-agressão germano-soviético de 23 de agosto de 1939, também conhecido como Pacto Molotov-</w:t>
      </w:r>
      <w:proofErr w:type="spellStart"/>
      <w:r w:rsidRPr="00B02FD0">
        <w:t>Ribbentrop</w:t>
      </w:r>
      <w:proofErr w:type="spellEnd"/>
      <w:r w:rsidRPr="00B02FD0">
        <w:t>, e dos seus protocolos secretos, através dos quais dois regimes totalitários que partilhavam o objetivo da conquista do mundo dividiam a Europa em duas zonas de influência;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3.</w:t>
      </w:r>
      <w:r w:rsidRPr="00B02FD0">
        <w:tab/>
        <w:t>Recorda</w:t>
      </w:r>
      <w:proofErr w:type="gramEnd"/>
      <w:r w:rsidRPr="00B02FD0">
        <w:t xml:space="preserve"> que os regimes nazi e comunista são responsáveis por massacres, pelo genocídio, por deportações, pela perda de vidas humanas e pela privação da liberdade no século XX numa escala nunca vista na História da humanidade, e relembra o hediondo crime do Holocausto perpetrado pelo regime nazi; condena veementemente os atos de agressão, os crimes contra a humanidade e as violações em massa dos direitos humanos perpetrados pelos regimes nazi e comunista e por outros regimes totalitários;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4.</w:t>
      </w:r>
      <w:r w:rsidRPr="00B02FD0">
        <w:tab/>
        <w:t>Manifesta o seu profundo respeito por todas as vítimas destes regimes totalitários e apela a todas as instituições e intervenientes da UE para que façam tudo o que estiver ao seu alcance para garantir que os hediondos crimes cometidos por regimes totalitários contra a humanidade e as violações graves e sistemáticas dos direitos humanos sejam recordados e julgados pelos tribunais, e para assegurar que esses crimes não se repitam; salienta a importância de manter viva a memória do passado, uma vez que não pode existir qualquer reconciliação sem memória e reitera a sua posição unida contra todos os regimes totalitários, independentemente do seu contexto ideológico;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5.</w:t>
      </w:r>
      <w:r w:rsidRPr="00B02FD0">
        <w:tab/>
        <w:t>Exorta</w:t>
      </w:r>
      <w:proofErr w:type="gramEnd"/>
      <w:r w:rsidRPr="00B02FD0">
        <w:t xml:space="preserve"> todos os Estados-Membros da UE a fazerem uma avaliação clara e assente em princípios sobre os crimes e atos de agressão perpetrados pelos regimes comunistas totalitários e pelo regime nazi;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6.</w:t>
      </w:r>
      <w:r w:rsidRPr="00B02FD0">
        <w:tab/>
        <w:t>Condena</w:t>
      </w:r>
      <w:proofErr w:type="gramEnd"/>
      <w:r w:rsidRPr="00B02FD0">
        <w:t xml:space="preserve"> todas as manifestações e a propagação de ideologias totalitárias, tais como o nazismo e o estalinismo, na União;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7.</w:t>
      </w:r>
      <w:r w:rsidRPr="00B02FD0">
        <w:tab/>
        <w:t>Condena o revisionismo histórico e a glorificação dos colaboradores nazis em alguns Estados-Membros da UE; manifesta profunda preocupação com a crescente aceitação de ideologias radicais e o retorno ao fascismo, ao racismo, à xenofobia e a outras formas de intolerância na União Europeia, e considera perturbadores os relatos de conluio de líderes e partidos políticos e forças da ordem com movimentos radicais, racistas e xenófobos de vários quadrantes políticos em alguns Estados-Membros; insta os Estados-Membros a condenarem veementemente tais atos, na medida em que comprometem os valores da paz, da liberdade e da democracia preconizados pela UE;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8.</w:t>
      </w:r>
      <w:r w:rsidRPr="00B02FD0">
        <w:tab/>
        <w:t>Exorta todos os Estados-Membros a comemorarem em 23 de agosto o Dia Europeu da Memória das Vítimas de Regimes Totalitários, tanto a nível da UE, como a nível nacional, e a sensibilizarem as novas gerações para essas questões mediante a introdução da história e análise das consequências dos regimes totalitários nos programas e nos manuais escolares de todas as escolas europeias; insta os Estados</w:t>
      </w:r>
      <w:r w:rsidRPr="00B02FD0">
        <w:noBreakHyphen/>
        <w:t xml:space="preserve">Membros a promoverem a documentação do passado conturbado da Europa, </w:t>
      </w:r>
      <w:r w:rsidRPr="00B02FD0">
        <w:lastRenderedPageBreak/>
        <w:t>nomeadamente através da tradução dos processos dos julgamentos de Nuremberga para todas as línguas da UE;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9.</w:t>
      </w:r>
      <w:r w:rsidRPr="00B02FD0">
        <w:tab/>
        <w:t>Insta</w:t>
      </w:r>
      <w:proofErr w:type="gramEnd"/>
      <w:r w:rsidRPr="00B02FD0">
        <w:t xml:space="preserve"> os Estados-Membros a condenarem e a combaterem todas as formas de negação do Holocausto, incluindo a banalização e a minimização dos crimes perpetrados pelos nazis e seus colaboradores, e a evitarem essa banalização no discurso político e nos meios de comunicação social;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10.</w:t>
      </w:r>
      <w:r w:rsidRPr="00B02FD0">
        <w:tab/>
        <w:t>Apela a uma cultura comum da memória que rejeite os crimes dos regimes fascista e estalinista e de outros regimes totalitários e autoritários do passado como forma de promover a resiliência contra as ameaças modernas à democracia, em particular entre a geração mais jovem; encoraja os Estados-Membros a promoverem, através da corrente cultural dominante, o ensino da diversidade da nossa sociedade e da nossa história comum, incluindo o ensino das atrocidades da Segunda Guerra Mundial, como o Holocausto, e a desumanização sistemática das suas vítimas ao longo de vários anos;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11.</w:t>
      </w:r>
      <w:r w:rsidRPr="00B02FD0">
        <w:tab/>
        <w:t xml:space="preserve">Apela, além disso, a que o dia 25 de maio (aniversário da execução do herói de Auschwitz, </w:t>
      </w:r>
      <w:proofErr w:type="spellStart"/>
      <w:r w:rsidRPr="00B02FD0">
        <w:t>Witold</w:t>
      </w:r>
      <w:proofErr w:type="spellEnd"/>
      <w:r w:rsidRPr="00B02FD0">
        <w:t xml:space="preserve"> </w:t>
      </w:r>
      <w:proofErr w:type="spellStart"/>
      <w:r w:rsidRPr="00B02FD0">
        <w:t>Pilecki</w:t>
      </w:r>
      <w:proofErr w:type="spellEnd"/>
      <w:r w:rsidRPr="00B02FD0">
        <w:t>), seja proclamado Dia Internacional das Heróis da Luta contra o Totalitarismo, em sinal de respeito e de homenagem a todos aqueles que, ao combaterem a tirania, deram provas do seu heroísmo e da sua verdadeira estima pela humanidade, dando desse modo às gerações futuras um exemplo claro da atitude correta a assumir face à ameaça da escravidão totalitária;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12.</w:t>
      </w:r>
      <w:r w:rsidRPr="00B02FD0">
        <w:tab/>
        <w:t>Insta a Comissão a apoiar eficazmente os projetos de promoção da memória e da comemoração históricas nos Estados-Membros e as atividades da Plataforma da Memória e da Consciência Europeias, bem como a afetar recursos financeiros adequados no âmbito do programa «Europa para os Cidadãos», a fim de apoiar a comemoração e a recordação das vítimas do totalitarismo, como estabelecido na posição do Parlamento sobre o programa «Direitos e Valores 2021-2027»;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13.</w:t>
      </w:r>
      <w:r w:rsidRPr="00B02FD0">
        <w:tab/>
        <w:t>Declara</w:t>
      </w:r>
      <w:proofErr w:type="gramEnd"/>
      <w:r w:rsidRPr="00B02FD0">
        <w:t xml:space="preserve"> que a integração europeia, enquanto modelo de paz e reconciliação, foi uma escolha livre dos povos da Europa para se comprometerem na via de um futuro partilhado e que cabe à União Europeia a especial responsabilidade de promover e salvaguardar a democracia, o respeito dos direitos humanos e o Estado de Direito, tanto dentro como fora da União Europeia;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14.</w:t>
      </w:r>
      <w:r w:rsidRPr="00B02FD0">
        <w:tab/>
        <w:t>Salienta</w:t>
      </w:r>
      <w:proofErr w:type="gramEnd"/>
      <w:r w:rsidRPr="00B02FD0">
        <w:t xml:space="preserve"> que, à luz da sua adesão à UE e à NATO, os países da Europa Central e Oriental não só regressaram à família europeia de países democráticos livres, como também conseguiram obter êxito, com a assistência da UE, na realização de reformas e na promoção do desenvolvimento socioeconómico; salienta, no entanto, que esta opção deve permanecer aberta a outros países europeus, tal como estipulado no artigo 49.º do TUE;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15.</w:t>
      </w:r>
      <w:r w:rsidRPr="00B02FD0">
        <w:tab/>
        <w:t>Considera que a Rússia continua a ser a maior vítima do totalitarismo comunista e que a sua evolução para um Estado democrático será entravada enquanto o governo, a elite política e a propaganda política continuarem a «branquear» os crimes comunistas e a glorificar o regime totalitário soviético; exorta, por isso, a sociedade russa a confrontar</w:t>
      </w:r>
      <w:r w:rsidRPr="00B02FD0">
        <w:noBreakHyphen/>
        <w:t>se com o seu trágico passado;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16.</w:t>
      </w:r>
      <w:r w:rsidRPr="00B02FD0">
        <w:tab/>
        <w:t xml:space="preserve">Está profundamente preocupado com os esforços envidados pela atual liderança russa para distorcer os factos históricos e para «branquear» os crimes cometidos pelo regime totalitário soviético, e considera que estes esforços constituem um elemento perigoso da </w:t>
      </w:r>
      <w:r w:rsidRPr="00B02FD0">
        <w:lastRenderedPageBreak/>
        <w:t>guerra de informação brandida contra a Europa democrática com o objetivo de dividir a Europa, instando, por conseguinte, a Comissão a contrariar estes esforços de forma decisiva;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17.</w:t>
      </w:r>
      <w:r w:rsidRPr="00B02FD0">
        <w:tab/>
        <w:t>Expressa</w:t>
      </w:r>
      <w:proofErr w:type="gramEnd"/>
      <w:r w:rsidRPr="00B02FD0">
        <w:t xml:space="preserve"> preocupação com a continuação da utilização de símbolos de regimes totalitários em espaços públicos e para fins comerciais e recorda que vários países europeus proibiram a utilização de símbolos nazis e comunistas;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18.</w:t>
      </w:r>
      <w:r w:rsidRPr="00B02FD0">
        <w:tab/>
        <w:t>Observa</w:t>
      </w:r>
      <w:proofErr w:type="gramEnd"/>
      <w:r w:rsidRPr="00B02FD0">
        <w:t xml:space="preserve"> a permanência nos espaços públicos de alguns Estados-Membros de monumentos e locais comemorativos (parques, praças, ruas, etc.) que glorificam os caminhos totalitários, o que abre caminho à distorção de factos históricos sobre as consequências da Segunda Guerra Mundial e à propagação do sistema político totalitário;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19.</w:t>
      </w:r>
      <w:r w:rsidRPr="00B02FD0">
        <w:tab/>
        <w:t>Condena</w:t>
      </w:r>
      <w:proofErr w:type="gramEnd"/>
      <w:r w:rsidRPr="00B02FD0">
        <w:t xml:space="preserve"> o facto de as forças políticas extremistas e xenófobas na Europa recorrerem cada vez mais à distorção dos factos históricos e empregarem simbolismos e retóricas que lembram aspetos da propaganda totalitária, inclusivamente o racismo, o antissemitismo e o ódio contra as minorias sexuais e outras;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r w:rsidRPr="00B02FD0">
        <w:t>20.</w:t>
      </w:r>
      <w:r w:rsidRPr="00B02FD0">
        <w:tab/>
        <w:t>Exorta os Estados-Membros a garantirem o cumprimento das disposições da Decisão</w:t>
      </w:r>
      <w:r w:rsidRPr="00B02FD0">
        <w:noBreakHyphen/>
        <w:t xml:space="preserve">Quadro do Conselho, </w:t>
      </w:r>
      <w:r w:rsidR="009A495B" w:rsidRPr="00B02FD0">
        <w:t xml:space="preserve">por forma a combater </w:t>
      </w:r>
      <w:r w:rsidRPr="00B02FD0">
        <w:t>as organizações que se dedicam à propagação do discurso de incitação ao ódio e à violência em espaços públicos e em linha</w:t>
      </w:r>
      <w:r w:rsidR="009A495B" w:rsidRPr="00B02FD0">
        <w:t>, e a proibir de forma eficaz os grupos neofascistas e neonazis e qualquer outra fundação ou associação que exalte e glorifique o nazismo e o fascismo</w:t>
      </w:r>
      <w:r w:rsidR="00086180" w:rsidRPr="00B02FD0">
        <w:t xml:space="preserve"> ou qualquer outra forma de totalitarismo</w:t>
      </w:r>
      <w:r w:rsidR="009A495B" w:rsidRPr="00B02FD0">
        <w:t>, no respeito pela ordem jurídica nacional e pela jurisdição nacional na matéria</w:t>
      </w:r>
      <w:r w:rsidRPr="00B02FD0">
        <w:t>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21.</w:t>
      </w:r>
      <w:r w:rsidRPr="00B02FD0">
        <w:tab/>
        <w:t>Salienta</w:t>
      </w:r>
      <w:proofErr w:type="gramEnd"/>
      <w:r w:rsidRPr="00B02FD0">
        <w:t xml:space="preserve"> que o trágico passado da Europa deve continuar a servir de inspiração moral e política para enfrentar os desafios do mundo de hoje, incluindo a luta por um mundo mais justo, a criação de sociedades e comunidades abertas e tolerantes para com as minorias étnicas, religiosas ou sexuais e a promoção dos valores europeus para todos;</w:t>
      </w:r>
    </w:p>
    <w:p w:rsidR="002742D1" w:rsidRPr="00B02FD0" w:rsidRDefault="002742D1" w:rsidP="002742D1">
      <w:pPr>
        <w:pStyle w:val="Hanging12"/>
        <w:tabs>
          <w:tab w:val="clear" w:pos="357"/>
        </w:tabs>
      </w:pPr>
      <w:proofErr w:type="gramStart"/>
      <w:r w:rsidRPr="00B02FD0">
        <w:t>22.</w:t>
      </w:r>
      <w:r w:rsidRPr="00B02FD0">
        <w:tab/>
        <w:t>Encarrega</w:t>
      </w:r>
      <w:proofErr w:type="gramEnd"/>
      <w:r w:rsidRPr="00B02FD0">
        <w:t xml:space="preserve"> o seu Presidente de transmitir a presente resolução ao Conselho, à Comissão, aos governos e parlamentos dos Estados-Membros, à Duma da Rússia e aos parlamentos dos países da Parceria Oriental.</w:t>
      </w:r>
    </w:p>
    <w:p w:rsidR="002742D1" w:rsidRPr="00B02FD0" w:rsidRDefault="002742D1" w:rsidP="002742D1"/>
    <w:p w:rsidR="00E365E1" w:rsidRPr="00B02FD0" w:rsidRDefault="00E365E1" w:rsidP="002742D1">
      <w:bookmarkStart w:id="9" w:name="TextBodyEnd"/>
      <w:bookmarkEnd w:id="9"/>
    </w:p>
    <w:sectPr w:rsidR="00E365E1" w:rsidRPr="00B02FD0" w:rsidSect="00BD5DFE">
      <w:footnotePr>
        <w:numRestart w:val="eachPage"/>
      </w:footnotePr>
      <w:endnotePr>
        <w:numFmt w:val="decimal"/>
      </w:endnotePr>
      <w:pgSz w:w="11906" w:h="16838" w:code="9"/>
      <w:pgMar w:top="1134" w:right="1418" w:bottom="1418" w:left="1418" w:header="1134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512" w:rsidRPr="00BD5DFE" w:rsidRDefault="001E3512">
      <w:r w:rsidRPr="00BD5DFE">
        <w:separator/>
      </w:r>
    </w:p>
  </w:endnote>
  <w:endnote w:type="continuationSeparator" w:id="0">
    <w:p w:rsidR="001E3512" w:rsidRPr="00BD5DFE" w:rsidRDefault="001E3512">
      <w:r w:rsidRPr="00BD5D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512" w:rsidRPr="00BD5DFE" w:rsidRDefault="001E3512">
      <w:r w:rsidRPr="00BD5DFE">
        <w:separator/>
      </w:r>
    </w:p>
  </w:footnote>
  <w:footnote w:type="continuationSeparator" w:id="0">
    <w:p w:rsidR="001E3512" w:rsidRPr="00BD5DFE" w:rsidRDefault="001E3512">
      <w:r w:rsidRPr="00BD5DFE">
        <w:continuationSeparator/>
      </w:r>
    </w:p>
  </w:footnote>
  <w:footnote w:id="1">
    <w:p w:rsidR="002742D1" w:rsidRPr="00BD5DFE" w:rsidRDefault="002742D1" w:rsidP="00BD5DFE">
      <w:pPr>
        <w:pStyle w:val="FootnoteText"/>
        <w:ind w:left="567" w:hanging="567"/>
        <w:rPr>
          <w:sz w:val="24"/>
          <w:lang w:val="pt-PT"/>
        </w:rPr>
      </w:pPr>
      <w:r w:rsidRPr="00BD5DFE">
        <w:rPr>
          <w:rStyle w:val="FootnoteReference"/>
          <w:sz w:val="24"/>
          <w:lang w:val="pt-PT"/>
        </w:rPr>
        <w:footnoteRef/>
      </w:r>
      <w:r w:rsidR="00BD5DFE" w:rsidRPr="00BD5DFE">
        <w:rPr>
          <w:sz w:val="24"/>
          <w:lang w:val="pt-PT"/>
        </w:rPr>
        <w:t xml:space="preserve"> </w:t>
      </w:r>
      <w:r w:rsidR="00BD5DFE" w:rsidRPr="00BD5DFE">
        <w:rPr>
          <w:sz w:val="24"/>
          <w:lang w:val="pt-PT"/>
        </w:rPr>
        <w:tab/>
      </w:r>
      <w:r w:rsidRPr="00BD5DFE">
        <w:rPr>
          <w:sz w:val="24"/>
          <w:lang w:val="pt-PT"/>
        </w:rPr>
        <w:t>JO C 92 E de 20.4.2006, p. 392.</w:t>
      </w:r>
    </w:p>
  </w:footnote>
  <w:footnote w:id="2">
    <w:p w:rsidR="002742D1" w:rsidRPr="00BD5DFE" w:rsidRDefault="002742D1" w:rsidP="00BD5DFE">
      <w:pPr>
        <w:pStyle w:val="FootnoteText"/>
        <w:ind w:left="567" w:hanging="567"/>
        <w:rPr>
          <w:sz w:val="24"/>
          <w:lang w:val="pt-PT"/>
        </w:rPr>
      </w:pPr>
      <w:r w:rsidRPr="00BD5DFE">
        <w:rPr>
          <w:rStyle w:val="FootnoteReference"/>
          <w:sz w:val="24"/>
          <w:lang w:val="pt-PT"/>
        </w:rPr>
        <w:footnoteRef/>
      </w:r>
      <w:r w:rsidR="00BD5DFE" w:rsidRPr="00BD5DFE">
        <w:rPr>
          <w:sz w:val="24"/>
          <w:lang w:val="pt-PT"/>
        </w:rPr>
        <w:t xml:space="preserve"> </w:t>
      </w:r>
      <w:r w:rsidR="00BD5DFE" w:rsidRPr="00BD5DFE">
        <w:rPr>
          <w:sz w:val="24"/>
          <w:lang w:val="pt-PT"/>
        </w:rPr>
        <w:tab/>
      </w:r>
      <w:r w:rsidRPr="00BD5DFE">
        <w:rPr>
          <w:sz w:val="24"/>
          <w:lang w:val="pt-PT"/>
        </w:rPr>
        <w:t>JO L 328 de 6.12.2008, p. 55.</w:t>
      </w:r>
    </w:p>
  </w:footnote>
  <w:footnote w:id="3">
    <w:p w:rsidR="002742D1" w:rsidRPr="00BD5DFE" w:rsidRDefault="002742D1" w:rsidP="00BD5DFE">
      <w:pPr>
        <w:pStyle w:val="FootnoteText"/>
        <w:ind w:left="567" w:hanging="567"/>
        <w:rPr>
          <w:sz w:val="24"/>
          <w:lang w:val="pt-PT"/>
        </w:rPr>
      </w:pPr>
      <w:r w:rsidRPr="00BD5DFE">
        <w:rPr>
          <w:rStyle w:val="FootnoteReference"/>
          <w:sz w:val="24"/>
          <w:lang w:val="pt-PT"/>
        </w:rPr>
        <w:footnoteRef/>
      </w:r>
      <w:r w:rsidR="00BD5DFE" w:rsidRPr="00BD5DFE">
        <w:rPr>
          <w:sz w:val="24"/>
          <w:lang w:val="pt-PT"/>
        </w:rPr>
        <w:t xml:space="preserve"> </w:t>
      </w:r>
      <w:r w:rsidR="00BD5DFE" w:rsidRPr="00BD5DFE">
        <w:rPr>
          <w:sz w:val="24"/>
          <w:lang w:val="pt-PT"/>
        </w:rPr>
        <w:tab/>
      </w:r>
      <w:r w:rsidRPr="00BD5DFE">
        <w:rPr>
          <w:sz w:val="24"/>
          <w:lang w:val="pt-PT"/>
        </w:rPr>
        <w:t>JO C 8 E de 14.1.2010, p. 57.</w:t>
      </w:r>
    </w:p>
  </w:footnote>
  <w:footnote w:id="4">
    <w:p w:rsidR="002742D1" w:rsidRPr="00BD5DFE" w:rsidRDefault="002742D1" w:rsidP="00BD5DFE">
      <w:pPr>
        <w:pStyle w:val="FootnoteText"/>
        <w:ind w:left="567" w:hanging="567"/>
        <w:rPr>
          <w:sz w:val="24"/>
          <w:lang w:val="pt-PT"/>
        </w:rPr>
      </w:pPr>
      <w:r w:rsidRPr="00BD5DFE">
        <w:rPr>
          <w:rStyle w:val="FootnoteReference"/>
          <w:sz w:val="24"/>
          <w:lang w:val="pt-PT"/>
        </w:rPr>
        <w:footnoteRef/>
      </w:r>
      <w:r w:rsidR="00BD5DFE" w:rsidRPr="00BD5DFE">
        <w:rPr>
          <w:sz w:val="24"/>
          <w:lang w:val="pt-PT"/>
        </w:rPr>
        <w:t xml:space="preserve"> </w:t>
      </w:r>
      <w:r w:rsidR="00BD5DFE" w:rsidRPr="00BD5DFE">
        <w:rPr>
          <w:sz w:val="24"/>
          <w:lang w:val="pt-PT"/>
        </w:rPr>
        <w:tab/>
      </w:r>
      <w:r w:rsidRPr="00BD5DFE">
        <w:rPr>
          <w:sz w:val="24"/>
          <w:lang w:val="pt-PT"/>
        </w:rPr>
        <w:t>JO C 137 E de 27.5.2010, p. 25.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22A8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C0EE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B40F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525D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3091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26A2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DC9A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120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AA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427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C6E60"/>
    <w:multiLevelType w:val="multilevel"/>
    <w:tmpl w:val="BC64E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4320"/>
      </w:pPr>
    </w:lvl>
  </w:abstractNum>
  <w:abstractNum w:abstractNumId="11" w15:restartNumberingAfterBreak="0">
    <w:nsid w:val="39692AE2"/>
    <w:multiLevelType w:val="multilevel"/>
    <w:tmpl w:val="975EA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4320"/>
      </w:pPr>
    </w:lvl>
  </w:abstractNum>
  <w:num w:numId="1">
    <w:abstractNumId w:val="9"/>
  </w:num>
  <w:num w:numId="2">
    <w:abstractNumId w:val="9"/>
  </w:num>
  <w:num w:numId="3">
    <w:abstractNumId w:val="7"/>
  </w:num>
  <w:num w:numId="4">
    <w:abstractNumId w:val="7"/>
  </w:num>
  <w:num w:numId="5">
    <w:abstractNumId w:val="6"/>
  </w:num>
  <w:num w:numId="6">
    <w:abstractNumId w:val="6"/>
  </w:num>
  <w:num w:numId="7">
    <w:abstractNumId w:val="5"/>
  </w:num>
  <w:num w:numId="8">
    <w:abstractNumId w:val="5"/>
  </w:num>
  <w:num w:numId="9">
    <w:abstractNumId w:val="4"/>
  </w:num>
  <w:num w:numId="10">
    <w:abstractNumId w:val="4"/>
  </w:num>
  <w:num w:numId="11">
    <w:abstractNumId w:val="8"/>
  </w:num>
  <w:num w:numId="12">
    <w:abstractNumId w:val="8"/>
  </w:num>
  <w:num w:numId="13">
    <w:abstractNumId w:val="3"/>
  </w:num>
  <w:num w:numId="14">
    <w:abstractNumId w:val="3"/>
  </w:num>
  <w:num w:numId="15">
    <w:abstractNumId w:val="2"/>
  </w:num>
  <w:num w:numId="16">
    <w:abstractNumId w:val="2"/>
  </w:num>
  <w:num w:numId="17">
    <w:abstractNumId w:val="1"/>
  </w:num>
  <w:num w:numId="18">
    <w:abstractNumId w:val="1"/>
  </w:num>
  <w:num w:numId="19">
    <w:abstractNumId w:val="0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10"/>
  </w:num>
  <w:num w:numId="43">
    <w:abstractNumId w:val="10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vdocse" w:val="B9-0097, 0098, 0099, 0100/2019"/>
    <w:docVar w:name="dvlangue" w:val="PT"/>
    <w:docVar w:name="dvnumam" w:val="0"/>
    <w:docVar w:name="dvpe" w:val="637.835"/>
    <w:docVar w:name="dvtitre" w:val="Resolução do Parlamento Europeu, de ... de ... de 2019,_x000d__x000a_ sobre a importância da memória europeia para o futuro da Europa(2019/2819(RSP))"/>
  </w:docVars>
  <w:rsids>
    <w:rsidRoot w:val="001E3512"/>
    <w:rsid w:val="000011DD"/>
    <w:rsid w:val="00002272"/>
    <w:rsid w:val="000677B9"/>
    <w:rsid w:val="00086180"/>
    <w:rsid w:val="000E7DD9"/>
    <w:rsid w:val="000F2610"/>
    <w:rsid w:val="0010095E"/>
    <w:rsid w:val="00125B37"/>
    <w:rsid w:val="001E3512"/>
    <w:rsid w:val="002742D1"/>
    <w:rsid w:val="002767FF"/>
    <w:rsid w:val="002B5493"/>
    <w:rsid w:val="00361C00"/>
    <w:rsid w:val="00395FA1"/>
    <w:rsid w:val="003E15D4"/>
    <w:rsid w:val="00411CCE"/>
    <w:rsid w:val="0041666E"/>
    <w:rsid w:val="00421060"/>
    <w:rsid w:val="0045622B"/>
    <w:rsid w:val="00494A28"/>
    <w:rsid w:val="004E1547"/>
    <w:rsid w:val="0050519A"/>
    <w:rsid w:val="005072A1"/>
    <w:rsid w:val="00514517"/>
    <w:rsid w:val="00535B9F"/>
    <w:rsid w:val="005C3607"/>
    <w:rsid w:val="006037C0"/>
    <w:rsid w:val="00680577"/>
    <w:rsid w:val="006F74FA"/>
    <w:rsid w:val="00731ADD"/>
    <w:rsid w:val="00734777"/>
    <w:rsid w:val="00751A4A"/>
    <w:rsid w:val="00752024"/>
    <w:rsid w:val="00756632"/>
    <w:rsid w:val="007D1690"/>
    <w:rsid w:val="00865F67"/>
    <w:rsid w:val="00881A7B"/>
    <w:rsid w:val="008840E5"/>
    <w:rsid w:val="008C2AC6"/>
    <w:rsid w:val="009509D8"/>
    <w:rsid w:val="00981893"/>
    <w:rsid w:val="009A495B"/>
    <w:rsid w:val="009C2B03"/>
    <w:rsid w:val="00A4678D"/>
    <w:rsid w:val="00AF3B82"/>
    <w:rsid w:val="00B02FD0"/>
    <w:rsid w:val="00B558F0"/>
    <w:rsid w:val="00BC0E7C"/>
    <w:rsid w:val="00BD5DFE"/>
    <w:rsid w:val="00BD7BD8"/>
    <w:rsid w:val="00C00A04"/>
    <w:rsid w:val="00C05BFE"/>
    <w:rsid w:val="00C23CD4"/>
    <w:rsid w:val="00C941CB"/>
    <w:rsid w:val="00C942DC"/>
    <w:rsid w:val="00CC2357"/>
    <w:rsid w:val="00CD51ED"/>
    <w:rsid w:val="00D058B8"/>
    <w:rsid w:val="00D834A0"/>
    <w:rsid w:val="00D91E21"/>
    <w:rsid w:val="00DA34CB"/>
    <w:rsid w:val="00E3214F"/>
    <w:rsid w:val="00E365E1"/>
    <w:rsid w:val="00ED4235"/>
    <w:rsid w:val="00F04346"/>
    <w:rsid w:val="00F075DC"/>
    <w:rsid w:val="00F5134D"/>
    <w:rsid w:val="00FD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D928FC6"/>
  <w15:chartTrackingRefBased/>
  <w15:docId w15:val="{E22C54C3-5F75-4306-81BA-0855EF06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z w:val="24"/>
      <w:lang w:val="pt-PT"/>
    </w:rPr>
  </w:style>
  <w:style w:type="paragraph" w:styleId="Heading1">
    <w:name w:val="heading 1"/>
    <w:basedOn w:val="Normal"/>
    <w:next w:val="Normal"/>
    <w:qFormat/>
    <w:rsid w:val="00395FA1"/>
    <w:pPr>
      <w:keepNext/>
      <w:keepLines/>
      <w:widowControl/>
      <w:spacing w:after="120"/>
      <w:ind w:left="510" w:hanging="510"/>
      <w:outlineLvl w:val="0"/>
    </w:pPr>
    <w:rPr>
      <w:b/>
      <w:kern w:val="28"/>
      <w:sz w:val="28"/>
      <w:lang w:val="fr-FR" w:eastAsia="fr-FR"/>
    </w:rPr>
  </w:style>
  <w:style w:type="paragraph" w:styleId="Heading2">
    <w:name w:val="heading 2"/>
    <w:basedOn w:val="Normal"/>
    <w:next w:val="Normal"/>
    <w:qFormat/>
    <w:rsid w:val="00395FA1"/>
    <w:pPr>
      <w:keepNext/>
      <w:widowControl/>
      <w:numPr>
        <w:ilvl w:val="1"/>
        <w:numId w:val="43"/>
      </w:numPr>
      <w:spacing w:before="240" w:after="60"/>
      <w:outlineLvl w:val="1"/>
    </w:pPr>
    <w:rPr>
      <w:lang w:val="fr-FR" w:eastAsia="fr-FR"/>
    </w:rPr>
  </w:style>
  <w:style w:type="paragraph" w:styleId="Heading3">
    <w:name w:val="heading 3"/>
    <w:basedOn w:val="Normal"/>
    <w:next w:val="Normal"/>
    <w:qFormat/>
    <w:rsid w:val="00395FA1"/>
    <w:pPr>
      <w:keepNext/>
      <w:widowControl/>
      <w:numPr>
        <w:ilvl w:val="2"/>
        <w:numId w:val="43"/>
      </w:numPr>
      <w:spacing w:before="240" w:after="60"/>
      <w:outlineLvl w:val="2"/>
    </w:pPr>
    <w:rPr>
      <w:rFonts w:ascii="Arial" w:hAnsi="Arial"/>
      <w:lang w:val="fr-FR" w:eastAsia="fr-FR"/>
    </w:rPr>
  </w:style>
  <w:style w:type="paragraph" w:styleId="Heading4">
    <w:name w:val="heading 4"/>
    <w:basedOn w:val="Normal"/>
    <w:next w:val="Normal"/>
    <w:qFormat/>
    <w:rsid w:val="00395FA1"/>
    <w:pPr>
      <w:keepNext/>
      <w:widowControl/>
      <w:numPr>
        <w:ilvl w:val="3"/>
        <w:numId w:val="43"/>
      </w:numPr>
      <w:spacing w:before="240" w:after="60"/>
      <w:outlineLvl w:val="3"/>
    </w:pPr>
    <w:rPr>
      <w:lang w:val="en-US" w:eastAsia="fr-FR"/>
    </w:rPr>
  </w:style>
  <w:style w:type="paragraph" w:styleId="Heading5">
    <w:name w:val="heading 5"/>
    <w:basedOn w:val="Normal"/>
    <w:next w:val="Normal"/>
    <w:qFormat/>
    <w:rsid w:val="00395FA1"/>
    <w:pPr>
      <w:widowControl/>
      <w:numPr>
        <w:ilvl w:val="4"/>
        <w:numId w:val="44"/>
      </w:numPr>
      <w:spacing w:before="240" w:after="60"/>
      <w:outlineLvl w:val="4"/>
    </w:pPr>
    <w:rPr>
      <w:lang w:val="en-US" w:eastAsia="fr-FR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deTWBExt">
    <w:name w:val="HideTWBExt"/>
    <w:rPr>
      <w:rFonts w:ascii="Arial" w:hAnsi="Arial"/>
      <w:noProof/>
      <w:vanish/>
      <w:color w:val="000080"/>
      <w:sz w:val="20"/>
    </w:rPr>
  </w:style>
  <w:style w:type="paragraph" w:styleId="Footer">
    <w:name w:val="footer"/>
    <w:basedOn w:val="Normal"/>
    <w:rsid w:val="00395FA1"/>
    <w:pPr>
      <w:widowControl/>
      <w:tabs>
        <w:tab w:val="right" w:pos="9639"/>
      </w:tabs>
    </w:pPr>
    <w:rPr>
      <w:sz w:val="22"/>
      <w:lang w:val="fr-FR" w:eastAsia="fr-FR"/>
    </w:rPr>
  </w:style>
  <w:style w:type="paragraph" w:customStyle="1" w:styleId="Normal12a12b">
    <w:name w:val="Normal12a12b"/>
    <w:basedOn w:val="Normal"/>
    <w:pPr>
      <w:spacing w:before="240" w:after="240"/>
    </w:pPr>
  </w:style>
  <w:style w:type="paragraph" w:customStyle="1" w:styleId="Footer2">
    <w:name w:val="Footer2"/>
    <w:basedOn w:val="Normal"/>
    <w:pPr>
      <w:widowControl/>
      <w:tabs>
        <w:tab w:val="right" w:pos="9921"/>
      </w:tabs>
      <w:spacing w:after="240"/>
      <w:ind w:left="-850" w:right="-850"/>
    </w:pPr>
    <w:rPr>
      <w:rFonts w:ascii="Arial" w:hAnsi="Arial" w:cs="Arial"/>
      <w:b/>
      <w:sz w:val="48"/>
    </w:rPr>
  </w:style>
  <w:style w:type="paragraph" w:customStyle="1" w:styleId="Normal12">
    <w:name w:val="Normal12"/>
    <w:basedOn w:val="Normal"/>
    <w:pPr>
      <w:spacing w:after="240"/>
    </w:pPr>
  </w:style>
  <w:style w:type="paragraph" w:styleId="TOC1">
    <w:name w:val="toc 1"/>
    <w:basedOn w:val="Normal"/>
    <w:next w:val="Normal"/>
    <w:autoRedefine/>
    <w:semiHidden/>
    <w:rsid w:val="00395FA1"/>
    <w:pPr>
      <w:keepNext/>
      <w:keepLines/>
      <w:widowControl/>
      <w:spacing w:before="200"/>
    </w:pPr>
    <w:rPr>
      <w:b/>
      <w:noProof/>
      <w:lang w:val="fr-FR" w:eastAsia="fr-FR"/>
    </w:rPr>
  </w:style>
  <w:style w:type="paragraph" w:styleId="TOCHeading">
    <w:name w:val="TOC Heading"/>
    <w:basedOn w:val="Normal12"/>
    <w:next w:val="Normal12"/>
    <w:qFormat/>
    <w:pPr>
      <w:keepNext/>
      <w:spacing w:before="240"/>
      <w:jc w:val="center"/>
    </w:pPr>
    <w:rPr>
      <w:rFonts w:ascii="Arial" w:hAnsi="Arial"/>
      <w:b/>
    </w:rPr>
  </w:style>
  <w:style w:type="paragraph" w:customStyle="1" w:styleId="TOCPage">
    <w:name w:val="TOC Page"/>
    <w:basedOn w:val="Normal12"/>
    <w:next w:val="TOC1"/>
    <w:pPr>
      <w:keepNext/>
      <w:jc w:val="right"/>
    </w:pPr>
    <w:rPr>
      <w:rFonts w:ascii="Arial" w:hAnsi="Arial"/>
      <w:b/>
    </w:rPr>
  </w:style>
  <w:style w:type="character" w:customStyle="1" w:styleId="HideTWBInt">
    <w:name w:val="HideTWBInt"/>
    <w:rPr>
      <w:vanish/>
      <w:color w:val="808080"/>
    </w:rPr>
  </w:style>
  <w:style w:type="paragraph" w:customStyle="1" w:styleId="TableofEntries">
    <w:name w:val="Table of Entries"/>
    <w:basedOn w:val="Normal12"/>
    <w:pPr>
      <w:widowControl/>
      <w:tabs>
        <w:tab w:val="right" w:leader="dot" w:pos="9072"/>
      </w:tabs>
      <w:jc w:val="both"/>
    </w:pPr>
  </w:style>
  <w:style w:type="paragraph" w:customStyle="1" w:styleId="Normal6">
    <w:name w:val="Normal6"/>
    <w:basedOn w:val="Normal"/>
    <w:pPr>
      <w:spacing w:after="120"/>
    </w:pPr>
  </w:style>
  <w:style w:type="paragraph" w:customStyle="1" w:styleId="PageHeading">
    <w:name w:val="PageHeading"/>
    <w:basedOn w:val="Normal12a12b"/>
    <w:pPr>
      <w:keepNext/>
      <w:jc w:val="center"/>
    </w:pPr>
    <w:rPr>
      <w:rFonts w:ascii="Arial" w:hAnsi="Arial"/>
      <w:b/>
    </w:rPr>
  </w:style>
  <w:style w:type="paragraph" w:customStyle="1" w:styleId="Normal12Bold">
    <w:name w:val="Normal12Bold"/>
    <w:basedOn w:val="Normal12"/>
    <w:rPr>
      <w:b/>
    </w:rPr>
  </w:style>
  <w:style w:type="paragraph" w:customStyle="1" w:styleId="Normal12Hanging">
    <w:name w:val="Normal12Hanging"/>
    <w:basedOn w:val="Normal12"/>
    <w:pPr>
      <w:ind w:left="567" w:hanging="567"/>
    </w:pPr>
  </w:style>
  <w:style w:type="paragraph" w:customStyle="1" w:styleId="CoverBold">
    <w:name w:val="CoverBold"/>
    <w:basedOn w:val="CoverNormal"/>
    <w:rsid w:val="00F04346"/>
    <w:rPr>
      <w:b/>
    </w:rPr>
  </w:style>
  <w:style w:type="paragraph" w:customStyle="1" w:styleId="Normal24">
    <w:name w:val="Normal24"/>
    <w:basedOn w:val="Normal"/>
    <w:pPr>
      <w:spacing w:after="480"/>
    </w:pPr>
  </w:style>
  <w:style w:type="paragraph" w:customStyle="1" w:styleId="Cover12">
    <w:name w:val="Cover12"/>
    <w:basedOn w:val="Normal12"/>
    <w:pPr>
      <w:ind w:left="1418"/>
    </w:pPr>
  </w:style>
  <w:style w:type="paragraph" w:customStyle="1" w:styleId="Cover24">
    <w:name w:val="Cover24"/>
    <w:basedOn w:val="Normal24"/>
    <w:pPr>
      <w:ind w:left="1418"/>
    </w:pPr>
  </w:style>
  <w:style w:type="paragraph" w:customStyle="1" w:styleId="CoverNormal">
    <w:name w:val="CoverNormal"/>
    <w:basedOn w:val="Normal"/>
    <w:pPr>
      <w:ind w:left="1418"/>
    </w:pPr>
  </w:style>
  <w:style w:type="paragraph" w:customStyle="1" w:styleId="EntPE">
    <w:name w:val="EntPE"/>
    <w:basedOn w:val="Normal12"/>
    <w:pPr>
      <w:jc w:val="center"/>
    </w:pPr>
    <w:rPr>
      <w:sz w:val="56"/>
    </w:rPr>
  </w:style>
  <w:style w:type="paragraph" w:customStyle="1" w:styleId="Normal36Bold">
    <w:name w:val="Normal36Bold"/>
    <w:basedOn w:val="Normal"/>
    <w:pPr>
      <w:spacing w:after="720"/>
    </w:pPr>
    <w:rPr>
      <w:b/>
    </w:rPr>
  </w:style>
  <w:style w:type="paragraph" w:customStyle="1" w:styleId="RefProc">
    <w:name w:val="RefProc"/>
    <w:basedOn w:val="Normal"/>
    <w:pPr>
      <w:jc w:val="right"/>
    </w:pPr>
    <w:rPr>
      <w:rFonts w:ascii="Arial" w:hAnsi="Arial"/>
      <w:b/>
      <w:caps/>
    </w:rPr>
  </w:style>
  <w:style w:type="paragraph" w:customStyle="1" w:styleId="RefStatus">
    <w:name w:val="RefStatus"/>
    <w:basedOn w:val="Normal"/>
    <w:pPr>
      <w:jc w:val="right"/>
    </w:pPr>
    <w:rPr>
      <w:rFonts w:ascii="Arial" w:hAnsi="Arial"/>
      <w:caps/>
    </w:rPr>
  </w:style>
  <w:style w:type="paragraph" w:customStyle="1" w:styleId="RefVer">
    <w:name w:val="RefVer"/>
    <w:basedOn w:val="Normal12"/>
    <w:pPr>
      <w:jc w:val="right"/>
    </w:pPr>
    <w:rPr>
      <w:rFonts w:ascii="Arial" w:hAnsi="Arial"/>
    </w:rPr>
  </w:style>
  <w:style w:type="paragraph" w:customStyle="1" w:styleId="Term">
    <w:name w:val="Term"/>
    <w:basedOn w:val="Normal"/>
    <w:pPr>
      <w:jc w:val="center"/>
    </w:pPr>
    <w:rPr>
      <w:i/>
      <w:sz w:val="28"/>
    </w:rPr>
  </w:style>
  <w:style w:type="paragraph" w:customStyle="1" w:styleId="Hanging12">
    <w:name w:val="Hanging12"/>
    <w:basedOn w:val="Normal12"/>
    <w:link w:val="Hanging12Char"/>
    <w:rsid w:val="002742D1"/>
    <w:pPr>
      <w:tabs>
        <w:tab w:val="left" w:pos="357"/>
      </w:tabs>
      <w:ind w:left="567" w:hanging="567"/>
    </w:pPr>
  </w:style>
  <w:style w:type="paragraph" w:customStyle="1" w:styleId="ZDateRes">
    <w:name w:val="ZDateRes"/>
    <w:basedOn w:val="Normal"/>
    <w:pPr>
      <w:tabs>
        <w:tab w:val="right" w:pos="9072"/>
      </w:tabs>
      <w:spacing w:before="1920" w:after="1200"/>
    </w:pPr>
  </w:style>
  <w:style w:type="paragraph" w:styleId="Header">
    <w:name w:val="header"/>
    <w:basedOn w:val="Normal"/>
    <w:rsid w:val="00395FA1"/>
    <w:pPr>
      <w:widowControl/>
      <w:tabs>
        <w:tab w:val="right" w:pos="9639"/>
      </w:tabs>
    </w:pPr>
    <w:rPr>
      <w:lang w:val="fr-FR" w:eastAsia="fr-FR"/>
    </w:rPr>
  </w:style>
  <w:style w:type="table" w:styleId="TableGrid">
    <w:name w:val="Table Grid"/>
    <w:basedOn w:val="TableNormal"/>
    <w:rsid w:val="00D058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SessionDoc">
    <w:name w:val="ZSessionDoc"/>
    <w:basedOn w:val="Normal"/>
    <w:next w:val="Normal"/>
    <w:rsid w:val="00D058B8"/>
    <w:pPr>
      <w:jc w:val="center"/>
    </w:pPr>
    <w:rPr>
      <w:rFonts w:ascii="Arial" w:hAnsi="Arial" w:cs="Arial"/>
      <w:i/>
      <w:sz w:val="22"/>
      <w:szCs w:val="22"/>
    </w:rPr>
  </w:style>
  <w:style w:type="paragraph" w:customStyle="1" w:styleId="LineTop">
    <w:name w:val="LineTop"/>
    <w:basedOn w:val="Normal"/>
    <w:next w:val="ZSessionDoc"/>
    <w:rsid w:val="00D058B8"/>
    <w:pPr>
      <w:pBdr>
        <w:top w:val="single" w:sz="4" w:space="1" w:color="auto"/>
      </w:pBdr>
      <w:jc w:val="center"/>
    </w:pPr>
    <w:rPr>
      <w:rFonts w:ascii="Arial" w:hAnsi="Arial"/>
      <w:sz w:val="16"/>
      <w:szCs w:val="16"/>
      <w:lang w:val="fr-FR"/>
    </w:rPr>
  </w:style>
  <w:style w:type="paragraph" w:customStyle="1" w:styleId="LineBottom">
    <w:name w:val="LineBottom"/>
    <w:basedOn w:val="Normal"/>
    <w:next w:val="Normal"/>
    <w:rsid w:val="00D058B8"/>
    <w:pPr>
      <w:pBdr>
        <w:bottom w:val="single" w:sz="4" w:space="1" w:color="auto"/>
      </w:pBdr>
      <w:spacing w:after="240"/>
      <w:jc w:val="center"/>
    </w:pPr>
    <w:rPr>
      <w:rFonts w:ascii="Arial" w:hAnsi="Arial"/>
      <w:sz w:val="16"/>
      <w:szCs w:val="16"/>
    </w:rPr>
  </w:style>
  <w:style w:type="paragraph" w:customStyle="1" w:styleId="PELeft">
    <w:name w:val="PELeft"/>
    <w:basedOn w:val="Normal"/>
    <w:rsid w:val="00D058B8"/>
    <w:pPr>
      <w:spacing w:before="40" w:after="40"/>
    </w:pPr>
    <w:rPr>
      <w:rFonts w:ascii="Arial" w:hAnsi="Arial" w:cs="Arial"/>
      <w:sz w:val="22"/>
      <w:szCs w:val="22"/>
      <w:lang w:val="fr-FR"/>
    </w:rPr>
  </w:style>
  <w:style w:type="paragraph" w:customStyle="1" w:styleId="PERight">
    <w:name w:val="PERight"/>
    <w:basedOn w:val="Normal"/>
    <w:next w:val="Normal"/>
    <w:rsid w:val="00D058B8"/>
    <w:pPr>
      <w:jc w:val="right"/>
    </w:pPr>
    <w:rPr>
      <w:rFonts w:ascii="Arial" w:hAnsi="Arial" w:cs="Arial"/>
      <w:sz w:val="22"/>
      <w:szCs w:val="22"/>
      <w:lang w:val="fr-FR"/>
    </w:rPr>
  </w:style>
  <w:style w:type="paragraph" w:customStyle="1" w:styleId="NormalBold">
    <w:name w:val="NormalBold"/>
    <w:basedOn w:val="Normal"/>
    <w:rsid w:val="006037C0"/>
    <w:rPr>
      <w:b/>
    </w:rPr>
  </w:style>
  <w:style w:type="paragraph" w:customStyle="1" w:styleId="Normal24Bold">
    <w:name w:val="Normal24Bold"/>
    <w:basedOn w:val="Normal"/>
    <w:rsid w:val="006037C0"/>
    <w:pPr>
      <w:spacing w:after="480"/>
    </w:pPr>
    <w:rPr>
      <w:b/>
    </w:rPr>
  </w:style>
  <w:style w:type="paragraph" w:customStyle="1" w:styleId="ATHeading1">
    <w:name w:val="AT Heading 1"/>
    <w:basedOn w:val="Normal"/>
    <w:next w:val="Normal"/>
    <w:rsid w:val="00F5134D"/>
    <w:pPr>
      <w:keepNext/>
      <w:keepLines/>
      <w:widowControl/>
      <w:spacing w:before="480" w:after="120"/>
      <w:outlineLvl w:val="0"/>
    </w:pPr>
    <w:rPr>
      <w:b/>
      <w:noProof/>
      <w:sz w:val="28"/>
      <w:lang w:val="fr-FR" w:eastAsia="fr-FR"/>
    </w:rPr>
  </w:style>
  <w:style w:type="paragraph" w:customStyle="1" w:styleId="ATHeading2">
    <w:name w:val="AT Heading 2"/>
    <w:basedOn w:val="Normal"/>
    <w:next w:val="Normal"/>
    <w:rsid w:val="00395FA1"/>
    <w:pPr>
      <w:widowControl/>
      <w:spacing w:before="120" w:after="120"/>
      <w:outlineLvl w:val="1"/>
    </w:pPr>
    <w:rPr>
      <w:b/>
      <w:noProof/>
      <w:sz w:val="28"/>
      <w:lang w:val="fr-FR" w:eastAsia="fr-FR"/>
    </w:rPr>
  </w:style>
  <w:style w:type="paragraph" w:customStyle="1" w:styleId="ATHeading3">
    <w:name w:val="AT Heading 3"/>
    <w:basedOn w:val="Normal"/>
    <w:next w:val="Normal"/>
    <w:rsid w:val="00395FA1"/>
    <w:pPr>
      <w:keepNext/>
      <w:keepLines/>
      <w:widowControl/>
      <w:spacing w:before="120" w:after="120"/>
      <w:outlineLvl w:val="2"/>
    </w:pPr>
    <w:rPr>
      <w:b/>
      <w:noProof/>
      <w:lang w:val="fr-FR" w:eastAsia="fr-FR"/>
    </w:rPr>
  </w:style>
  <w:style w:type="paragraph" w:customStyle="1" w:styleId="ATHeading4">
    <w:name w:val="AT Heading 4"/>
    <w:basedOn w:val="Normal"/>
    <w:next w:val="Normal"/>
    <w:rsid w:val="00395FA1"/>
    <w:pPr>
      <w:keepNext/>
      <w:keepLines/>
      <w:widowControl/>
      <w:spacing w:before="120" w:after="120"/>
    </w:pPr>
    <w:rPr>
      <w:b/>
      <w:i/>
      <w:noProof/>
      <w:lang w:val="fr-FR" w:eastAsia="fr-FR"/>
    </w:rPr>
  </w:style>
  <w:style w:type="paragraph" w:customStyle="1" w:styleId="ATHeading5">
    <w:name w:val="AT Heading 5"/>
    <w:basedOn w:val="Normal"/>
    <w:next w:val="Normal"/>
    <w:rsid w:val="00395FA1"/>
    <w:pPr>
      <w:keepNext/>
      <w:keepLines/>
      <w:widowControl/>
      <w:spacing w:before="120" w:after="120"/>
    </w:pPr>
    <w:rPr>
      <w:i/>
      <w:noProof/>
      <w:lang w:val="fr-FR" w:eastAsia="fr-FR"/>
    </w:rPr>
  </w:style>
  <w:style w:type="paragraph" w:customStyle="1" w:styleId="ATHeading6">
    <w:name w:val="AT Heading 6"/>
    <w:basedOn w:val="Normal"/>
    <w:next w:val="Normal"/>
    <w:rsid w:val="00395FA1"/>
    <w:pPr>
      <w:keepNext/>
      <w:keepLines/>
      <w:widowControl/>
      <w:spacing w:before="120" w:after="120"/>
    </w:pPr>
    <w:rPr>
      <w:smallCaps/>
      <w:noProof/>
      <w:lang w:val="fr-FR" w:eastAsia="fr-FR"/>
    </w:rPr>
  </w:style>
  <w:style w:type="paragraph" w:customStyle="1" w:styleId="ATHeadingMotiv">
    <w:name w:val="AT Heading Motiv"/>
    <w:basedOn w:val="Normal"/>
    <w:next w:val="Normal"/>
    <w:rsid w:val="00395FA1"/>
    <w:pPr>
      <w:keepNext/>
      <w:widowControl/>
      <w:spacing w:before="60" w:after="60"/>
      <w:jc w:val="center"/>
    </w:pPr>
    <w:rPr>
      <w:i/>
      <w:lang w:val="fr-FR" w:eastAsia="fr-FR"/>
    </w:rPr>
  </w:style>
  <w:style w:type="paragraph" w:customStyle="1" w:styleId="ATTOCTitle">
    <w:name w:val="AT TOC Title"/>
    <w:basedOn w:val="Normal"/>
    <w:rsid w:val="00395FA1"/>
    <w:pPr>
      <w:keepNext/>
      <w:keepLines/>
      <w:widowControl/>
      <w:spacing w:after="240"/>
      <w:jc w:val="center"/>
    </w:pPr>
    <w:rPr>
      <w:b/>
      <w:caps/>
      <w:sz w:val="28"/>
      <w:lang w:val="fr-FR" w:eastAsia="fr-FR"/>
    </w:rPr>
  </w:style>
  <w:style w:type="character" w:styleId="FootnoteReference">
    <w:name w:val="footnote reference"/>
    <w:aliases w:val="4_G"/>
    <w:qFormat/>
    <w:rsid w:val="00395FA1"/>
    <w:rPr>
      <w:b w:val="0"/>
      <w:vertAlign w:val="superscript"/>
    </w:rPr>
  </w:style>
  <w:style w:type="paragraph" w:styleId="FootnoteText">
    <w:name w:val="footnote text"/>
    <w:aliases w:val="5_G"/>
    <w:basedOn w:val="Normal"/>
    <w:link w:val="FootnoteTextChar"/>
    <w:qFormat/>
    <w:rsid w:val="00395FA1"/>
    <w:pPr>
      <w:keepLines/>
      <w:widowControl/>
      <w:spacing w:line="260" w:lineRule="exact"/>
      <w:ind w:left="425" w:hanging="425"/>
    </w:pPr>
    <w:rPr>
      <w:sz w:val="22"/>
      <w:lang w:val="fr-FR" w:eastAsia="fr-FR"/>
    </w:rPr>
  </w:style>
  <w:style w:type="character" w:customStyle="1" w:styleId="FootnoteTextChar">
    <w:name w:val="Footnote Text Char"/>
    <w:aliases w:val="5_G Char"/>
    <w:link w:val="FootnoteText"/>
    <w:rsid w:val="00395FA1"/>
    <w:rPr>
      <w:sz w:val="22"/>
    </w:rPr>
  </w:style>
  <w:style w:type="paragraph" w:customStyle="1" w:styleId="Numroamendement">
    <w:name w:val="Numéro amendement"/>
    <w:basedOn w:val="Normal"/>
    <w:next w:val="Normal"/>
    <w:rsid w:val="00395FA1"/>
    <w:pPr>
      <w:jc w:val="center"/>
    </w:pPr>
    <w:rPr>
      <w:snapToGrid w:val="0"/>
      <w:lang w:val="fr-FR" w:eastAsia="en-US"/>
    </w:rPr>
  </w:style>
  <w:style w:type="character" w:styleId="PageNumber">
    <w:name w:val="page number"/>
    <w:rsid w:val="00395FA1"/>
  </w:style>
  <w:style w:type="paragraph" w:styleId="TOC2">
    <w:name w:val="toc 2"/>
    <w:basedOn w:val="Normal"/>
    <w:next w:val="Normal"/>
    <w:autoRedefine/>
    <w:rsid w:val="00395FA1"/>
    <w:pPr>
      <w:keepNext/>
      <w:keepLines/>
      <w:widowControl/>
    </w:pPr>
    <w:rPr>
      <w:b/>
      <w:noProof/>
      <w:lang w:val="fr-FR" w:eastAsia="fr-FR"/>
    </w:rPr>
  </w:style>
  <w:style w:type="paragraph" w:styleId="TOC3">
    <w:name w:val="toc 3"/>
    <w:basedOn w:val="Normal"/>
    <w:next w:val="Normal"/>
    <w:autoRedefine/>
    <w:rsid w:val="00395FA1"/>
    <w:pPr>
      <w:keepLines/>
      <w:widowControl/>
      <w:ind w:right="510"/>
    </w:pPr>
    <w:rPr>
      <w:noProof/>
      <w:lang w:val="fr-FR" w:eastAsia="fr-FR"/>
    </w:rPr>
  </w:style>
  <w:style w:type="paragraph" w:customStyle="1" w:styleId="EPName">
    <w:name w:val="EPName"/>
    <w:basedOn w:val="Normal"/>
    <w:rsid w:val="00751A4A"/>
    <w:pPr>
      <w:spacing w:before="80" w:after="80"/>
    </w:pPr>
    <w:rPr>
      <w:rFonts w:ascii="Arial Narrow" w:hAnsi="Arial Narrow" w:cs="Arial"/>
      <w:b/>
      <w:color w:val="000000"/>
      <w:sz w:val="32"/>
      <w:szCs w:val="22"/>
      <w:lang w:val="fr-FR"/>
    </w:rPr>
  </w:style>
  <w:style w:type="paragraph" w:customStyle="1" w:styleId="EPTerm">
    <w:name w:val="EPTerm"/>
    <w:basedOn w:val="Normal"/>
    <w:next w:val="Normal"/>
    <w:rsid w:val="00751A4A"/>
    <w:pPr>
      <w:spacing w:after="80"/>
    </w:pPr>
    <w:rPr>
      <w:rFonts w:ascii="Arial" w:hAnsi="Arial" w:cs="Arial"/>
      <w:sz w:val="20"/>
      <w:szCs w:val="22"/>
      <w:lang w:val="fr-FR"/>
    </w:rPr>
  </w:style>
  <w:style w:type="paragraph" w:customStyle="1" w:styleId="EPLogo">
    <w:name w:val="EPLogo"/>
    <w:basedOn w:val="Normal"/>
    <w:qFormat/>
    <w:rsid w:val="00751A4A"/>
    <w:pPr>
      <w:jc w:val="right"/>
    </w:pPr>
  </w:style>
  <w:style w:type="character" w:customStyle="1" w:styleId="Hanging12Char">
    <w:name w:val="Hanging12 Char"/>
    <w:link w:val="Hanging12"/>
    <w:rsid w:val="002742D1"/>
    <w:rPr>
      <w:sz w:val="24"/>
      <w:lang w:val="pt-PT"/>
    </w:rPr>
  </w:style>
  <w:style w:type="paragraph" w:styleId="BalloonText">
    <w:name w:val="Balloon Text"/>
    <w:basedOn w:val="Normal"/>
    <w:link w:val="BalloonTextChar"/>
    <w:rsid w:val="00E321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3214F"/>
    <w:rPr>
      <w:rFonts w:ascii="Segoe U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2633</Words>
  <Characters>14050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</vt:lpstr>
    </vt:vector>
  </TitlesOfParts>
  <Company>European Parliament</Company>
  <LinksUpToDate>false</LinksUpToDate>
  <CharactersWithSpaces>16650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</dc:title>
  <dc:subject/>
  <dc:creator>IAMartins</dc:creator>
  <cp:keywords/>
  <cp:lastModifiedBy>SEMEDO Teresa</cp:lastModifiedBy>
  <cp:revision>2</cp:revision>
  <cp:lastPrinted>2004-11-19T15:42:00Z</cp:lastPrinted>
  <dcterms:created xsi:type="dcterms:W3CDTF">2020-01-06T14:09:00Z</dcterms:created>
  <dcterms:modified xsi:type="dcterms:W3CDTF">2020-01-06T14:09:00Z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&lt;Extension&gt;">
    <vt:lpwstr>PT</vt:lpwstr>
  </property>
  <property fmtid="{D5CDD505-2E9C-101B-9397-08002B2CF9AE}" pid="3" name="&lt;FdR&gt;">
    <vt:lpwstr>B9-0097, 0098, 0099, 0100/2019</vt:lpwstr>
  </property>
  <property fmtid="{D5CDD505-2E9C-101B-9397-08002B2CF9AE}" pid="4" name="&lt;Type&gt;">
    <vt:lpwstr>RR</vt:lpwstr>
  </property>
</Properties>
</file>