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6657C5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6657C5" w:rsidRDefault="00FE34C1" w:rsidP="0010095E">
            <w:pPr>
              <w:pStyle w:val="EPName"/>
            </w:pPr>
            <w:r w:rsidRPr="006657C5">
              <w:t>Parlament Europejski</w:t>
            </w:r>
          </w:p>
          <w:p w:rsidR="00751A4A" w:rsidRPr="006657C5" w:rsidRDefault="00817416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6657C5">
              <w:t>2019-2024</w:t>
            </w:r>
          </w:p>
        </w:tc>
        <w:tc>
          <w:tcPr>
            <w:tcW w:w="2268" w:type="dxa"/>
            <w:shd w:val="clear" w:color="auto" w:fill="auto"/>
          </w:tcPr>
          <w:p w:rsidR="00751A4A" w:rsidRPr="006657C5" w:rsidRDefault="00187494" w:rsidP="0010095E">
            <w:pPr>
              <w:pStyle w:val="EPLogo"/>
            </w:pPr>
            <w:r w:rsidRPr="006657C5">
              <w:rPr>
                <w:noProof/>
                <w:lang w:eastAsia="pl-PL"/>
              </w:rPr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6657C5" w:rsidRDefault="00D058B8" w:rsidP="004C5D52">
      <w:pPr>
        <w:pStyle w:val="LineTop"/>
      </w:pPr>
    </w:p>
    <w:p w:rsidR="00680577" w:rsidRPr="006657C5" w:rsidRDefault="00FE34C1" w:rsidP="00680577">
      <w:pPr>
        <w:pStyle w:val="EPBodyTA1"/>
      </w:pPr>
      <w:r w:rsidRPr="006657C5">
        <w:t>TEKSTY PRZYJĘTE</w:t>
      </w:r>
    </w:p>
    <w:p w:rsidR="00D058B8" w:rsidRPr="006657C5" w:rsidRDefault="00D058B8" w:rsidP="00D058B8">
      <w:pPr>
        <w:pStyle w:val="LineBottom"/>
      </w:pPr>
    </w:p>
    <w:p w:rsidR="00FE34C1" w:rsidRPr="006657C5" w:rsidRDefault="00FE34C1" w:rsidP="00FE34C1">
      <w:pPr>
        <w:pStyle w:val="ATHeading1"/>
      </w:pPr>
      <w:bookmarkStart w:id="0" w:name="TANumber"/>
      <w:r w:rsidRPr="006657C5">
        <w:t>P9_TA</w:t>
      </w:r>
      <w:bookmarkStart w:id="1" w:name="_GoBack"/>
      <w:bookmarkEnd w:id="1"/>
      <w:r w:rsidRPr="006657C5">
        <w:t>(2020)00</w:t>
      </w:r>
      <w:bookmarkEnd w:id="0"/>
      <w:r w:rsidR="00B20622" w:rsidRPr="006657C5">
        <w:t>16</w:t>
      </w:r>
    </w:p>
    <w:p w:rsidR="00FE34C1" w:rsidRPr="006657C5" w:rsidRDefault="00FE34C1" w:rsidP="00FE34C1">
      <w:pPr>
        <w:pStyle w:val="ATHeading2"/>
      </w:pPr>
      <w:bookmarkStart w:id="2" w:name="title"/>
      <w:r w:rsidRPr="006657C5">
        <w:t>Sprawozdanie roczne z działalności Rzecznika Praw Obywatelskich za rok 2018</w:t>
      </w:r>
      <w:bookmarkEnd w:id="2"/>
      <w:r w:rsidRPr="006657C5">
        <w:t xml:space="preserve"> </w:t>
      </w:r>
      <w:bookmarkStart w:id="3" w:name="Etoiles"/>
      <w:bookmarkEnd w:id="3"/>
    </w:p>
    <w:p w:rsidR="00FE34C1" w:rsidRPr="006657C5" w:rsidRDefault="00FE34C1" w:rsidP="00FE34C1">
      <w:pPr>
        <w:rPr>
          <w:i/>
          <w:vanish/>
        </w:rPr>
      </w:pPr>
      <w:r w:rsidRPr="006657C5">
        <w:rPr>
          <w:i/>
        </w:rPr>
        <w:fldChar w:fldCharType="begin"/>
      </w:r>
      <w:r w:rsidRPr="006657C5">
        <w:rPr>
          <w:i/>
        </w:rPr>
        <w:instrText xml:space="preserve"> TC"(</w:instrText>
      </w:r>
      <w:bookmarkStart w:id="4" w:name="DocNumber"/>
      <w:r w:rsidRPr="006657C5">
        <w:rPr>
          <w:i/>
        </w:rPr>
        <w:instrText>A9-0032/2019</w:instrText>
      </w:r>
      <w:bookmarkEnd w:id="4"/>
      <w:r w:rsidRPr="006657C5">
        <w:rPr>
          <w:i/>
        </w:rPr>
        <w:instrText xml:space="preserve"> - Sprawozdawca: Peter Jahr)"\l3 \n&gt; \* MERGEFORMAT </w:instrText>
      </w:r>
      <w:r w:rsidRPr="006657C5">
        <w:rPr>
          <w:i/>
        </w:rPr>
        <w:fldChar w:fldCharType="end"/>
      </w:r>
    </w:p>
    <w:p w:rsidR="00FE34C1" w:rsidRPr="006657C5" w:rsidRDefault="00FE34C1" w:rsidP="00FE34C1">
      <w:pPr>
        <w:rPr>
          <w:vanish/>
        </w:rPr>
      </w:pPr>
      <w:bookmarkStart w:id="5" w:name="Commission"/>
      <w:r w:rsidRPr="006657C5">
        <w:rPr>
          <w:vanish/>
        </w:rPr>
        <w:t>Komisja Petycji</w:t>
      </w:r>
      <w:bookmarkEnd w:id="5"/>
    </w:p>
    <w:p w:rsidR="00FE34C1" w:rsidRPr="006657C5" w:rsidRDefault="00FE34C1" w:rsidP="00FE34C1">
      <w:pPr>
        <w:rPr>
          <w:vanish/>
        </w:rPr>
      </w:pPr>
      <w:bookmarkStart w:id="6" w:name="PE"/>
      <w:r w:rsidRPr="006657C5">
        <w:rPr>
          <w:vanish/>
        </w:rPr>
        <w:t>PE639.781</w:t>
      </w:r>
      <w:bookmarkEnd w:id="6"/>
    </w:p>
    <w:p w:rsidR="00FE34C1" w:rsidRPr="006657C5" w:rsidRDefault="00FE34C1" w:rsidP="00FE34C1">
      <w:pPr>
        <w:pStyle w:val="ATHeading3"/>
      </w:pPr>
      <w:bookmarkStart w:id="7" w:name="Sujet"/>
      <w:r w:rsidRPr="006657C5">
        <w:t xml:space="preserve">Rezolucja Parlamentu Europejskiego z dnia </w:t>
      </w:r>
      <w:r w:rsidR="00E23D35" w:rsidRPr="006657C5">
        <w:t>16</w:t>
      </w:r>
      <w:r w:rsidRPr="006657C5">
        <w:t xml:space="preserve"> </w:t>
      </w:r>
      <w:r w:rsidR="00D04A98" w:rsidRPr="006657C5">
        <w:t xml:space="preserve">stycznia </w:t>
      </w:r>
      <w:r w:rsidRPr="006657C5">
        <w:t>2020 r. w sprawie działalności Europejskiego Rzecznika Praw Obywatelskich – sprawozdanie roczne za 2018 r.</w:t>
      </w:r>
      <w:bookmarkEnd w:id="7"/>
      <w:r w:rsidRPr="006657C5">
        <w:t xml:space="preserve"> </w:t>
      </w:r>
      <w:bookmarkStart w:id="8" w:name="References"/>
      <w:r w:rsidRPr="006657C5">
        <w:t>(2019/2134(INI))</w:t>
      </w:r>
      <w:bookmarkEnd w:id="8"/>
    </w:p>
    <w:p w:rsidR="00FE34C1" w:rsidRPr="006657C5" w:rsidRDefault="00FE34C1" w:rsidP="00FE34C1"/>
    <w:p w:rsidR="00C25011" w:rsidRPr="006657C5" w:rsidRDefault="00C25011" w:rsidP="00C25011">
      <w:pPr>
        <w:pStyle w:val="Normal12"/>
      </w:pPr>
      <w:bookmarkStart w:id="9" w:name="TextBodyBegin"/>
      <w:bookmarkEnd w:id="9"/>
      <w:r w:rsidRPr="006657C5">
        <w:rPr>
          <w:i/>
        </w:rPr>
        <w:t>Parlament Europejski</w:t>
      </w:r>
      <w:r w:rsidRPr="006657C5">
        <w:t>,</w:t>
      </w:r>
    </w:p>
    <w:p w:rsidR="00C25011" w:rsidRPr="006657C5" w:rsidRDefault="00C25011" w:rsidP="00C25011">
      <w:pPr>
        <w:pStyle w:val="Normal12Hanging"/>
        <w:rPr>
          <w:i/>
        </w:rPr>
      </w:pPr>
      <w:r w:rsidRPr="006657C5">
        <w:rPr>
          <w:i/>
        </w:rPr>
        <w:t>–</w:t>
      </w:r>
      <w:r w:rsidRPr="006657C5">
        <w:rPr>
          <w:i/>
        </w:rPr>
        <w:tab/>
      </w:r>
      <w:r w:rsidRPr="006657C5">
        <w:t>uwzględniając sprawozdanie roczne z działalności Europejskiego Rzecznika Praw Obywatelskich w 2018 r.,</w:t>
      </w:r>
    </w:p>
    <w:p w:rsidR="00C25011" w:rsidRPr="006657C5" w:rsidRDefault="00C25011" w:rsidP="00C25011">
      <w:pPr>
        <w:pStyle w:val="Normal12Hanging"/>
        <w:rPr>
          <w:i/>
        </w:rPr>
      </w:pPr>
      <w:r w:rsidRPr="006657C5">
        <w:rPr>
          <w:i/>
        </w:rPr>
        <w:t>–</w:t>
      </w:r>
      <w:r w:rsidRPr="006657C5">
        <w:rPr>
          <w:i/>
        </w:rPr>
        <w:tab/>
      </w:r>
      <w:r w:rsidRPr="006657C5">
        <w:t>uwzględniając art. 15, art. 24 akapit trzeci i art. 228 Traktatu o funkcjonowaniu Unii Europejskiej (TFUE),</w:t>
      </w:r>
    </w:p>
    <w:p w:rsidR="00C25011" w:rsidRPr="006657C5" w:rsidRDefault="00C25011" w:rsidP="00C25011">
      <w:pPr>
        <w:pStyle w:val="Normal12Hanging"/>
      </w:pPr>
      <w:r w:rsidRPr="006657C5">
        <w:t>–</w:t>
      </w:r>
      <w:r w:rsidRPr="006657C5">
        <w:tab/>
        <w:t>uwzględniając art. 11, 41, 42 i 43 Karty praw podstawowych Unii Europejskiej („Karty”),</w:t>
      </w:r>
    </w:p>
    <w:p w:rsidR="00C25011" w:rsidRPr="006657C5" w:rsidRDefault="00C25011" w:rsidP="00C25011">
      <w:pPr>
        <w:pStyle w:val="Normal12Hanging"/>
      </w:pPr>
      <w:r w:rsidRPr="006657C5">
        <w:t>–</w:t>
      </w:r>
      <w:r w:rsidRPr="006657C5">
        <w:tab/>
        <w:t>uwzględniając Konwencję ONZ o prawach osób niepełnosprawnych,</w:t>
      </w:r>
    </w:p>
    <w:p w:rsidR="00C25011" w:rsidRPr="006657C5" w:rsidRDefault="00C25011" w:rsidP="00C25011">
      <w:pPr>
        <w:pStyle w:val="Normal12Hanging"/>
      </w:pPr>
      <w:r w:rsidRPr="006657C5">
        <w:t>–</w:t>
      </w:r>
      <w:r w:rsidRPr="006657C5">
        <w:tab/>
        <w:t>uwzględniając decyzję Parlamentu Europejskiego 94/262/</w:t>
      </w:r>
      <w:proofErr w:type="spellStart"/>
      <w:r w:rsidRPr="006657C5">
        <w:t>EWWiS</w:t>
      </w:r>
      <w:proofErr w:type="spellEnd"/>
      <w:r w:rsidRPr="006657C5">
        <w:t xml:space="preserve">, WE, </w:t>
      </w:r>
      <w:proofErr w:type="spellStart"/>
      <w:r w:rsidRPr="006657C5">
        <w:t>Euratom</w:t>
      </w:r>
      <w:proofErr w:type="spellEnd"/>
      <w:r w:rsidRPr="006657C5">
        <w:t xml:space="preserve"> z dnia 9 marca 1994 r. w sprawie przepisów i ogólnych warunków regulujących wykonywanie funkcji Rzecznika Praw Obywatelskich</w:t>
      </w:r>
      <w:r w:rsidRPr="006657C5">
        <w:rPr>
          <w:rStyle w:val="FootnoteReference"/>
        </w:rPr>
        <w:footnoteReference w:id="1"/>
      </w:r>
      <w:r w:rsidRPr="006657C5">
        <w:t>,</w:t>
      </w:r>
    </w:p>
    <w:p w:rsidR="00C25011" w:rsidRPr="006657C5" w:rsidRDefault="00C25011" w:rsidP="00C25011">
      <w:pPr>
        <w:pStyle w:val="Normal12Hanging"/>
      </w:pPr>
      <w:r w:rsidRPr="006657C5">
        <w:t>–</w:t>
      </w:r>
      <w:r w:rsidRPr="006657C5">
        <w:tab/>
        <w:t>uwzględniając Europejski kodeks dobrej praktyki administracyjnej przyjęty przez Parlament w dniu 6 września 2001 r.,</w:t>
      </w:r>
    </w:p>
    <w:p w:rsidR="00C25011" w:rsidRPr="006657C5" w:rsidRDefault="00C25011" w:rsidP="00C25011">
      <w:pPr>
        <w:pStyle w:val="Normal12Hanging"/>
      </w:pPr>
      <w:r w:rsidRPr="006657C5">
        <w:t>–</w:t>
      </w:r>
      <w:r w:rsidRPr="006657C5">
        <w:tab/>
        <w:t>uwzględniając umowę ramową w sprawie współpracy, zawartą pomiędzy Parlamentem a Europejskim Rzecznikiem Praw Obywatelskich w dniu 15 marca 2006 r., która weszła w życie w dniu 1 kwietnia 2006 r.,</w:t>
      </w:r>
    </w:p>
    <w:p w:rsidR="00C25011" w:rsidRPr="006657C5" w:rsidRDefault="00C25011" w:rsidP="00C25011">
      <w:pPr>
        <w:pStyle w:val="Normal12Hanging"/>
      </w:pPr>
      <w:r w:rsidRPr="006657C5">
        <w:t>–</w:t>
      </w:r>
      <w:r w:rsidRPr="006657C5">
        <w:tab/>
        <w:t xml:space="preserve">uwzględniając swoją rezolucję z dnia 17 stycznia 2019 r. w sprawie dochodzenia strategicznego OI/2/2017 Rzecznika Praw Obywatelskich dotyczącego przejrzystości </w:t>
      </w:r>
      <w:r w:rsidRPr="006657C5">
        <w:lastRenderedPageBreak/>
        <w:t>podczas dyskusji ustawodawczych w organach przygotowawczych Rady UE</w:t>
      </w:r>
      <w:r w:rsidRPr="006657C5">
        <w:rPr>
          <w:rStyle w:val="FootnoteReference"/>
        </w:rPr>
        <w:footnoteReference w:id="2"/>
      </w:r>
      <w:r w:rsidRPr="006657C5">
        <w:t>,</w:t>
      </w:r>
    </w:p>
    <w:p w:rsidR="00C25011" w:rsidRPr="006657C5" w:rsidRDefault="00C25011" w:rsidP="00C25011">
      <w:pPr>
        <w:pStyle w:val="Normal12Hanging"/>
      </w:pPr>
      <w:r w:rsidRPr="006657C5">
        <w:t>–</w:t>
      </w:r>
      <w:r w:rsidRPr="006657C5">
        <w:tab/>
        <w:t>uwzględniając swoją rezolucję z dnia 13 lutego 2019 r. w sprawie wyniku działalności Komisji Petycji w roku 2018</w:t>
      </w:r>
      <w:r w:rsidRPr="006657C5">
        <w:rPr>
          <w:rStyle w:val="FootnoteReference"/>
        </w:rPr>
        <w:footnoteReference w:id="3"/>
      </w:r>
      <w:r w:rsidRPr="006657C5">
        <w:t>,</w:t>
      </w:r>
    </w:p>
    <w:p w:rsidR="00C25011" w:rsidRPr="006657C5" w:rsidRDefault="00C25011" w:rsidP="00C25011">
      <w:pPr>
        <w:pStyle w:val="Normal12Hanging"/>
      </w:pPr>
      <w:r w:rsidRPr="006657C5">
        <w:t>–</w:t>
      </w:r>
      <w:r w:rsidRPr="006657C5">
        <w:tab/>
        <w:t>uwzględniając swoje poprzednie rezolucje w sprawie działalności Europejskiego Rzecznika Praw Obywatelskich,</w:t>
      </w:r>
    </w:p>
    <w:p w:rsidR="00C25011" w:rsidRPr="006657C5" w:rsidRDefault="00C25011" w:rsidP="00C25011">
      <w:pPr>
        <w:pStyle w:val="Normal12Hanging"/>
      </w:pPr>
      <w:r w:rsidRPr="006657C5">
        <w:t>–</w:t>
      </w:r>
      <w:r w:rsidRPr="006657C5">
        <w:tab/>
        <w:t>uwzględniając art. 54 oraz art. 232 ust. 1 Regulaminu,</w:t>
      </w:r>
    </w:p>
    <w:p w:rsidR="00C25011" w:rsidRPr="006657C5" w:rsidRDefault="00C25011" w:rsidP="00C25011">
      <w:pPr>
        <w:pStyle w:val="Normal12Hanging"/>
      </w:pPr>
      <w:r w:rsidRPr="006657C5">
        <w:t>–</w:t>
      </w:r>
      <w:r w:rsidRPr="006657C5">
        <w:tab/>
        <w:t>uwzględniając pismo przesłane przez Komisję Spraw Konstytucyjnych,</w:t>
      </w:r>
    </w:p>
    <w:p w:rsidR="00C25011" w:rsidRPr="006657C5" w:rsidRDefault="00C25011" w:rsidP="00C25011">
      <w:pPr>
        <w:pStyle w:val="Normal12Hanging"/>
      </w:pPr>
      <w:r w:rsidRPr="006657C5">
        <w:t>–</w:t>
      </w:r>
      <w:r w:rsidRPr="006657C5">
        <w:tab/>
        <w:t>uwzględniając sprawozdanie Komisji Petycji (A9-0032/2019),</w:t>
      </w:r>
    </w:p>
    <w:p w:rsidR="00C25011" w:rsidRPr="006657C5" w:rsidRDefault="00C25011" w:rsidP="00C25011">
      <w:pPr>
        <w:pStyle w:val="Normal12Hanging"/>
      </w:pPr>
      <w:r w:rsidRPr="006657C5">
        <w:t>A.</w:t>
      </w:r>
      <w:r w:rsidRPr="006657C5">
        <w:tab/>
      </w:r>
      <w:proofErr w:type="gramStart"/>
      <w:r w:rsidRPr="006657C5">
        <w:t>mając</w:t>
      </w:r>
      <w:proofErr w:type="gramEnd"/>
      <w:r w:rsidRPr="006657C5">
        <w:t xml:space="preserve"> na uwadze, że sprawozdanie roczne z działalności Europejskiego Rzecznika Praw Obywatelskich w 2018 r. zostało oficjalnie przedłożone przewodniczącemu Parlamentu w dniu 2 października 2019 r., zaś w dniu 4 września 2019 r. w Brukseli rzecznik </w:t>
      </w:r>
      <w:proofErr w:type="spellStart"/>
      <w:r w:rsidRPr="006657C5">
        <w:t>Emily</w:t>
      </w:r>
      <w:proofErr w:type="spellEnd"/>
      <w:r w:rsidRPr="006657C5">
        <w:t xml:space="preserve"> </w:t>
      </w:r>
      <w:proofErr w:type="spellStart"/>
      <w:r w:rsidRPr="006657C5">
        <w:t>O’Reilly</w:t>
      </w:r>
      <w:proofErr w:type="spellEnd"/>
      <w:r w:rsidRPr="006657C5">
        <w:t xml:space="preserve"> przedstawiła je Komisji Petycji;</w:t>
      </w:r>
    </w:p>
    <w:p w:rsidR="00C25011" w:rsidRPr="006657C5" w:rsidRDefault="00C25011" w:rsidP="00C25011">
      <w:pPr>
        <w:pStyle w:val="Normal12Hanging"/>
      </w:pPr>
      <w:r w:rsidRPr="006657C5">
        <w:t>B.</w:t>
      </w:r>
      <w:r w:rsidRPr="006657C5">
        <w:tab/>
        <w:t xml:space="preserve">mając na uwadze, że na mocy art. 24 i 228 TFUE Europejski Rzecznik Praw Obywatelskich uprawniony jest do przyjmowania skarg dotyczących przypadków niewłaściwego administrowania w działaniach instytucji, organów lub jednostek organizacyjnych Unii, z wyłączeniem Trybunału Sprawiedliwości Unii Europejskiej wykonującego funkcje sądowe; </w:t>
      </w:r>
    </w:p>
    <w:p w:rsidR="00C25011" w:rsidRPr="006657C5" w:rsidRDefault="00C25011" w:rsidP="00C25011">
      <w:pPr>
        <w:pStyle w:val="NormalHanging12a"/>
        <w:rPr>
          <w:noProof w:val="0"/>
          <w:szCs w:val="24"/>
        </w:rPr>
      </w:pPr>
      <w:r w:rsidRPr="006657C5">
        <w:rPr>
          <w:noProof w:val="0"/>
        </w:rPr>
        <w:t>C.</w:t>
      </w:r>
      <w:r w:rsidRPr="006657C5">
        <w:rPr>
          <w:noProof w:val="0"/>
        </w:rPr>
        <w:tab/>
      </w:r>
      <w:proofErr w:type="gramStart"/>
      <w:r w:rsidRPr="006657C5">
        <w:rPr>
          <w:noProof w:val="0"/>
        </w:rPr>
        <w:t>mając</w:t>
      </w:r>
      <w:proofErr w:type="gramEnd"/>
      <w:r w:rsidRPr="006657C5">
        <w:rPr>
          <w:noProof w:val="0"/>
        </w:rPr>
        <w:t xml:space="preserve"> na uwadze, że art. 10 ust. 3 Traktatu o Unii Europejskiej stanowi, iż „każdy obywatel ma prawo uczestniczyć w życiu demokratycznym Unii” oraz że „decyzje są podejmowane w sposób jak najbardziej otwarty i zbliżony do obywatela”;</w:t>
      </w:r>
    </w:p>
    <w:p w:rsidR="00C25011" w:rsidRPr="006657C5" w:rsidRDefault="00C25011" w:rsidP="00C25011">
      <w:pPr>
        <w:pStyle w:val="NormalHanging12a"/>
        <w:rPr>
          <w:noProof w:val="0"/>
          <w:szCs w:val="24"/>
        </w:rPr>
      </w:pPr>
      <w:r w:rsidRPr="006657C5">
        <w:rPr>
          <w:noProof w:val="0"/>
        </w:rPr>
        <w:t>D.</w:t>
      </w:r>
      <w:r w:rsidRPr="006657C5">
        <w:rPr>
          <w:noProof w:val="0"/>
        </w:rPr>
        <w:tab/>
      </w:r>
      <w:proofErr w:type="gramStart"/>
      <w:r w:rsidRPr="006657C5">
        <w:rPr>
          <w:noProof w:val="0"/>
        </w:rPr>
        <w:t>mając</w:t>
      </w:r>
      <w:proofErr w:type="gramEnd"/>
      <w:r w:rsidRPr="006657C5">
        <w:rPr>
          <w:noProof w:val="0"/>
        </w:rPr>
        <w:t xml:space="preserve"> na uwadze, że art. 15 TFUE stanowi, że „w celu wspierania dobrych rządów i zapewnienia uczestnictwa społeczeństwa obywatelskiego, instytucje, organy i jednostki organizacyjne Unii działają z jak największym poszanowaniem zasady otwartości” oraz że „każdy obywatel Unii i każda osoba fizyczna lub prawna mająca miejsce zamieszkania lub siedzibę statutową w państwie członkowskim ma prawo dostępu do dokumentów instytucji, organów i jednostek organizacyjnych Unii”;</w:t>
      </w:r>
    </w:p>
    <w:p w:rsidR="00C25011" w:rsidRPr="006657C5" w:rsidRDefault="00C25011" w:rsidP="00C25011">
      <w:pPr>
        <w:pStyle w:val="NormalHanging12a"/>
        <w:rPr>
          <w:noProof w:val="0"/>
          <w:szCs w:val="24"/>
        </w:rPr>
      </w:pPr>
      <w:r w:rsidRPr="006657C5">
        <w:rPr>
          <w:noProof w:val="0"/>
        </w:rPr>
        <w:t>E.</w:t>
      </w:r>
      <w:r w:rsidRPr="006657C5">
        <w:rPr>
          <w:noProof w:val="0"/>
        </w:rPr>
        <w:tab/>
      </w:r>
      <w:proofErr w:type="gramStart"/>
      <w:r w:rsidRPr="006657C5">
        <w:rPr>
          <w:noProof w:val="0"/>
        </w:rPr>
        <w:t>mając</w:t>
      </w:r>
      <w:proofErr w:type="gramEnd"/>
      <w:r w:rsidRPr="006657C5">
        <w:rPr>
          <w:noProof w:val="0"/>
        </w:rPr>
        <w:t xml:space="preserve"> na uwadze, że art. 41 ust. 1 Karty stanowi, że „każdy ma prawo do bezstronnego i sprawiedliwego rozpatrzenia swojej sprawy w rozsądnym terminie przez instytucje, organy i jednostki organizacyjne Unii”;</w:t>
      </w:r>
    </w:p>
    <w:p w:rsidR="00C25011" w:rsidRPr="006657C5" w:rsidRDefault="00C25011" w:rsidP="00C25011">
      <w:pPr>
        <w:pStyle w:val="NormalHanging12a"/>
        <w:rPr>
          <w:noProof w:val="0"/>
          <w:szCs w:val="24"/>
        </w:rPr>
      </w:pPr>
      <w:r w:rsidRPr="006657C5">
        <w:rPr>
          <w:noProof w:val="0"/>
        </w:rPr>
        <w:t>F.</w:t>
      </w:r>
      <w:r w:rsidRPr="006657C5">
        <w:rPr>
          <w:noProof w:val="0"/>
        </w:rPr>
        <w:tab/>
      </w:r>
      <w:proofErr w:type="gramStart"/>
      <w:r w:rsidRPr="006657C5">
        <w:rPr>
          <w:noProof w:val="0"/>
        </w:rPr>
        <w:t>mając</w:t>
      </w:r>
      <w:proofErr w:type="gramEnd"/>
      <w:r w:rsidRPr="006657C5">
        <w:rPr>
          <w:noProof w:val="0"/>
        </w:rPr>
        <w:t xml:space="preserve"> na uwadze, że art. 43 Karty stanowi, że „każdy obywatel Unii i każda osoba fizyczna lub prawna mająca miejsce zamieszkania lub statutową siedzibę w państwie członkowskim ma prawo zwracać się do Europejskiego Rzecznika Praw Obywatelskich w przypadkach niewłaściwego administrowania w działaniach instytucji, organów i jednostek organizacyjnych Unii, z wyłączeniem Trybunału Sprawiedliwości Unii Europejskiej wykonującego swoje funkcje sądowe”;</w:t>
      </w:r>
    </w:p>
    <w:p w:rsidR="00C25011" w:rsidRPr="006657C5" w:rsidRDefault="00C25011" w:rsidP="00C25011">
      <w:pPr>
        <w:pStyle w:val="Normal12Hanging"/>
      </w:pPr>
      <w:r w:rsidRPr="006657C5">
        <w:t>G.</w:t>
      </w:r>
      <w:r w:rsidRPr="006657C5">
        <w:tab/>
        <w:t xml:space="preserve">mając na uwadze, że w 2018 r. Rzecznik wszczął 490 dochodzeń, w tym 482 na podstawie skarg, a 8 z inicjatywy własnej, oraz zamknął 545 dochodzeń (534 na </w:t>
      </w:r>
      <w:r w:rsidRPr="006657C5">
        <w:lastRenderedPageBreak/>
        <w:t>podstawie skarg, a 11 z inicjatywy własnej); mając na uwadze, że większość dochodzeń dotyczyła Komisji (285 dochodzeń, tj. 58,2 %), druga z kolei liczba dochodzeń dotyczyła agencji UE (43 dochodzenia, tj. 8,8 %), a pozostałe dochodzenia rozkładały się następująco: Parlament (30 dochodzeń, tj. 6,1 %), Europejski Urząd Doboru Kadr (EPSO) (23 dochodzenia, tj. 4,7 %), Europejska Służba Działań Zewnętrznych (ESDZ) (23 dochodzenia, tj. 4,7 %), Europejski Bank Inwestycyjny (16 dochodzeń, tj. 3,3 %), Europejski Urząd ds. Zwalczania Nadużyć Finansowych (OLAF) (14 dochodzeń, tj. 2,8 %) i inne instytucje (56 dochodzeń, tj. 11,4 %);</w:t>
      </w:r>
    </w:p>
    <w:p w:rsidR="00C25011" w:rsidRPr="006657C5" w:rsidRDefault="00C25011" w:rsidP="00C25011">
      <w:pPr>
        <w:pStyle w:val="Normal12Hanging"/>
      </w:pPr>
      <w:r w:rsidRPr="006657C5">
        <w:t>H.</w:t>
      </w:r>
      <w:r w:rsidRPr="006657C5">
        <w:tab/>
      </w:r>
      <w:proofErr w:type="gramStart"/>
      <w:r w:rsidRPr="006657C5">
        <w:t>mając</w:t>
      </w:r>
      <w:proofErr w:type="gramEnd"/>
      <w:r w:rsidRPr="006657C5">
        <w:t xml:space="preserve"> na uwadze, że główne trzy zastrzeżenia będące przedmiotem dochodzeń zamkniętych przez Rzecznika w 2018 r. dotyczyły: przejrzystości, rozliczalności oraz publicznego dostępu do informacji i dokumentów (24,6 %), kultury sprawowania służby publicznej (19,8 %) i właściwego korzystania z uprawnień dyskrecjonalnych (16,1 %); inne zastrzeżenia obejmowały przestrzeganie praw proceduralnych, takich jak prawo do bycia wysłuchanym, przestrzeganie praw podstawowych, rekrutację, kwestie etyczne, udział obywateli w procesie decyzyjnym UE, w tym w ramach postępowań w sprawie uchybienia zobowiązaniom państwa członkowskiego, należyte zarządzanie finansami w ramach unijnych przetargów, dotacji i zamówień oraz rekrutacji, a także właściwe zarządzanie kwestiami kadrowymi UE;</w:t>
      </w:r>
    </w:p>
    <w:p w:rsidR="00C25011" w:rsidRPr="006657C5" w:rsidRDefault="00C25011" w:rsidP="00C25011">
      <w:pPr>
        <w:pStyle w:val="NormalHanging12a"/>
        <w:rPr>
          <w:noProof w:val="0"/>
          <w:szCs w:val="24"/>
        </w:rPr>
      </w:pPr>
      <w:r w:rsidRPr="006657C5">
        <w:rPr>
          <w:noProof w:val="0"/>
        </w:rPr>
        <w:t>I.</w:t>
      </w:r>
      <w:r w:rsidRPr="006657C5">
        <w:rPr>
          <w:noProof w:val="0"/>
        </w:rPr>
        <w:tab/>
      </w:r>
      <w:proofErr w:type="gramStart"/>
      <w:r w:rsidRPr="006657C5">
        <w:rPr>
          <w:noProof w:val="0"/>
        </w:rPr>
        <w:t>mając</w:t>
      </w:r>
      <w:proofErr w:type="gramEnd"/>
      <w:r w:rsidRPr="006657C5">
        <w:rPr>
          <w:noProof w:val="0"/>
        </w:rPr>
        <w:t xml:space="preserve"> na uwadze, że wskaźnik przestrzegania przez Komisję Europejską zaleceń Rzecznika dotyczących dobrej administracji, który w 2018 r. wynosi 76 %, wykazuje stały spadek – w 2016 r. wynosił bowiem 82 %, a w 2017 r. 77 %;</w:t>
      </w:r>
    </w:p>
    <w:p w:rsidR="00C25011" w:rsidRPr="006657C5" w:rsidRDefault="00C25011" w:rsidP="00C25011">
      <w:pPr>
        <w:pStyle w:val="NormalHanging12a"/>
        <w:rPr>
          <w:noProof w:val="0"/>
          <w:szCs w:val="24"/>
        </w:rPr>
      </w:pPr>
      <w:r w:rsidRPr="006657C5">
        <w:rPr>
          <w:noProof w:val="0"/>
        </w:rPr>
        <w:t>J.</w:t>
      </w:r>
      <w:r w:rsidRPr="006657C5">
        <w:rPr>
          <w:noProof w:val="0"/>
        </w:rPr>
        <w:tab/>
        <w:t>mając na uwadze, że w 2018 r. o pomoc do Rzecznika zwróciło się 17 996 obywateli; mając na uwadze, że 14 596 osobom udzielono pomocy za pośrednictwem interaktywnego przewodnika na portalu Rzecznika; mając na uwadze, że 1 220 wniosków zostało przekazanych dalej w celu uzyskania informacji; mając na uwadze, że Rzecznik rozpatrzył 2 180 skarg;</w:t>
      </w:r>
    </w:p>
    <w:p w:rsidR="00C25011" w:rsidRPr="006657C5" w:rsidRDefault="00C25011" w:rsidP="00C25011">
      <w:pPr>
        <w:pStyle w:val="Normal12Hanging"/>
      </w:pPr>
      <w:r w:rsidRPr="006657C5">
        <w:t>K.</w:t>
      </w:r>
      <w:r w:rsidRPr="006657C5">
        <w:tab/>
        <w:t xml:space="preserve">mając na uwadze, że w ramach swojej pracy strategicznej w 2018 r. biuro Rzecznika wszczęło pięć nowych dochodzeń strategicznych: w sprawie traktowania osób z niepełnosprawnościami we wspólnym systemie ubezpieczenia chorobowego, w sprawie dostępności stron internetowych Komisji dla osób z niepełnosprawnościami, w sprawie działań Europejskiej Agencji Leków (EMA) poprzedzających złożenie wniosku, w sprawie reagowania przez Komisję na problem „drzwi obrotowych” w przypadku pracowników UE oraz w sprawie rozliczalności prac ustawodawczych Rady; mając na uwadze, że w 2018 r. Rzecznik podjął 10 inicjatyw strategicznych, m.in. w sprawach takich jak używanie języków w służbie cywilnej UE, polityka przeciwdziałania molestowaniu w służbie cywilnej UE oraz </w:t>
      </w:r>
      <w:proofErr w:type="gramStart"/>
      <w:r w:rsidRPr="006657C5">
        <w:t>ochrona</w:t>
      </w:r>
      <w:proofErr w:type="gramEnd"/>
      <w:r w:rsidRPr="006657C5">
        <w:t xml:space="preserve"> dzieci migrujących; </w:t>
      </w:r>
    </w:p>
    <w:p w:rsidR="00C25011" w:rsidRPr="006657C5" w:rsidRDefault="00C25011" w:rsidP="00C25011">
      <w:pPr>
        <w:pStyle w:val="NormalHanging12a"/>
        <w:rPr>
          <w:noProof w:val="0"/>
        </w:rPr>
      </w:pPr>
      <w:r w:rsidRPr="006657C5">
        <w:rPr>
          <w:noProof w:val="0"/>
        </w:rPr>
        <w:t>L.</w:t>
      </w:r>
      <w:r w:rsidRPr="006657C5">
        <w:rPr>
          <w:noProof w:val="0"/>
        </w:rPr>
        <w:tab/>
      </w:r>
      <w:proofErr w:type="gramStart"/>
      <w:r w:rsidRPr="006657C5">
        <w:rPr>
          <w:noProof w:val="0"/>
        </w:rPr>
        <w:t>mając</w:t>
      </w:r>
      <w:proofErr w:type="gramEnd"/>
      <w:r w:rsidRPr="006657C5">
        <w:rPr>
          <w:noProof w:val="0"/>
        </w:rPr>
        <w:t xml:space="preserve"> na uwadze, że Rzecznik powinien odgrywać kluczową rolę w zapewnianiu większej otwartości i rozliczalności procesu ustawodawczego względem obywateli, tak aby umożliwić im korzystanie z prawa do udziału w życiu demokratycznym Unii, a tym samym zwiększyć ich zaangażowanie i zaufanie;</w:t>
      </w:r>
    </w:p>
    <w:p w:rsidR="00C25011" w:rsidRPr="006657C5" w:rsidRDefault="00C25011" w:rsidP="00C25011">
      <w:pPr>
        <w:pStyle w:val="NormalHanging12a"/>
        <w:rPr>
          <w:noProof w:val="0"/>
          <w:szCs w:val="24"/>
        </w:rPr>
      </w:pPr>
      <w:r w:rsidRPr="006657C5">
        <w:rPr>
          <w:noProof w:val="0"/>
        </w:rPr>
        <w:t>M.</w:t>
      </w:r>
      <w:r w:rsidRPr="006657C5">
        <w:rPr>
          <w:noProof w:val="0"/>
        </w:rPr>
        <w:tab/>
        <w:t>mając na uwadze, że Rzecznik powinien odgrywać kluczową rolę w dbaniu o rozliczalność instytucji UE oraz o maksymalną przejrzystość i bezstronność unijnych procesów administracyjnych i decyzyjnych, aby chronić prawa obywateli, a tym samym zwiększyć ich zaufanie, zaangażowanie i udział w życiu demokratycznym Unii;</w:t>
      </w:r>
    </w:p>
    <w:p w:rsidR="00C25011" w:rsidRPr="006657C5" w:rsidRDefault="00C25011" w:rsidP="00C25011">
      <w:pPr>
        <w:pStyle w:val="NormalHanging12a"/>
        <w:rPr>
          <w:noProof w:val="0"/>
        </w:rPr>
      </w:pPr>
      <w:r w:rsidRPr="006657C5">
        <w:rPr>
          <w:noProof w:val="0"/>
        </w:rPr>
        <w:lastRenderedPageBreak/>
        <w:t>N.</w:t>
      </w:r>
      <w:r w:rsidRPr="006657C5">
        <w:rPr>
          <w:noProof w:val="0"/>
        </w:rPr>
        <w:tab/>
        <w:t>mając na uwadze, że głównym priorytetem Europejskiego Rzecznika Praw Obywatelskich jest zapewnienie pełnego poszanowania praw obywateli;</w:t>
      </w:r>
    </w:p>
    <w:p w:rsidR="00C25011" w:rsidRPr="006657C5" w:rsidRDefault="00C25011" w:rsidP="00C25011">
      <w:pPr>
        <w:pStyle w:val="Normal12Hanging"/>
      </w:pPr>
      <w:r w:rsidRPr="006657C5">
        <w:t>O.</w:t>
      </w:r>
      <w:r w:rsidRPr="006657C5">
        <w:tab/>
      </w:r>
      <w:proofErr w:type="gramStart"/>
      <w:r w:rsidRPr="006657C5">
        <w:t>mając</w:t>
      </w:r>
      <w:proofErr w:type="gramEnd"/>
      <w:r w:rsidRPr="006657C5">
        <w:t xml:space="preserve"> na uwadze, że w 2018 r. Rzecznik uruchomił nową stronę internetową, ze zmienionym, przyjaznym dla użytkowników interfejsem dla potencjalnych skarżących; mając na uwadze, że stosowana przez Rzecznika przyspieszona procedura rozpatrywania skarg dotyczących publicznego dostępu do dokumentów odzwierciedla zobowiązanie Rzecznika, by w ciągu 40 dni udzielać pomocy i przedstawiać – w 24 językach urzędowych – decyzje osobom zwracającym się o pomoc; mając na uwadze, że ta nowa inicjatywa stanowi element strategii służącej poprawie skuteczności biura Rzecznika;</w:t>
      </w:r>
    </w:p>
    <w:p w:rsidR="00C25011" w:rsidRPr="006657C5" w:rsidRDefault="00C25011" w:rsidP="00C25011">
      <w:pPr>
        <w:pStyle w:val="Normal12Hanging"/>
      </w:pPr>
      <w:r w:rsidRPr="006657C5">
        <w:t>P.</w:t>
      </w:r>
      <w:r w:rsidRPr="006657C5">
        <w:tab/>
        <w:t>mając na uwadze, że w wyniku dochodzenia strategicznego OI/2/2017/TE Rzecznik stwierdził, że w Radzie brakuje przejrzystości pod względem publicznego dostępu do jej dokumentów ustawodawczych, a także pod względem obecnych praktyk w procesie decyzyjnym – szczególnie na etapie przygotowawczym na szczeblu Komitetu Stałych Przedstawicieli (</w:t>
      </w:r>
      <w:proofErr w:type="spellStart"/>
      <w:r w:rsidRPr="006657C5">
        <w:t>Coreper</w:t>
      </w:r>
      <w:proofErr w:type="spellEnd"/>
      <w:r w:rsidRPr="006657C5">
        <w:t xml:space="preserve">) i grup roboczych; </w:t>
      </w:r>
      <w:r w:rsidRPr="006657C5">
        <w:rPr>
          <w:bCs/>
          <w:iCs/>
        </w:rPr>
        <w:t xml:space="preserve">mając na uwadze, że w dniu 16 maja 2018 r. – w związku z brakiem gotowości Rady do wdrożenia zaleceń Rzecznika – Rzecznik przedłożył Parlamentowi sprawozdanie specjalne OI/2/2017/TE w sprawie przejrzystości procesu legislacyjnego w Radzie; </w:t>
      </w:r>
      <w:r w:rsidR="00A615E1">
        <w:t xml:space="preserve">mając na uwadze, że </w:t>
      </w:r>
      <w:r w:rsidRPr="006657C5">
        <w:t xml:space="preserve">dniu 17 stycznia 2019 r., Parlament przyjął sprawozdanie w sprawie dochodzenia strategicznego Rzecznika , w którym w pełni poparto </w:t>
      </w:r>
      <w:proofErr w:type="gramStart"/>
      <w:r w:rsidRPr="006657C5">
        <w:t>zalecenia</w:t>
      </w:r>
      <w:proofErr w:type="gramEnd"/>
      <w:r w:rsidRPr="006657C5">
        <w:t xml:space="preserve"> Rzecznika; mając na uwadze, że prezydencja fińska zadeklarowała swoje zaangażowanie na rzecz zwiększenia otwartości i przejrzystości ustawodawczej w Radzie;</w:t>
      </w:r>
    </w:p>
    <w:p w:rsidR="00C25011" w:rsidRPr="006657C5" w:rsidRDefault="00C25011" w:rsidP="00C25011">
      <w:pPr>
        <w:pStyle w:val="NormalHanging12a"/>
        <w:rPr>
          <w:noProof w:val="0"/>
        </w:rPr>
      </w:pPr>
      <w:r w:rsidRPr="006657C5">
        <w:rPr>
          <w:noProof w:val="0"/>
        </w:rPr>
        <w:t>Q.</w:t>
      </w:r>
      <w:r w:rsidRPr="006657C5">
        <w:rPr>
          <w:noProof w:val="0"/>
        </w:rPr>
        <w:tab/>
      </w:r>
      <w:proofErr w:type="gramStart"/>
      <w:r w:rsidRPr="006657C5">
        <w:rPr>
          <w:noProof w:val="0"/>
        </w:rPr>
        <w:t>mając</w:t>
      </w:r>
      <w:proofErr w:type="gramEnd"/>
      <w:r w:rsidRPr="006657C5">
        <w:rPr>
          <w:noProof w:val="0"/>
        </w:rPr>
        <w:t xml:space="preserve"> na uwadze, że w dniu 12 lutego 2019 r. Parlament zatwierdził projekt rozporządzenia Parlamentu Europejskiego ustanawiającego przepisy i ogólne warunki regulujące wykonywanie funkcji Rzecznika Praw Obywatelskich (Statut Europejskiego Rzecznika Praw Obywatelskich) i uchylającego decyzję 94/262/</w:t>
      </w:r>
      <w:proofErr w:type="spellStart"/>
      <w:r w:rsidRPr="006657C5">
        <w:rPr>
          <w:noProof w:val="0"/>
        </w:rPr>
        <w:t>EWWiS</w:t>
      </w:r>
      <w:proofErr w:type="spellEnd"/>
      <w:r w:rsidRPr="006657C5">
        <w:rPr>
          <w:noProof w:val="0"/>
        </w:rPr>
        <w:t xml:space="preserve">, WE, </w:t>
      </w:r>
      <w:proofErr w:type="spellStart"/>
      <w:r w:rsidRPr="006657C5">
        <w:rPr>
          <w:noProof w:val="0"/>
        </w:rPr>
        <w:t>Euratom</w:t>
      </w:r>
      <w:proofErr w:type="spellEnd"/>
      <w:r w:rsidRPr="006657C5">
        <w:rPr>
          <w:rStyle w:val="FootnoteReference"/>
          <w:noProof w:val="0"/>
        </w:rPr>
        <w:footnoteReference w:id="4"/>
      </w:r>
      <w:r w:rsidRPr="006657C5">
        <w:rPr>
          <w:noProof w:val="0"/>
        </w:rPr>
        <w:t>, w której to kwestii spoczywa na nim główna odpowiedzialność ustawodawcza; mając na uwadze, że to nowe rozporządzenie oczekuje na zatwierdzenie przez Radę;</w:t>
      </w:r>
    </w:p>
    <w:p w:rsidR="00C25011" w:rsidRPr="006657C5" w:rsidRDefault="00C25011" w:rsidP="00C25011">
      <w:pPr>
        <w:pStyle w:val="NormalHanging12a"/>
        <w:rPr>
          <w:noProof w:val="0"/>
        </w:rPr>
      </w:pPr>
      <w:r w:rsidRPr="006657C5">
        <w:rPr>
          <w:noProof w:val="0"/>
        </w:rPr>
        <w:t>R.</w:t>
      </w:r>
      <w:r w:rsidRPr="006657C5">
        <w:rPr>
          <w:noProof w:val="0"/>
        </w:rPr>
        <w:tab/>
        <w:t xml:space="preserve">mając na uwadze, że większa otwartość i przejrzystość w odniesieniu do stanowisk zajmowanych przez rządy państw członkowskich w Radzie zwiększy zaufanie do UE oraz zmniejszy </w:t>
      </w:r>
      <w:proofErr w:type="spellStart"/>
      <w:r w:rsidRPr="006657C5">
        <w:rPr>
          <w:noProof w:val="0"/>
        </w:rPr>
        <w:t>eurosceptycyzm</w:t>
      </w:r>
      <w:proofErr w:type="spellEnd"/>
      <w:r w:rsidRPr="006657C5">
        <w:rPr>
          <w:noProof w:val="0"/>
        </w:rPr>
        <w:t xml:space="preserve"> i populizm;</w:t>
      </w:r>
    </w:p>
    <w:p w:rsidR="00811081" w:rsidRPr="006657C5" w:rsidRDefault="00242D9C" w:rsidP="00C25011">
      <w:pPr>
        <w:pStyle w:val="NormalHanging12a"/>
        <w:rPr>
          <w:noProof w:val="0"/>
        </w:rPr>
      </w:pPr>
      <w:r w:rsidRPr="006657C5">
        <w:t>S</w:t>
      </w:r>
      <w:r w:rsidR="00811081" w:rsidRPr="006657C5">
        <w:t>.</w:t>
      </w:r>
      <w:r w:rsidR="00811081" w:rsidRPr="006657C5">
        <w:tab/>
        <w:t>mając na uwadze, że większa przejrzystość w procesie podejmowania decyzji w rozmowach trójstronnych zwiększy zaufanie obywateli do instytucji unijnych</w:t>
      </w:r>
      <w:r w:rsidR="00811081" w:rsidRPr="006657C5">
        <w:rPr>
          <w:noProof w:val="0"/>
        </w:rPr>
        <w:t>;</w:t>
      </w:r>
    </w:p>
    <w:p w:rsidR="00C25011" w:rsidRPr="006657C5" w:rsidRDefault="00242D9C" w:rsidP="00C25011">
      <w:pPr>
        <w:pStyle w:val="Normal12Hanging"/>
      </w:pPr>
      <w:r w:rsidRPr="006657C5">
        <w:t>T.</w:t>
      </w:r>
      <w:r w:rsidR="00C25011" w:rsidRPr="006657C5">
        <w:tab/>
        <w:t xml:space="preserve">mając na uwadze, że w 2018 r. Rzecznik wprowadził </w:t>
      </w:r>
      <w:r w:rsidR="00811081" w:rsidRPr="006657C5">
        <w:t>strategiczną inicjatywę</w:t>
      </w:r>
      <w:r w:rsidR="00C25011" w:rsidRPr="006657C5">
        <w:t xml:space="preserve"> przeciwdziałania molestowaniu, przewidującą kontrolę polityki przeciwdziałania molestowaniu stosowanej przez administrację UE; mając na uwadze, że w 2018 r. Rzecznik postanowił zwrócić się do 26 instytucji i agencji UE z prośbą o szczegółowe informacje dotyczące tej polityki i sposobu jej realizacji;</w:t>
      </w:r>
    </w:p>
    <w:p w:rsidR="00C25011" w:rsidRPr="006657C5" w:rsidRDefault="00242D9C" w:rsidP="00C25011">
      <w:pPr>
        <w:pStyle w:val="NormalHanging12a"/>
        <w:rPr>
          <w:noProof w:val="0"/>
          <w:szCs w:val="24"/>
        </w:rPr>
      </w:pPr>
      <w:r w:rsidRPr="006657C5">
        <w:rPr>
          <w:noProof w:val="0"/>
        </w:rPr>
        <w:t>U</w:t>
      </w:r>
      <w:r w:rsidR="00C25011" w:rsidRPr="006657C5">
        <w:rPr>
          <w:noProof w:val="0"/>
        </w:rPr>
        <w:t>.</w:t>
      </w:r>
      <w:r w:rsidR="00C25011" w:rsidRPr="006657C5">
        <w:rPr>
          <w:noProof w:val="0"/>
        </w:rPr>
        <w:tab/>
      </w:r>
      <w:proofErr w:type="gramStart"/>
      <w:r w:rsidR="00C25011" w:rsidRPr="006657C5">
        <w:rPr>
          <w:noProof w:val="0"/>
        </w:rPr>
        <w:t>mając</w:t>
      </w:r>
      <w:proofErr w:type="gramEnd"/>
      <w:r w:rsidR="00C25011" w:rsidRPr="006657C5">
        <w:rPr>
          <w:noProof w:val="0"/>
        </w:rPr>
        <w:t xml:space="preserve"> na uwadze, że w 2018 r. Rzecznik wszczął dochodzenie w sprawie dyskryminacji ze względu na płeć i problemów związanych z równością szans w Europejskim Banku Inwestycyjnym (EBI); mając na uwadze, że EBI zastosował się do zaleceń i sugestii </w:t>
      </w:r>
      <w:r w:rsidR="00C25011" w:rsidRPr="006657C5">
        <w:rPr>
          <w:noProof w:val="0"/>
        </w:rPr>
        <w:lastRenderedPageBreak/>
        <w:t>Rzecznika dotyczących równości szans i parytetu płci;</w:t>
      </w:r>
    </w:p>
    <w:p w:rsidR="00C25011" w:rsidRPr="006657C5" w:rsidRDefault="00242D9C" w:rsidP="00C25011">
      <w:pPr>
        <w:pStyle w:val="Normal12Hanging"/>
      </w:pPr>
      <w:r w:rsidRPr="006657C5">
        <w:t>V</w:t>
      </w:r>
      <w:r w:rsidR="00C25011" w:rsidRPr="006657C5">
        <w:t>.</w:t>
      </w:r>
      <w:r w:rsidR="00C25011" w:rsidRPr="006657C5">
        <w:tab/>
      </w:r>
      <w:proofErr w:type="gramStart"/>
      <w:r w:rsidR="00C25011" w:rsidRPr="006657C5">
        <w:t>mając</w:t>
      </w:r>
      <w:proofErr w:type="gramEnd"/>
      <w:r w:rsidR="00C25011" w:rsidRPr="006657C5">
        <w:t xml:space="preserve"> na uwadze, że Rzecznik stanowi część unijnych struktur ramowych wynikających z Konwencji ONZ o prawach osób niepełnosprawnych, których zadaniem jest ochrona, wspieranie i monitorowanie wdrażania tej konwencji na szczeblu instytucji UE;</w:t>
      </w:r>
    </w:p>
    <w:p w:rsidR="00C25011" w:rsidRPr="006657C5" w:rsidRDefault="00A615E1" w:rsidP="00C25011">
      <w:pPr>
        <w:pStyle w:val="NormalHanging12a"/>
        <w:rPr>
          <w:noProof w:val="0"/>
          <w:szCs w:val="24"/>
        </w:rPr>
      </w:pPr>
      <w:r>
        <w:rPr>
          <w:noProof w:val="0"/>
        </w:rPr>
        <w:t>W</w:t>
      </w:r>
      <w:r w:rsidR="00C25011" w:rsidRPr="006657C5">
        <w:rPr>
          <w:noProof w:val="0"/>
        </w:rPr>
        <w:t>.</w:t>
      </w:r>
      <w:r w:rsidR="00C25011" w:rsidRPr="006657C5">
        <w:rPr>
          <w:noProof w:val="0"/>
        </w:rPr>
        <w:tab/>
      </w:r>
      <w:proofErr w:type="gramStart"/>
      <w:r w:rsidR="00C25011" w:rsidRPr="006657C5">
        <w:rPr>
          <w:noProof w:val="0"/>
        </w:rPr>
        <w:t>mając</w:t>
      </w:r>
      <w:proofErr w:type="gramEnd"/>
      <w:r w:rsidR="00C25011" w:rsidRPr="006657C5">
        <w:rPr>
          <w:noProof w:val="0"/>
        </w:rPr>
        <w:t xml:space="preserve"> na uwadze, że w marcu 2018 r. odbyła się konferencja z udziałem Europejskiej Sieci Rzeczników Praw Obywatelskich i Komisji Petycji Parlamentu Europejskiego, a jednym z głównych punktów obrad był sposób, w jaki rzecznicy mogliby zacieśnić współpracę;</w:t>
      </w:r>
    </w:p>
    <w:p w:rsidR="00C25011" w:rsidRPr="006657C5" w:rsidRDefault="00C25011" w:rsidP="00C25011">
      <w:pPr>
        <w:pStyle w:val="Normal12Hanging"/>
      </w:pPr>
      <w:r w:rsidRPr="006657C5">
        <w:t>1.</w:t>
      </w:r>
      <w:r w:rsidRPr="006657C5">
        <w:tab/>
      </w:r>
      <w:proofErr w:type="gramStart"/>
      <w:r w:rsidRPr="006657C5">
        <w:t>z</w:t>
      </w:r>
      <w:proofErr w:type="gramEnd"/>
      <w:r w:rsidRPr="006657C5">
        <w:t xml:space="preserve"> zadowoleniem przyjmuje sprawozdanie roczne za 2018 r. przedstawione przez Europejskiego Rzecznika Praw Obywatelskich;</w:t>
      </w:r>
    </w:p>
    <w:p w:rsidR="00C25011" w:rsidRPr="006657C5" w:rsidRDefault="00C25011" w:rsidP="00C25011">
      <w:pPr>
        <w:pStyle w:val="NormalHanging12a"/>
        <w:rPr>
          <w:noProof w:val="0"/>
          <w:szCs w:val="24"/>
        </w:rPr>
      </w:pPr>
      <w:r w:rsidRPr="006657C5">
        <w:rPr>
          <w:noProof w:val="0"/>
        </w:rPr>
        <w:t>2.</w:t>
      </w:r>
      <w:r w:rsidRPr="006657C5">
        <w:rPr>
          <w:noProof w:val="0"/>
        </w:rPr>
        <w:tab/>
      </w:r>
      <w:proofErr w:type="gramStart"/>
      <w:r w:rsidRPr="006657C5">
        <w:rPr>
          <w:noProof w:val="0"/>
        </w:rPr>
        <w:t>gratuluje</w:t>
      </w:r>
      <w:proofErr w:type="gramEnd"/>
      <w:r w:rsidRPr="006657C5">
        <w:rPr>
          <w:noProof w:val="0"/>
        </w:rPr>
        <w:t xml:space="preserve"> </w:t>
      </w:r>
      <w:proofErr w:type="spellStart"/>
      <w:r w:rsidRPr="006657C5">
        <w:rPr>
          <w:noProof w:val="0"/>
        </w:rPr>
        <w:t>Emily</w:t>
      </w:r>
      <w:proofErr w:type="spellEnd"/>
      <w:r w:rsidRPr="006657C5">
        <w:rPr>
          <w:noProof w:val="0"/>
        </w:rPr>
        <w:t xml:space="preserve"> </w:t>
      </w:r>
      <w:proofErr w:type="spellStart"/>
      <w:r w:rsidRPr="006657C5">
        <w:rPr>
          <w:noProof w:val="0"/>
        </w:rPr>
        <w:t>O’Reilly</w:t>
      </w:r>
      <w:proofErr w:type="spellEnd"/>
      <w:r w:rsidRPr="006657C5">
        <w:rPr>
          <w:noProof w:val="0"/>
        </w:rPr>
        <w:t xml:space="preserve"> doskonałej pracy i konstruktywnych działań na rzecz poprawy jakości administracji UE oraz poprawy dostępności i jakości usług oferowanych obywatelom przez tę administrację;</w:t>
      </w:r>
    </w:p>
    <w:p w:rsidR="00C25011" w:rsidRPr="006657C5" w:rsidRDefault="00C25011" w:rsidP="00C25011">
      <w:pPr>
        <w:pStyle w:val="Normal12Hanging"/>
      </w:pPr>
      <w:r w:rsidRPr="006657C5">
        <w:t>3.</w:t>
      </w:r>
      <w:r w:rsidRPr="006657C5">
        <w:tab/>
      </w:r>
      <w:proofErr w:type="gramStart"/>
      <w:r w:rsidRPr="006657C5">
        <w:t>podkreśla</w:t>
      </w:r>
      <w:proofErr w:type="gramEnd"/>
      <w:r w:rsidRPr="006657C5">
        <w:t xml:space="preserve"> znaczenie przejrzystości i publicznego dostępu do dokumentów będących w posiadaniu Rady; podkreśla, że wysoki poziom przejrzystości procesu ustawodawczego ma kluczowe znaczenie dla umożliwienia obywatelom, mediom i zainteresowanym stronom rozliczania wybranych przez nich przedstawicieli i rządów; docenia wartościową rolę, jaką Rzecznik odgrywa w utrzymywaniu kontaktów i prowadzeniu mediacji między instytucjami UE a obywatelami; uważa, że Rada musi dokonać przeglądu swojej polityki poufności; zaznacza, że Rzecznik dąży do zapewnienia większej rozliczalności unijnego procesu ustawodawczego wobec obywateli;</w:t>
      </w:r>
    </w:p>
    <w:p w:rsidR="00C25011" w:rsidRPr="006657C5" w:rsidRDefault="00C25011" w:rsidP="00C25011">
      <w:pPr>
        <w:pStyle w:val="NormalHanging12a"/>
        <w:rPr>
          <w:noProof w:val="0"/>
        </w:rPr>
      </w:pPr>
      <w:r w:rsidRPr="006657C5">
        <w:rPr>
          <w:noProof w:val="0"/>
        </w:rPr>
        <w:t>4.</w:t>
      </w:r>
      <w:r w:rsidRPr="006657C5">
        <w:rPr>
          <w:noProof w:val="0"/>
        </w:rPr>
        <w:tab/>
      </w:r>
      <w:proofErr w:type="gramStart"/>
      <w:r w:rsidRPr="006657C5">
        <w:rPr>
          <w:noProof w:val="0"/>
        </w:rPr>
        <w:t>podkreśla</w:t>
      </w:r>
      <w:proofErr w:type="gramEnd"/>
      <w:r w:rsidRPr="006657C5">
        <w:rPr>
          <w:noProof w:val="0"/>
        </w:rPr>
        <w:t xml:space="preserve"> potrzebę i znaczenie aktywniejszego udziału obywateli w podejmowaniu decyzji, a ponadto potrzebę większej przejrzystości w sposobie funkcjonowania administracji, co stanowi sposób na wzmocnienie legitymacji demokratycznej instytucji Unii w celu przywrócenia zaufania;</w:t>
      </w:r>
    </w:p>
    <w:p w:rsidR="00B20622" w:rsidRPr="006657C5" w:rsidRDefault="00242D9C" w:rsidP="00C25011">
      <w:pPr>
        <w:pStyle w:val="NormalHanging12a"/>
        <w:rPr>
          <w:noProof w:val="0"/>
          <w:szCs w:val="24"/>
        </w:rPr>
      </w:pPr>
      <w:r w:rsidRPr="006657C5">
        <w:rPr>
          <w:noProof w:val="0"/>
          <w:szCs w:val="24"/>
        </w:rPr>
        <w:t>5</w:t>
      </w:r>
      <w:r w:rsidR="00B20622" w:rsidRPr="006657C5">
        <w:rPr>
          <w:noProof w:val="0"/>
          <w:szCs w:val="24"/>
        </w:rPr>
        <w:t>.</w:t>
      </w:r>
      <w:r w:rsidR="00B20622" w:rsidRPr="006657C5">
        <w:rPr>
          <w:noProof w:val="0"/>
          <w:szCs w:val="24"/>
        </w:rPr>
        <w:tab/>
      </w:r>
      <w:proofErr w:type="gramStart"/>
      <w:r w:rsidR="00B20622" w:rsidRPr="006657C5">
        <w:rPr>
          <w:noProof w:val="0"/>
          <w:szCs w:val="24"/>
        </w:rPr>
        <w:t>apeluje</w:t>
      </w:r>
      <w:proofErr w:type="gramEnd"/>
      <w:r w:rsidR="00B20622" w:rsidRPr="006657C5">
        <w:rPr>
          <w:noProof w:val="0"/>
          <w:szCs w:val="24"/>
        </w:rPr>
        <w:t xml:space="preserve"> do Rzecznika o zapewnienie większej przejrzystości w procesie podejmowania decyzji w rozmowach trójstronnych;</w:t>
      </w:r>
    </w:p>
    <w:p w:rsidR="00C25011" w:rsidRPr="006657C5" w:rsidRDefault="00242D9C" w:rsidP="00C25011">
      <w:pPr>
        <w:pStyle w:val="NormalHanging12a"/>
        <w:rPr>
          <w:noProof w:val="0"/>
        </w:rPr>
      </w:pPr>
      <w:r w:rsidRPr="006657C5">
        <w:rPr>
          <w:noProof w:val="0"/>
        </w:rPr>
        <w:t>6</w:t>
      </w:r>
      <w:r w:rsidR="00C25011" w:rsidRPr="006657C5">
        <w:rPr>
          <w:noProof w:val="0"/>
        </w:rPr>
        <w:t>.</w:t>
      </w:r>
      <w:r w:rsidR="00C25011" w:rsidRPr="006657C5">
        <w:rPr>
          <w:noProof w:val="0"/>
        </w:rPr>
        <w:tab/>
      </w:r>
      <w:proofErr w:type="gramStart"/>
      <w:r w:rsidR="00C25011" w:rsidRPr="006657C5">
        <w:rPr>
          <w:noProof w:val="0"/>
        </w:rPr>
        <w:t>podkreśla</w:t>
      </w:r>
      <w:proofErr w:type="gramEnd"/>
      <w:r w:rsidR="00C25011" w:rsidRPr="006657C5">
        <w:rPr>
          <w:noProof w:val="0"/>
        </w:rPr>
        <w:t>, że przywrócenie zaufania obywateli do instytucji Unii jest głównym przedmiotem troski Parlamentu Europejskiego i ma ogromne znaczenie społeczno-polityczne i etyczne;</w:t>
      </w:r>
    </w:p>
    <w:p w:rsidR="00C25011" w:rsidRPr="006657C5" w:rsidRDefault="00242D9C" w:rsidP="00C25011">
      <w:pPr>
        <w:pStyle w:val="NormalHanging12a"/>
        <w:rPr>
          <w:noProof w:val="0"/>
          <w:szCs w:val="24"/>
        </w:rPr>
      </w:pPr>
      <w:r w:rsidRPr="006657C5">
        <w:rPr>
          <w:noProof w:val="0"/>
        </w:rPr>
        <w:t>7</w:t>
      </w:r>
      <w:r w:rsidR="00C25011" w:rsidRPr="006657C5">
        <w:rPr>
          <w:noProof w:val="0"/>
        </w:rPr>
        <w:t>.</w:t>
      </w:r>
      <w:r w:rsidR="00C25011" w:rsidRPr="006657C5">
        <w:rPr>
          <w:noProof w:val="0"/>
        </w:rPr>
        <w:tab/>
      </w:r>
      <w:proofErr w:type="gramStart"/>
      <w:r w:rsidR="00C25011" w:rsidRPr="006657C5">
        <w:rPr>
          <w:noProof w:val="0"/>
        </w:rPr>
        <w:t>podkreśla</w:t>
      </w:r>
      <w:proofErr w:type="gramEnd"/>
      <w:r w:rsidR="00C25011" w:rsidRPr="006657C5">
        <w:rPr>
          <w:noProof w:val="0"/>
        </w:rPr>
        <w:t xml:space="preserve"> potrzebę poprawy i wzmocnienia dialogu społecznego, jak również dialogu między organami, instytucjami i obywatelami Unii;</w:t>
      </w:r>
    </w:p>
    <w:p w:rsidR="00C25011" w:rsidRPr="006657C5" w:rsidRDefault="00242D9C" w:rsidP="00C25011">
      <w:pPr>
        <w:pStyle w:val="NormalHanging12a"/>
        <w:rPr>
          <w:b/>
          <w:i/>
          <w:noProof w:val="0"/>
        </w:rPr>
      </w:pPr>
      <w:r w:rsidRPr="006657C5">
        <w:rPr>
          <w:noProof w:val="0"/>
        </w:rPr>
        <w:t>8</w:t>
      </w:r>
      <w:r w:rsidR="00C25011" w:rsidRPr="006657C5">
        <w:rPr>
          <w:noProof w:val="0"/>
        </w:rPr>
        <w:t>.</w:t>
      </w:r>
      <w:r w:rsidR="00C25011" w:rsidRPr="006657C5">
        <w:rPr>
          <w:noProof w:val="0"/>
        </w:rPr>
        <w:tab/>
      </w:r>
      <w:proofErr w:type="gramStart"/>
      <w:r w:rsidR="00C25011" w:rsidRPr="006657C5">
        <w:rPr>
          <w:noProof w:val="0"/>
        </w:rPr>
        <w:t>w</w:t>
      </w:r>
      <w:proofErr w:type="gramEnd"/>
      <w:r w:rsidR="00C25011" w:rsidRPr="006657C5">
        <w:rPr>
          <w:noProof w:val="0"/>
        </w:rPr>
        <w:t xml:space="preserve"> pełni popiera zalecenia Europejskiego Rzecznika Praw Obywatelskich dla Rady i apeluje do Rady, aby przyjęła wszelkie środki niezbędne do jak najszybszego wdrożenia tych zaleceń;</w:t>
      </w:r>
    </w:p>
    <w:p w:rsidR="00C25011" w:rsidRPr="006657C5" w:rsidRDefault="00242D9C" w:rsidP="00C25011">
      <w:pPr>
        <w:pStyle w:val="Normal12Hanging0"/>
      </w:pPr>
      <w:r w:rsidRPr="006657C5">
        <w:t>9</w:t>
      </w:r>
      <w:r w:rsidR="00C25011" w:rsidRPr="006657C5">
        <w:t>.</w:t>
      </w:r>
      <w:r w:rsidR="00C25011" w:rsidRPr="006657C5">
        <w:tab/>
      </w:r>
      <w:proofErr w:type="gramStart"/>
      <w:r w:rsidR="00C25011" w:rsidRPr="006657C5">
        <w:t>zachęca</w:t>
      </w:r>
      <w:proofErr w:type="gramEnd"/>
      <w:r w:rsidR="00C25011" w:rsidRPr="006657C5">
        <w:t xml:space="preserve"> Rzecznika do udzielenia instytucjom UE dalszych wskazówek dotyczących lepszej komunikacji z obywatelami we wszystkich językach urzędowych UE; apeluje do Rzecznika o udzielenie instytucjom wskazówek dotyczących tego, jak powinny rozwijać swoją politykę językową, aby zapewnić tworzenie odpowiednich treści i informacji w jak największej liczbie języków;</w:t>
      </w:r>
    </w:p>
    <w:p w:rsidR="00C25011" w:rsidRPr="006657C5" w:rsidRDefault="00242D9C" w:rsidP="00C25011">
      <w:pPr>
        <w:pStyle w:val="NormalHanging12a"/>
        <w:rPr>
          <w:noProof w:val="0"/>
        </w:rPr>
      </w:pPr>
      <w:r w:rsidRPr="006657C5">
        <w:rPr>
          <w:noProof w:val="0"/>
        </w:rPr>
        <w:lastRenderedPageBreak/>
        <w:t>10</w:t>
      </w:r>
      <w:r w:rsidR="00C25011" w:rsidRPr="006657C5">
        <w:rPr>
          <w:noProof w:val="0"/>
        </w:rPr>
        <w:t>.</w:t>
      </w:r>
      <w:r w:rsidR="00C25011" w:rsidRPr="006657C5">
        <w:rPr>
          <w:noProof w:val="0"/>
        </w:rPr>
        <w:tab/>
      </w:r>
      <w:proofErr w:type="gramStart"/>
      <w:r w:rsidR="00C25011" w:rsidRPr="006657C5">
        <w:rPr>
          <w:noProof w:val="0"/>
        </w:rPr>
        <w:t>z</w:t>
      </w:r>
      <w:proofErr w:type="gramEnd"/>
      <w:r w:rsidR="00C25011" w:rsidRPr="006657C5">
        <w:rPr>
          <w:noProof w:val="0"/>
        </w:rPr>
        <w:t xml:space="preserve"> zadowoleniem przyjmuje strategię Rzecznika mającą na celu zwiększenie wpływu i rozpoznawalności działań Rzecznika z punktu widzenia obywateli UE;</w:t>
      </w:r>
    </w:p>
    <w:p w:rsidR="00C25011" w:rsidRPr="006657C5" w:rsidRDefault="00C25011" w:rsidP="00C25011">
      <w:pPr>
        <w:pStyle w:val="NormalHanging12a"/>
        <w:rPr>
          <w:noProof w:val="0"/>
        </w:rPr>
      </w:pPr>
      <w:r w:rsidRPr="006657C5">
        <w:rPr>
          <w:noProof w:val="0"/>
        </w:rPr>
        <w:t>1</w:t>
      </w:r>
      <w:r w:rsidR="00242D9C" w:rsidRPr="006657C5">
        <w:rPr>
          <w:noProof w:val="0"/>
        </w:rPr>
        <w:t>1</w:t>
      </w:r>
      <w:r w:rsidRPr="006657C5">
        <w:rPr>
          <w:noProof w:val="0"/>
        </w:rPr>
        <w:t>.</w:t>
      </w:r>
      <w:r w:rsidRPr="006657C5">
        <w:rPr>
          <w:noProof w:val="0"/>
        </w:rPr>
        <w:tab/>
      </w:r>
      <w:proofErr w:type="gramStart"/>
      <w:r w:rsidRPr="006657C5">
        <w:rPr>
          <w:noProof w:val="0"/>
        </w:rPr>
        <w:t>z</w:t>
      </w:r>
      <w:proofErr w:type="gramEnd"/>
      <w:r w:rsidRPr="006657C5">
        <w:rPr>
          <w:noProof w:val="0"/>
        </w:rPr>
        <w:t xml:space="preserve"> zadowoleniem przyjmuje zmianę wyglądu strony internetowej Europejskiego Rzecznika Praw Obywatelskich, która to zmiana zwiększyła funkcjonalność i czytelność tego narzędzia dla obywateli;</w:t>
      </w:r>
    </w:p>
    <w:p w:rsidR="00C25011" w:rsidRPr="006657C5" w:rsidRDefault="00C25011" w:rsidP="00C25011">
      <w:pPr>
        <w:pStyle w:val="Normal12Hanging0"/>
      </w:pPr>
      <w:r w:rsidRPr="006657C5">
        <w:t>1</w:t>
      </w:r>
      <w:r w:rsidR="00242D9C" w:rsidRPr="006657C5">
        <w:t>2</w:t>
      </w:r>
      <w:r w:rsidRPr="006657C5">
        <w:t>.</w:t>
      </w:r>
      <w:r w:rsidRPr="006657C5">
        <w:tab/>
      </w:r>
      <w:proofErr w:type="gramStart"/>
      <w:r w:rsidRPr="006657C5">
        <w:t>domaga</w:t>
      </w:r>
      <w:proofErr w:type="gramEnd"/>
      <w:r w:rsidRPr="006657C5">
        <w:t xml:space="preserve"> się, by Rada, jako </w:t>
      </w:r>
      <w:proofErr w:type="spellStart"/>
      <w:r w:rsidRPr="006657C5">
        <w:t>współustawodawca</w:t>
      </w:r>
      <w:proofErr w:type="spellEnd"/>
      <w:r w:rsidRPr="006657C5">
        <w:t>, dostosowała swoje metody pracy do standardów demokracji parlamentarnej, jak przewidziano w Traktatach, zamiast pełnić funkcję forum dyplomatycznego, która nie była funkcją zamierzoną; przypomina, że w wyniku dochodzenia strategicznego OI/2/2017/TE Rzecznik stwierdził, że praktyki Rady pod względem przejrzystości stanowią przypadek niewłaściwego administrowania; apeluje do Rady o bezzwłoczne wdrożenie zaleceń Rzecznika wynikających ze wspomnianego dochodzenia strategicznego, w tym zaleceń przedstawionych przez Parlament we własnym sprawozdaniu dotyczącym sprawozdania specjalnego;</w:t>
      </w:r>
      <w:r w:rsidRPr="006657C5">
        <w:rPr>
          <w:rFonts w:ascii="Arial" w:hAnsi="Arial"/>
          <w:sz w:val="20"/>
        </w:rPr>
        <w:t xml:space="preserve"> </w:t>
      </w:r>
      <w:r w:rsidRPr="006657C5">
        <w:t>zachęca Rzecznika do dalszego śledzenia postępów związanych ze wspomnianym dochodzeniem strategicznym;</w:t>
      </w:r>
    </w:p>
    <w:p w:rsidR="00C25011" w:rsidRPr="006657C5" w:rsidRDefault="00C25011" w:rsidP="00D04A98">
      <w:pPr>
        <w:pStyle w:val="AMNumberTabs"/>
        <w:spacing w:before="0" w:after="240"/>
        <w:ind w:left="567" w:hanging="567"/>
        <w:rPr>
          <w:rFonts w:eastAsia="Calibri"/>
          <w:b w:val="0"/>
          <w:bCs/>
          <w:iCs/>
        </w:rPr>
      </w:pPr>
      <w:r w:rsidRPr="006657C5">
        <w:rPr>
          <w:b w:val="0"/>
          <w:bCs/>
          <w:iCs/>
        </w:rPr>
        <w:t>1</w:t>
      </w:r>
      <w:r w:rsidR="00242D9C" w:rsidRPr="006657C5">
        <w:rPr>
          <w:b w:val="0"/>
          <w:bCs/>
          <w:iCs/>
        </w:rPr>
        <w:t>3</w:t>
      </w:r>
      <w:r w:rsidRPr="006657C5">
        <w:rPr>
          <w:b w:val="0"/>
          <w:bCs/>
          <w:iCs/>
        </w:rPr>
        <w:t>.</w:t>
      </w:r>
      <w:r w:rsidRPr="006657C5">
        <w:rPr>
          <w:b w:val="0"/>
          <w:bCs/>
          <w:iCs/>
        </w:rPr>
        <w:tab/>
      </w:r>
      <w:proofErr w:type="gramStart"/>
      <w:r w:rsidRPr="006657C5">
        <w:rPr>
          <w:b w:val="0"/>
          <w:bCs/>
          <w:iCs/>
        </w:rPr>
        <w:t>ponawia</w:t>
      </w:r>
      <w:proofErr w:type="gramEnd"/>
      <w:r w:rsidRPr="006657C5">
        <w:rPr>
          <w:b w:val="0"/>
          <w:bCs/>
          <w:iCs/>
        </w:rPr>
        <w:t xml:space="preserve"> wezwanie do aktualizacji przepisów UE dotyczących dostępu do dokumentów oraz postuluje przegląd rozporządzenia Parlamentu Europejskiego i Rady (WE) nr 1049/2001 z dnia 30 maja 2001 r. w sprawie publicznego dostępu do dokumentów Parlamentu Europejskiego, Rady i Komisji</w:t>
      </w:r>
      <w:r w:rsidRPr="006657C5">
        <w:rPr>
          <w:rStyle w:val="FootnoteReference"/>
          <w:rFonts w:eastAsia="Calibri"/>
          <w:b w:val="0"/>
          <w:bCs/>
          <w:iCs/>
        </w:rPr>
        <w:footnoteReference w:id="5"/>
      </w:r>
      <w:r w:rsidRPr="006657C5">
        <w:rPr>
          <w:b w:val="0"/>
          <w:bCs/>
          <w:iCs/>
        </w:rPr>
        <w:t>, aby ułatwić Rzecznikowi prowadzenie działań w zakresie kontroli przyznawania dostępu do dokumentów Parlamentu, Rady i Komisji; uważa za godne ubolewania, iż Rada zablokowała przegląd rozporządzenia (WE) nr 1049/2001, i apeluje do Rady o wznowienie dyskusji w oparciu o stanowisko przyjęte przez Parlament w drugim czytaniu zgodnie z rezolucją z dnia 12 czerwca 2013 r. w sprawie impasu w kwestii przeglądu rozporządzenia (WE) nr 1049/2001</w:t>
      </w:r>
      <w:r w:rsidRPr="006657C5">
        <w:rPr>
          <w:rStyle w:val="FootnoteReference"/>
          <w:rFonts w:eastAsia="Calibri"/>
          <w:b w:val="0"/>
          <w:bCs/>
          <w:iCs/>
        </w:rPr>
        <w:footnoteReference w:id="6"/>
      </w:r>
      <w:r w:rsidRPr="006657C5">
        <w:rPr>
          <w:b w:val="0"/>
          <w:bCs/>
          <w:iCs/>
        </w:rPr>
        <w:t>;</w:t>
      </w:r>
    </w:p>
    <w:p w:rsidR="00C25011" w:rsidRPr="006657C5" w:rsidRDefault="00C25011" w:rsidP="00C25011">
      <w:pPr>
        <w:pStyle w:val="NormalHanging12a"/>
        <w:rPr>
          <w:noProof w:val="0"/>
          <w:szCs w:val="24"/>
        </w:rPr>
      </w:pPr>
      <w:r w:rsidRPr="006657C5">
        <w:rPr>
          <w:noProof w:val="0"/>
        </w:rPr>
        <w:t>1</w:t>
      </w:r>
      <w:r w:rsidR="00242D9C" w:rsidRPr="006657C5">
        <w:rPr>
          <w:noProof w:val="0"/>
        </w:rPr>
        <w:t>4</w:t>
      </w:r>
      <w:r w:rsidRPr="006657C5">
        <w:rPr>
          <w:noProof w:val="0"/>
        </w:rPr>
        <w:t>.</w:t>
      </w:r>
      <w:r w:rsidRPr="006657C5">
        <w:rPr>
          <w:noProof w:val="0"/>
        </w:rPr>
        <w:tab/>
      </w:r>
      <w:proofErr w:type="gramStart"/>
      <w:r w:rsidRPr="006657C5">
        <w:rPr>
          <w:noProof w:val="0"/>
        </w:rPr>
        <w:t>ponawia</w:t>
      </w:r>
      <w:proofErr w:type="gramEnd"/>
      <w:r w:rsidRPr="006657C5">
        <w:rPr>
          <w:noProof w:val="0"/>
        </w:rPr>
        <w:t xml:space="preserve"> apel o dokonanie przeglądu rozporządzenia (WE) nr 1049/2001, ponieważ jest ono mocno przestarzałe i nie odzwierciedla już aktualnej sytuacji prawnej i praktyk instytucjonalnych stosowanych przez instytucje, urzędy, organy i jednostki organizacyjne UE;</w:t>
      </w:r>
    </w:p>
    <w:p w:rsidR="00C25011" w:rsidRPr="006657C5" w:rsidRDefault="00C25011" w:rsidP="00C25011">
      <w:pPr>
        <w:pStyle w:val="NormalHanging12a"/>
        <w:rPr>
          <w:noProof w:val="0"/>
        </w:rPr>
      </w:pPr>
      <w:r w:rsidRPr="006657C5">
        <w:rPr>
          <w:noProof w:val="0"/>
        </w:rPr>
        <w:t>1</w:t>
      </w:r>
      <w:r w:rsidR="00242D9C" w:rsidRPr="006657C5">
        <w:rPr>
          <w:noProof w:val="0"/>
        </w:rPr>
        <w:t>5</w:t>
      </w:r>
      <w:r w:rsidRPr="006657C5">
        <w:rPr>
          <w:noProof w:val="0"/>
        </w:rPr>
        <w:t>.</w:t>
      </w:r>
      <w:r w:rsidRPr="006657C5">
        <w:rPr>
          <w:noProof w:val="0"/>
        </w:rPr>
        <w:tab/>
      </w:r>
      <w:proofErr w:type="gramStart"/>
      <w:r w:rsidRPr="006657C5">
        <w:rPr>
          <w:noProof w:val="0"/>
        </w:rPr>
        <w:t>z</w:t>
      </w:r>
      <w:proofErr w:type="gramEnd"/>
      <w:r w:rsidRPr="006657C5">
        <w:rPr>
          <w:noProof w:val="0"/>
        </w:rPr>
        <w:t xml:space="preserve"> zadowoleniem przyjmuje oficjalne uruchomienie przyspieszonej procedury w odniesieniu do dochodzeń w sprawie dostępu do dokumentów i dostrzega pozytywny skutek, jaki ma to dla wnoszących skargi;</w:t>
      </w:r>
    </w:p>
    <w:p w:rsidR="00C25011" w:rsidRPr="006657C5" w:rsidRDefault="00C25011" w:rsidP="00C25011">
      <w:pPr>
        <w:pStyle w:val="Normal12Hanging"/>
      </w:pPr>
      <w:r w:rsidRPr="006657C5">
        <w:t>1</w:t>
      </w:r>
      <w:r w:rsidR="00242D9C" w:rsidRPr="006657C5">
        <w:t>6</w:t>
      </w:r>
      <w:r w:rsidRPr="006657C5">
        <w:t>.</w:t>
      </w:r>
      <w:r w:rsidRPr="006657C5">
        <w:tab/>
      </w:r>
      <w:proofErr w:type="gramStart"/>
      <w:r w:rsidRPr="006657C5">
        <w:t>zdecydowanie</w:t>
      </w:r>
      <w:proofErr w:type="gramEnd"/>
      <w:r w:rsidRPr="006657C5">
        <w:t xml:space="preserve"> podkreśla znaczenie, jakie dla Rzecznika ma dalsze ścisłe monitorowanie przejrzystości działań Komisji i prowadzenie dochodzeń strategicznych w tym zakresie; zdaje sobie sprawę z faktu, że zjawisko „drzwi obrotowych” nadal istnieje, w szczególności wśród wysokich rangą urzędników instytucji;</w:t>
      </w:r>
      <w:r w:rsidRPr="006657C5">
        <w:rPr>
          <w:b/>
          <w:bCs/>
          <w:i/>
          <w:iCs/>
        </w:rPr>
        <w:t xml:space="preserve"> </w:t>
      </w:r>
      <w:r w:rsidRPr="006657C5">
        <w:t>apeluje do Rzecznika o dalsze monitorowanie wdrażania zmienionych przepisów Komisji wprowadzonych we wrześniu 2018 r. w wyniku postępowania wszczętego przez Rzecznika z własnej inicjatywy i dotyczących problemu „drzwi obrotowych”;</w:t>
      </w:r>
    </w:p>
    <w:p w:rsidR="00C25011" w:rsidRPr="006657C5" w:rsidRDefault="00C25011" w:rsidP="00C25011">
      <w:pPr>
        <w:pStyle w:val="NormalHanging12a"/>
        <w:rPr>
          <w:noProof w:val="0"/>
          <w:szCs w:val="24"/>
        </w:rPr>
      </w:pPr>
      <w:r w:rsidRPr="006657C5">
        <w:rPr>
          <w:noProof w:val="0"/>
        </w:rPr>
        <w:t>1</w:t>
      </w:r>
      <w:r w:rsidR="00242D9C" w:rsidRPr="006657C5">
        <w:rPr>
          <w:noProof w:val="0"/>
        </w:rPr>
        <w:t>7</w:t>
      </w:r>
      <w:r w:rsidRPr="006657C5">
        <w:rPr>
          <w:noProof w:val="0"/>
        </w:rPr>
        <w:t>.</w:t>
      </w:r>
      <w:r w:rsidRPr="006657C5">
        <w:rPr>
          <w:noProof w:val="0"/>
        </w:rPr>
        <w:tab/>
      </w:r>
      <w:proofErr w:type="gramStart"/>
      <w:r w:rsidRPr="006657C5">
        <w:rPr>
          <w:noProof w:val="0"/>
        </w:rPr>
        <w:t>zwraca</w:t>
      </w:r>
      <w:proofErr w:type="gramEnd"/>
      <w:r w:rsidRPr="006657C5">
        <w:rPr>
          <w:noProof w:val="0"/>
        </w:rPr>
        <w:t xml:space="preserve"> uwagę, że kwestia konfliktu interesów ma szerszy zakres niż tylko przypadki „drzwi obrotowych”, i podkreśla, że należy opracować kolejne przepisy i bardziej </w:t>
      </w:r>
      <w:r w:rsidRPr="006657C5">
        <w:rPr>
          <w:noProof w:val="0"/>
        </w:rPr>
        <w:lastRenderedPageBreak/>
        <w:t>rygorystyczne kryteria, aby móc zdecydowanie zagwarantować podejmowanie decyzji i tworzenie ustawodawstwa w interesie ogółu;</w:t>
      </w:r>
    </w:p>
    <w:p w:rsidR="00C25011" w:rsidRPr="006657C5" w:rsidRDefault="00C25011" w:rsidP="00C25011">
      <w:pPr>
        <w:pStyle w:val="NormalHanging12a"/>
        <w:rPr>
          <w:noProof w:val="0"/>
        </w:rPr>
      </w:pPr>
      <w:r w:rsidRPr="006657C5">
        <w:rPr>
          <w:noProof w:val="0"/>
        </w:rPr>
        <w:t>1</w:t>
      </w:r>
      <w:r w:rsidR="00242D9C" w:rsidRPr="006657C5">
        <w:rPr>
          <w:noProof w:val="0"/>
        </w:rPr>
        <w:t>8</w:t>
      </w:r>
      <w:r w:rsidRPr="006657C5">
        <w:rPr>
          <w:noProof w:val="0"/>
        </w:rPr>
        <w:t>.</w:t>
      </w:r>
      <w:r w:rsidRPr="006657C5">
        <w:rPr>
          <w:noProof w:val="0"/>
        </w:rPr>
        <w:tab/>
      </w:r>
      <w:proofErr w:type="gramStart"/>
      <w:r w:rsidRPr="006657C5">
        <w:rPr>
          <w:noProof w:val="0"/>
        </w:rPr>
        <w:t>przypomina</w:t>
      </w:r>
      <w:proofErr w:type="gramEnd"/>
      <w:r w:rsidRPr="006657C5">
        <w:rPr>
          <w:noProof w:val="0"/>
        </w:rPr>
        <w:t>, że zasady jawności, otwartości i przejrzystości są nieodłącznym elementem procesu legislacyjnego UE, umożliwiającym obywatelom poznanie uwarunkowań leżących u podstaw działań legislacyjnych, a tym samym zapewniającym skuteczne korzystanie z przysługujących im praw demokratycznych</w:t>
      </w:r>
      <w:r w:rsidRPr="006657C5">
        <w:rPr>
          <w:rStyle w:val="FootnoteReference"/>
          <w:noProof w:val="0"/>
        </w:rPr>
        <w:footnoteReference w:id="7"/>
      </w:r>
      <w:r w:rsidRPr="006657C5">
        <w:rPr>
          <w:noProof w:val="0"/>
          <w:vertAlign w:val="superscript"/>
        </w:rPr>
        <w:t>3b</w:t>
      </w:r>
      <w:r w:rsidRPr="006657C5">
        <w:rPr>
          <w:noProof w:val="0"/>
        </w:rPr>
        <w:t>; dostrzega potrzebę przejrzystości w procesie decyzyjnym UE; popiera postępy służb trzech instytucji w tworzeniu wspólnego portalu legislacyjnego, który ma stanowić przyjazną dla użytkowników niebędących specjalistami ścieżkę dostępu do informacji o toczących się procedurach ustawodawczych;</w:t>
      </w:r>
    </w:p>
    <w:p w:rsidR="00C25011" w:rsidRPr="006657C5" w:rsidRDefault="00C25011" w:rsidP="00C25011">
      <w:pPr>
        <w:pStyle w:val="Normal12Hanging"/>
      </w:pPr>
      <w:r w:rsidRPr="006657C5">
        <w:t>1</w:t>
      </w:r>
      <w:r w:rsidR="00242D9C" w:rsidRPr="006657C5">
        <w:t>9</w:t>
      </w:r>
      <w:r w:rsidRPr="006657C5">
        <w:t>.</w:t>
      </w:r>
      <w:r w:rsidRPr="006657C5">
        <w:tab/>
      </w:r>
      <w:proofErr w:type="gramStart"/>
      <w:r w:rsidRPr="006657C5">
        <w:t>popiera</w:t>
      </w:r>
      <w:proofErr w:type="gramEnd"/>
      <w:r w:rsidRPr="006657C5">
        <w:t xml:space="preserve"> publikowanie ostatecznych wersji dokumentów dotyczących rozmów trójstronnych; podkreśla, że wyrok Trybunału Sprawiedliwości w sprawie De </w:t>
      </w:r>
      <w:proofErr w:type="spellStart"/>
      <w:r w:rsidRPr="006657C5">
        <w:t>Capitani</w:t>
      </w:r>
      <w:proofErr w:type="spellEnd"/>
      <w:r w:rsidRPr="006657C5">
        <w:t xml:space="preserve"> (T-540/15) z marca 2018 r. stanowi, że poglądy instytucji odzwierciedlone w dokumentach „czterokolumnowych” nie podlegają ogólnemu domniemaniu nieujawniania; zauważa, że sensytywność tematyki dokumentów dotyczących rozmów trójstronnych nie została sama w sobie uznana za wystarczającą podstawę, by odmawiać obywatelom dostępu do nich; uważa, że aby osiągnąć przejrzystość rozmów trójstronnych, wszystkie trzy instytucje powinny wnieść swój wkład; uznaje, że powszechne prawo dostępu do dokumentów instytucji Unii jest chronionym i niezbywalnym prawem każdego obywatela UE bezpośrednio wynikającym z zasady demokracji oraz podstawowego prawa wolności słowa, co wymaga </w:t>
      </w:r>
      <w:proofErr w:type="gramStart"/>
      <w:r w:rsidRPr="006657C5">
        <w:t>ustanowienia</w:t>
      </w:r>
      <w:proofErr w:type="gramEnd"/>
      <w:r w:rsidRPr="006657C5">
        <w:t xml:space="preserve"> odnośnego obowiązku Unii w zakresie przestrzegania tego prawa i rozliczalności; podkreśla potrzebę dalszego wspierania właściwych instytucji służących przejrzystości, takich jak urząd Rzecznika, tak aby Unia wywiązywała się z obowiązku, o którym mowa powyżej;</w:t>
      </w:r>
    </w:p>
    <w:p w:rsidR="00C25011" w:rsidRPr="006657C5" w:rsidRDefault="00242D9C" w:rsidP="00C25011">
      <w:pPr>
        <w:pStyle w:val="Normal12Hanging"/>
      </w:pPr>
      <w:r w:rsidRPr="006657C5">
        <w:t>20</w:t>
      </w:r>
      <w:r w:rsidR="00C25011" w:rsidRPr="006657C5">
        <w:t>.</w:t>
      </w:r>
      <w:r w:rsidR="00C25011" w:rsidRPr="006657C5">
        <w:tab/>
        <w:t xml:space="preserve">powtarza, </w:t>
      </w:r>
      <w:proofErr w:type="gramStart"/>
      <w:r w:rsidR="00C25011" w:rsidRPr="006657C5">
        <w:t xml:space="preserve">że </w:t>
      </w:r>
      <w:r w:rsidR="00B20622" w:rsidRPr="006657C5">
        <w:t xml:space="preserve"> należy</w:t>
      </w:r>
      <w:proofErr w:type="gramEnd"/>
      <w:r w:rsidR="00B20622" w:rsidRPr="006657C5">
        <w:t xml:space="preserve"> zapewnić rzetelność</w:t>
      </w:r>
      <w:r w:rsidR="00C25011" w:rsidRPr="006657C5">
        <w:t xml:space="preserve"> Europejskiego Banku Centralnego (EBC) </w:t>
      </w:r>
      <w:r w:rsidR="00B20622" w:rsidRPr="006657C5">
        <w:t>i jego niezależność od prywatnych interesów finansowych; podkreśla, że członkowie</w:t>
      </w:r>
      <w:r w:rsidR="00C25011" w:rsidRPr="006657C5">
        <w:t xml:space="preserve"> jego Zarządu  </w:t>
      </w:r>
      <w:r w:rsidR="00B20622" w:rsidRPr="006657C5">
        <w:t xml:space="preserve"> nie mogą być jednocześnie członkami forów lub innych organizacji, w skład których wchodzą przedstawiciele kadry kierowniczej banków nadzorowanych przez EBC, ani nie mogą uczestniczyć </w:t>
      </w:r>
      <w:r w:rsidR="00C25011" w:rsidRPr="006657C5">
        <w:t xml:space="preserve">w forach, , które nie są otwarte dla  </w:t>
      </w:r>
      <w:r w:rsidR="00B20622" w:rsidRPr="006657C5">
        <w:t xml:space="preserve">obywateli; z zadowoleniem </w:t>
      </w:r>
      <w:r w:rsidR="00C25011" w:rsidRPr="006657C5">
        <w:t>opinię Rzecznika z dnia 5 lipca 2018 r.;</w:t>
      </w:r>
    </w:p>
    <w:p w:rsidR="00B20622" w:rsidRPr="006657C5" w:rsidRDefault="00242D9C" w:rsidP="00C25011">
      <w:pPr>
        <w:pStyle w:val="Normal12Hanging"/>
      </w:pPr>
      <w:r w:rsidRPr="006657C5">
        <w:t>21</w:t>
      </w:r>
      <w:r w:rsidR="00B20622" w:rsidRPr="006657C5">
        <w:t>.</w:t>
      </w:r>
      <w:r w:rsidR="00B20622" w:rsidRPr="006657C5">
        <w:tab/>
      </w:r>
      <w:proofErr w:type="gramStart"/>
      <w:r w:rsidR="00B20622" w:rsidRPr="006657C5">
        <w:t>z</w:t>
      </w:r>
      <w:proofErr w:type="gramEnd"/>
      <w:r w:rsidR="00B20622" w:rsidRPr="006657C5">
        <w:t xml:space="preserve"> żalem zauważa, że EBC jeszcze nie przyjął i nie stosuje zalecanych minimalnych zasad rozliczalności; uważa, że niezapewnienie przejrzystości działań EBC może doprowadzić do zakwestionowania jego niezależności od prywatnych interesów finansowych;</w:t>
      </w:r>
    </w:p>
    <w:p w:rsidR="00B20622" w:rsidRPr="006657C5" w:rsidRDefault="00242D9C" w:rsidP="00C25011">
      <w:pPr>
        <w:pStyle w:val="Normal12Hanging"/>
      </w:pPr>
      <w:r w:rsidRPr="006657C5">
        <w:t>22</w:t>
      </w:r>
      <w:r w:rsidR="00B20622" w:rsidRPr="006657C5">
        <w:t>.</w:t>
      </w:r>
      <w:r w:rsidR="00B20622" w:rsidRPr="006657C5">
        <w:tab/>
      </w:r>
      <w:proofErr w:type="gramStart"/>
      <w:r w:rsidR="00B20622" w:rsidRPr="006657C5">
        <w:t>popiera</w:t>
      </w:r>
      <w:proofErr w:type="gramEnd"/>
      <w:r w:rsidR="00B20622" w:rsidRPr="006657C5">
        <w:t xml:space="preserve"> zalecenia Rzecznika z dnia 15 stycznia 2018 r. w sprawie uczestnictwa prezesa Europejskiego Banku Centralnego i członków jego organów decyzyjnych w Grupie Trzydziestu oraz apeluje do EBC o zmianę odnośnych przepisów w celu zapewnienia konkretnego wdrożenia najwyższych standardów etyki i rozliczalności;</w:t>
      </w:r>
    </w:p>
    <w:p w:rsidR="00C25011" w:rsidRPr="006657C5" w:rsidRDefault="00C25011" w:rsidP="00C25011">
      <w:pPr>
        <w:pStyle w:val="Normal12Hanging"/>
      </w:pPr>
      <w:r w:rsidRPr="006657C5">
        <w:t>2</w:t>
      </w:r>
      <w:r w:rsidR="00242D9C" w:rsidRPr="006657C5">
        <w:t>3</w:t>
      </w:r>
      <w:r w:rsidRPr="006657C5">
        <w:t>.</w:t>
      </w:r>
      <w:r w:rsidRPr="006657C5">
        <w:tab/>
      </w:r>
      <w:proofErr w:type="gramStart"/>
      <w:r w:rsidRPr="006657C5">
        <w:t>wzywa</w:t>
      </w:r>
      <w:proofErr w:type="gramEnd"/>
      <w:r w:rsidRPr="006657C5">
        <w:t xml:space="preserve"> Komisję, aby na etapie nieformalnego dialogu z państwami członkowskimi zapewniła wysoki poziom przejrzystości oraz dostęp do dokumentów i informacji dotyczących procedur EU Pilot i postępowań w sprawie uchybienia zobowiązaniom </w:t>
      </w:r>
      <w:r w:rsidRPr="006657C5">
        <w:lastRenderedPageBreak/>
        <w:t>państwa członkowskiego, w szczególności związanych z otrzymanymi petycjami, a także pełny dostęp – przy wykorzystaniu odpowiednich środków – do już zakończonych postępowań EU Pilot i postępowań w sprawie uchybienia; wzywa Komisję, aby przyjęła odmienne podejście w odniesieniu do dochodzeń w sprawie naruszeń prawa UE i by wszczynała postępowania w sprawie uchybienia zobowiązaniom państwa członkowskiego, które nie będą wyłącznie oparte na mechanizmie EU Pilot;</w:t>
      </w:r>
    </w:p>
    <w:p w:rsidR="00C25011" w:rsidRPr="006657C5" w:rsidRDefault="00C25011" w:rsidP="00C25011">
      <w:pPr>
        <w:pStyle w:val="Normal12Hanging"/>
      </w:pPr>
      <w:r w:rsidRPr="006657C5">
        <w:t>2</w:t>
      </w:r>
      <w:r w:rsidR="00242D9C" w:rsidRPr="006657C5">
        <w:t>4</w:t>
      </w:r>
      <w:r w:rsidRPr="006657C5">
        <w:t>.</w:t>
      </w:r>
      <w:r w:rsidRPr="006657C5">
        <w:tab/>
      </w:r>
      <w:proofErr w:type="gramStart"/>
      <w:r w:rsidRPr="006657C5">
        <w:t>podkreśla</w:t>
      </w:r>
      <w:proofErr w:type="gramEnd"/>
      <w:r w:rsidRPr="006657C5">
        <w:t xml:space="preserve"> znaczenie środków przyjętych w celu zwiększenia przejrzystości decyzji podejmowanych w ramach postępowań w sprawie uchybienia zobowiązaniom państwa członkowskiego; przypomina, że w 2014 r. Komisja utworzyła na stronie internetowej „Europa” scentralizowaną platformę zawierającą wyczerpujące informacje na temat uchybień; zaznacza, że w sprawozdaniach rocznych z kontroli stosowania prawa UE Komisja przekazuje Parlamentowi Europejskiemu i obywatelom informacje o postępowaniach w ramach mechanizmu EU Pilot i postępowaniach w sprawie uchybienia zobowiązaniom państwa członkowskiego;</w:t>
      </w:r>
    </w:p>
    <w:p w:rsidR="00C25011" w:rsidRPr="006657C5" w:rsidRDefault="00C25011" w:rsidP="00C25011">
      <w:pPr>
        <w:pStyle w:val="NormalHanging12a"/>
        <w:rPr>
          <w:noProof w:val="0"/>
        </w:rPr>
      </w:pPr>
      <w:r w:rsidRPr="006657C5">
        <w:rPr>
          <w:noProof w:val="0"/>
        </w:rPr>
        <w:t>2</w:t>
      </w:r>
      <w:r w:rsidR="00242D9C" w:rsidRPr="006657C5">
        <w:rPr>
          <w:noProof w:val="0"/>
        </w:rPr>
        <w:t>5</w:t>
      </w:r>
      <w:r w:rsidRPr="006657C5">
        <w:rPr>
          <w:noProof w:val="0"/>
        </w:rPr>
        <w:t>.</w:t>
      </w:r>
      <w:r w:rsidRPr="006657C5">
        <w:rPr>
          <w:noProof w:val="0"/>
        </w:rPr>
        <w:tab/>
      </w:r>
      <w:proofErr w:type="gramStart"/>
      <w:r w:rsidRPr="006657C5">
        <w:rPr>
          <w:noProof w:val="0"/>
        </w:rPr>
        <w:t>w</w:t>
      </w:r>
      <w:proofErr w:type="gramEnd"/>
      <w:r w:rsidRPr="006657C5">
        <w:rPr>
          <w:noProof w:val="0"/>
        </w:rPr>
        <w:t xml:space="preserve"> pełni popiera zaangażowanie Rzecznika na rzecz poprawy przejrzystości lobbingu w UE; popiera zobowiązanie Komisji do wdrożenia zmienionych przepisów horyzontalnych dotyczących grup ekspertów, w tym w odniesieniu do przejrzystości i konfliktu interesów; podkreśla, iż ważne jest, by osoby i organizacje reprezentujące interesy prywatne były rejestrowane w rejestrze służącym przejrzystości, tak by można było dokonywać nominacji zgodnie z przepisami horyzontalnymi;</w:t>
      </w:r>
    </w:p>
    <w:p w:rsidR="00C25011" w:rsidRPr="006657C5" w:rsidRDefault="00C25011" w:rsidP="00C25011">
      <w:pPr>
        <w:pStyle w:val="NormalHanging12a"/>
        <w:rPr>
          <w:noProof w:val="0"/>
        </w:rPr>
      </w:pPr>
      <w:r w:rsidRPr="006657C5">
        <w:rPr>
          <w:noProof w:val="0"/>
        </w:rPr>
        <w:t>2</w:t>
      </w:r>
      <w:r w:rsidR="00242D9C" w:rsidRPr="006657C5">
        <w:rPr>
          <w:noProof w:val="0"/>
        </w:rPr>
        <w:t>6</w:t>
      </w:r>
      <w:r w:rsidRPr="006657C5">
        <w:rPr>
          <w:noProof w:val="0"/>
        </w:rPr>
        <w:t>.</w:t>
      </w:r>
      <w:r w:rsidRPr="006657C5">
        <w:rPr>
          <w:noProof w:val="0"/>
        </w:rPr>
        <w:tab/>
        <w:t xml:space="preserve"> </w:t>
      </w:r>
      <w:r w:rsidR="00162A3B" w:rsidRPr="006657C5">
        <w:t>pod</w:t>
      </w:r>
      <w:r w:rsidR="00B20622" w:rsidRPr="006657C5">
        <w:t xml:space="preserve">kreśla konieczność zawarcia porozumienia trójstronnego </w:t>
      </w:r>
      <w:r w:rsidRPr="006657C5">
        <w:rPr>
          <w:noProof w:val="0"/>
        </w:rPr>
        <w:t xml:space="preserve">między Parlamentem Europejskim, Radą i Komisją, które </w:t>
      </w:r>
      <w:r w:rsidR="00B20622" w:rsidRPr="006657C5">
        <w:t>stanowiłoby</w:t>
      </w:r>
      <w:r w:rsidRPr="006657C5">
        <w:rPr>
          <w:noProof w:val="0"/>
        </w:rPr>
        <w:t xml:space="preserve"> krok naprzód w kierunku wzmocnienia obowiązujących przepisów dotyczących lobbingu i usunięcia luk prawnych; uważa jednak, że instytucje nie powinny na tym poprzestawać, lecz powinny nadal dążyć do przyjęcia środków ustawodawczych wiążących dla wszystkich instytucji i jednostek organizacyjnych UE;</w:t>
      </w:r>
    </w:p>
    <w:p w:rsidR="00C25011" w:rsidRPr="006657C5" w:rsidRDefault="00C25011" w:rsidP="00C25011">
      <w:pPr>
        <w:pStyle w:val="NormalHanging12a"/>
        <w:rPr>
          <w:noProof w:val="0"/>
          <w:szCs w:val="24"/>
        </w:rPr>
      </w:pPr>
      <w:r w:rsidRPr="006657C5">
        <w:rPr>
          <w:noProof w:val="0"/>
        </w:rPr>
        <w:t>2</w:t>
      </w:r>
      <w:r w:rsidR="00242D9C" w:rsidRPr="006657C5">
        <w:rPr>
          <w:noProof w:val="0"/>
        </w:rPr>
        <w:t>7</w:t>
      </w:r>
      <w:r w:rsidRPr="006657C5">
        <w:rPr>
          <w:noProof w:val="0"/>
        </w:rPr>
        <w:t>.</w:t>
      </w:r>
      <w:r w:rsidRPr="006657C5">
        <w:rPr>
          <w:noProof w:val="0"/>
        </w:rPr>
        <w:tab/>
      </w:r>
      <w:proofErr w:type="gramStart"/>
      <w:r w:rsidRPr="006657C5">
        <w:rPr>
          <w:noProof w:val="0"/>
        </w:rPr>
        <w:t>podkreśla</w:t>
      </w:r>
      <w:proofErr w:type="gramEnd"/>
      <w:r w:rsidRPr="006657C5">
        <w:rPr>
          <w:noProof w:val="0"/>
        </w:rPr>
        <w:t xml:space="preserve"> znaczenie bezpłatnego, w pełni zrozumiałego i łatwo dostępnego mechanizmu udostępniania obywatelom wszystkich informacji na temat wpływu lobbystów, a także poprawy dokładności danych w unijnym rejestrze służącym przejrzystości; podkreśla, że należy zapewnić pełną przejrzystość finansowania wszystkich przedstawicieli grup interesu, i wzywa do zawieszania wszelkich organizacji łamiących zasady dotyczące efektu „drzwi obrotowych”;</w:t>
      </w:r>
    </w:p>
    <w:p w:rsidR="00C25011" w:rsidRPr="006657C5" w:rsidRDefault="00C25011" w:rsidP="00C25011">
      <w:pPr>
        <w:pStyle w:val="NormalHanging12a"/>
        <w:rPr>
          <w:noProof w:val="0"/>
          <w:szCs w:val="24"/>
        </w:rPr>
      </w:pPr>
      <w:r w:rsidRPr="006657C5">
        <w:rPr>
          <w:noProof w:val="0"/>
        </w:rPr>
        <w:t>2</w:t>
      </w:r>
      <w:r w:rsidR="00242D9C" w:rsidRPr="006657C5">
        <w:rPr>
          <w:noProof w:val="0"/>
        </w:rPr>
        <w:t>8</w:t>
      </w:r>
      <w:r w:rsidRPr="006657C5">
        <w:rPr>
          <w:noProof w:val="0"/>
        </w:rPr>
        <w:t>.</w:t>
      </w:r>
      <w:r w:rsidRPr="006657C5">
        <w:rPr>
          <w:noProof w:val="0"/>
        </w:rPr>
        <w:tab/>
      </w:r>
      <w:proofErr w:type="gramStart"/>
      <w:r w:rsidRPr="006657C5">
        <w:rPr>
          <w:noProof w:val="0"/>
        </w:rPr>
        <w:t>podkreśla</w:t>
      </w:r>
      <w:proofErr w:type="gramEnd"/>
      <w:r w:rsidRPr="006657C5">
        <w:rPr>
          <w:noProof w:val="0"/>
        </w:rPr>
        <w:t xml:space="preserve"> potrzebę przyjęcia aktu prawnego w celu nadania rejestrowi służącemu przejrzystości w pełni obowiązkowego i prawnie wiążącego charakteru dla wszystkich instytucji i jednostek organizacyjnych UE oraz stron trzecich, a tym samym w celu zapewnienia pełnej przejrzystości działalności lobbingowej; zachęca instytucje UE do rozważenia, jakie praktyczne rozwiązania mogłyby doprowadzić do szybkiego zawarcia skutecznego porozumienia;</w:t>
      </w:r>
    </w:p>
    <w:p w:rsidR="00C25011" w:rsidRPr="006657C5" w:rsidRDefault="00C25011" w:rsidP="00C25011">
      <w:pPr>
        <w:pStyle w:val="NormalHanging12a"/>
        <w:rPr>
          <w:noProof w:val="0"/>
        </w:rPr>
      </w:pPr>
      <w:r w:rsidRPr="006657C5">
        <w:rPr>
          <w:noProof w:val="0"/>
        </w:rPr>
        <w:t>2</w:t>
      </w:r>
      <w:r w:rsidR="00242D9C" w:rsidRPr="006657C5">
        <w:rPr>
          <w:noProof w:val="0"/>
        </w:rPr>
        <w:t>9</w:t>
      </w:r>
      <w:r w:rsidRPr="006657C5">
        <w:rPr>
          <w:noProof w:val="0"/>
        </w:rPr>
        <w:t>.</w:t>
      </w:r>
      <w:r w:rsidRPr="006657C5">
        <w:rPr>
          <w:noProof w:val="0"/>
        </w:rPr>
        <w:tab/>
      </w:r>
      <w:proofErr w:type="gramStart"/>
      <w:r w:rsidRPr="006657C5">
        <w:rPr>
          <w:noProof w:val="0"/>
        </w:rPr>
        <w:t>wyraża</w:t>
      </w:r>
      <w:proofErr w:type="gramEnd"/>
      <w:r w:rsidRPr="006657C5">
        <w:rPr>
          <w:noProof w:val="0"/>
        </w:rPr>
        <w:t xml:space="preserve"> ubolewanie, że dyskryminacja ze względu na płeć i reprezentacja płci nadal stanowią problematyczne kwestie w instytucjach europejskich; z zaniepokojeniem przyjmuje do wiadomości ustalenia w sprawie 366/2017/AMF i zdecydowanie wzywa EBI do pełnego przestrzegania zaleceń Rzecznika w celu osiągnięcia zrównoważonej reprezentacji obydwu płci na stanowiskach kierowniczych;</w:t>
      </w:r>
    </w:p>
    <w:p w:rsidR="00C25011" w:rsidRPr="006657C5" w:rsidRDefault="00242D9C" w:rsidP="00C25011">
      <w:pPr>
        <w:pStyle w:val="Normal12Hanging"/>
        <w:jc w:val="both"/>
      </w:pPr>
      <w:r w:rsidRPr="006657C5">
        <w:t>30</w:t>
      </w:r>
      <w:r w:rsidR="00C25011" w:rsidRPr="006657C5">
        <w:t>.</w:t>
      </w:r>
      <w:r w:rsidR="00C25011" w:rsidRPr="006657C5">
        <w:tab/>
      </w:r>
      <w:proofErr w:type="gramStart"/>
      <w:r w:rsidR="00C25011" w:rsidRPr="006657C5">
        <w:t>z</w:t>
      </w:r>
      <w:proofErr w:type="gramEnd"/>
      <w:r w:rsidR="00C25011" w:rsidRPr="006657C5">
        <w:t xml:space="preserve"> zadowoleniem przyjmuje dochodzenie przeprowadzone przez Rzecznika w 2018 r. w </w:t>
      </w:r>
      <w:r w:rsidR="00C25011" w:rsidRPr="006657C5">
        <w:lastRenderedPageBreak/>
        <w:t xml:space="preserve">sprawie procedury mianowania </w:t>
      </w:r>
      <w:r w:rsidR="00162A3B" w:rsidRPr="006657C5">
        <w:t>byłego</w:t>
      </w:r>
      <w:r w:rsidR="00162A3B" w:rsidRPr="006657C5">
        <w:rPr>
          <w:b/>
          <w:i/>
        </w:rPr>
        <w:t xml:space="preserve"> </w:t>
      </w:r>
      <w:r w:rsidR="00C25011" w:rsidRPr="006657C5">
        <w:t>sekretarza generalnego Komisji i przyjmuje do wiadomości poczynione w jego ramach ustalenia dotyczące czterech przypadków niewłaściwego administrowania; wyraża ubolewanie, że pomimo iż Parlament poparł zalecenia Rzecznika,</w:t>
      </w:r>
      <w:r w:rsidR="00162A3B" w:rsidRPr="006657C5">
        <w:t xml:space="preserve"> poprzednia </w:t>
      </w:r>
      <w:r w:rsidR="00C25011" w:rsidRPr="006657C5">
        <w:t xml:space="preserve">Komisja nie zdołała zastosować się do nich; odnotowuje ze szczególnym niepokojem, że Komisja nie wprowadziła specjalnej procedury mianowania, i domaga się, by nowa Komisja to uczyniła, a tym samym zapewniła stosowanie najwyższych standardów przejrzystości, etyki i praworządności; </w:t>
      </w:r>
    </w:p>
    <w:p w:rsidR="00C25011" w:rsidRPr="006657C5" w:rsidRDefault="00242D9C" w:rsidP="00C25011">
      <w:pPr>
        <w:pStyle w:val="NormalHanging12a"/>
        <w:rPr>
          <w:noProof w:val="0"/>
          <w:szCs w:val="24"/>
        </w:rPr>
      </w:pPr>
      <w:r w:rsidRPr="006657C5">
        <w:rPr>
          <w:noProof w:val="0"/>
        </w:rPr>
        <w:t>31</w:t>
      </w:r>
      <w:r w:rsidR="00C25011" w:rsidRPr="006657C5">
        <w:rPr>
          <w:noProof w:val="0"/>
        </w:rPr>
        <w:t>.</w:t>
      </w:r>
      <w:r w:rsidR="00C25011" w:rsidRPr="006657C5">
        <w:rPr>
          <w:noProof w:val="0"/>
        </w:rPr>
        <w:tab/>
      </w:r>
      <w:proofErr w:type="gramStart"/>
      <w:r w:rsidR="00C25011" w:rsidRPr="006657C5">
        <w:rPr>
          <w:noProof w:val="0"/>
        </w:rPr>
        <w:t>z</w:t>
      </w:r>
      <w:proofErr w:type="gramEnd"/>
      <w:r w:rsidR="00C25011" w:rsidRPr="006657C5">
        <w:rPr>
          <w:noProof w:val="0"/>
        </w:rPr>
        <w:t xml:space="preserve"> zaniepokojeniem odnotowuje malejący wskaźnik przypadków wdrażania przez Komisję zaleceń, sugestii i rozwiązań przedstawianych przez Rzecznika; wzywa Komisję, aby okazała większe zaangażowanie w wyjaśnianie wszystkich przypadków niewłaściwego administrowania, jakie Rzecznik wskazał w jej działalności;</w:t>
      </w:r>
    </w:p>
    <w:p w:rsidR="00C25011" w:rsidRPr="006657C5" w:rsidRDefault="00242D9C" w:rsidP="00C25011">
      <w:pPr>
        <w:pStyle w:val="NormalHanging12a"/>
        <w:rPr>
          <w:noProof w:val="0"/>
        </w:rPr>
      </w:pPr>
      <w:r w:rsidRPr="006657C5">
        <w:rPr>
          <w:noProof w:val="0"/>
        </w:rPr>
        <w:t>32</w:t>
      </w:r>
      <w:r w:rsidR="00C25011" w:rsidRPr="006657C5">
        <w:rPr>
          <w:noProof w:val="0"/>
        </w:rPr>
        <w:t>.</w:t>
      </w:r>
      <w:r w:rsidR="00C25011" w:rsidRPr="006657C5">
        <w:rPr>
          <w:noProof w:val="0"/>
        </w:rPr>
        <w:tab/>
      </w:r>
      <w:proofErr w:type="gramStart"/>
      <w:r w:rsidR="00C25011" w:rsidRPr="006657C5">
        <w:rPr>
          <w:noProof w:val="0"/>
        </w:rPr>
        <w:t>apeluje</w:t>
      </w:r>
      <w:proofErr w:type="gramEnd"/>
      <w:r w:rsidR="00C25011" w:rsidRPr="006657C5">
        <w:rPr>
          <w:noProof w:val="0"/>
        </w:rPr>
        <w:t xml:space="preserve"> do Rzecznika o monitorowanie wdrażania przepisów nowego Regulaminu Parlamentu Europejskiego dotyczących </w:t>
      </w:r>
      <w:proofErr w:type="spellStart"/>
      <w:r w:rsidR="00C25011" w:rsidRPr="006657C5">
        <w:rPr>
          <w:noProof w:val="0"/>
        </w:rPr>
        <w:t>wysłuchań</w:t>
      </w:r>
      <w:proofErr w:type="spellEnd"/>
      <w:r w:rsidR="00C25011" w:rsidRPr="006657C5">
        <w:rPr>
          <w:noProof w:val="0"/>
        </w:rPr>
        <w:t xml:space="preserve"> kandydatów na komisarzy, w szczególności przepisów zawartych w art. 2 załącznika VII w odniesieniu do rozpatrywania interesów finansowych, w duchu przejrzystości i obiektywizmu;</w:t>
      </w:r>
    </w:p>
    <w:p w:rsidR="00C25011" w:rsidRPr="006657C5" w:rsidRDefault="00242D9C" w:rsidP="00C25011">
      <w:pPr>
        <w:pStyle w:val="NormalHanging12a"/>
        <w:rPr>
          <w:noProof w:val="0"/>
          <w:szCs w:val="24"/>
        </w:rPr>
      </w:pPr>
      <w:r w:rsidRPr="006657C5">
        <w:rPr>
          <w:noProof w:val="0"/>
        </w:rPr>
        <w:t>33</w:t>
      </w:r>
      <w:r w:rsidR="00C25011" w:rsidRPr="006657C5">
        <w:rPr>
          <w:noProof w:val="0"/>
        </w:rPr>
        <w:t>.</w:t>
      </w:r>
      <w:r w:rsidR="00C25011" w:rsidRPr="006657C5">
        <w:rPr>
          <w:noProof w:val="0"/>
        </w:rPr>
        <w:tab/>
      </w:r>
      <w:proofErr w:type="gramStart"/>
      <w:r w:rsidR="00C25011" w:rsidRPr="006657C5">
        <w:rPr>
          <w:noProof w:val="0"/>
        </w:rPr>
        <w:t>przyjmuje</w:t>
      </w:r>
      <w:proofErr w:type="gramEnd"/>
      <w:r w:rsidR="00C25011" w:rsidRPr="006657C5">
        <w:rPr>
          <w:noProof w:val="0"/>
        </w:rPr>
        <w:t xml:space="preserve"> do wiadomości wniosek Komisji z dnia 31 stycznia 2018 r. dotyczący nowego kodeksu postępowania członków Komisji Europejskiej; uważa, że konieczne jest dalsze wzmocnienie przepisów kodeksu;</w:t>
      </w:r>
    </w:p>
    <w:p w:rsidR="00162A3B" w:rsidRPr="006657C5" w:rsidRDefault="00242D9C" w:rsidP="002B678E">
      <w:pPr>
        <w:pStyle w:val="Normal12Hanging"/>
      </w:pPr>
      <w:r w:rsidRPr="006657C5">
        <w:t>34</w:t>
      </w:r>
      <w:r w:rsidR="00C25011" w:rsidRPr="006657C5">
        <w:t>.</w:t>
      </w:r>
      <w:r w:rsidR="00C25011" w:rsidRPr="006657C5">
        <w:tab/>
      </w:r>
      <w:proofErr w:type="gramStart"/>
      <w:r w:rsidR="00C25011" w:rsidRPr="006657C5">
        <w:t>ponownie</w:t>
      </w:r>
      <w:proofErr w:type="gramEnd"/>
      <w:r w:rsidR="00C25011" w:rsidRPr="006657C5">
        <w:t xml:space="preserve"> podkreśla i jest w pełni przekonany, że we wszystkich instytucjach UE należy stosować rygorystyczne zasady i standardy etyczne, aby zagwarantować poszanowanie zobowiązania do godziwego zachowania; </w:t>
      </w:r>
    </w:p>
    <w:p w:rsidR="00C25011" w:rsidRPr="006657C5" w:rsidRDefault="00242D9C" w:rsidP="00C25011">
      <w:pPr>
        <w:pStyle w:val="NormalHanging12a"/>
        <w:rPr>
          <w:noProof w:val="0"/>
        </w:rPr>
      </w:pPr>
      <w:r w:rsidRPr="006657C5">
        <w:rPr>
          <w:noProof w:val="0"/>
        </w:rPr>
        <w:t>35</w:t>
      </w:r>
      <w:r w:rsidR="00C25011" w:rsidRPr="006657C5">
        <w:rPr>
          <w:noProof w:val="0"/>
        </w:rPr>
        <w:t>.</w:t>
      </w:r>
      <w:r w:rsidR="00C25011" w:rsidRPr="006657C5">
        <w:rPr>
          <w:noProof w:val="0"/>
        </w:rPr>
        <w:tab/>
        <w:t>zdecydowanie uważa, że przejrzystość jest podstawowym elementem praworządności i że należy jej przestrzegać w całym procesie legislacyjnym, gdyż wpływa ona na faktyczne urzeczywistnienie prawa do głosowania i prawa do kandydowania w wyborach oraz szeregu innych praw (tj. prawa do wolności wypowiedzi i wolności słowa oraz wolności otrzymywania informacji</w:t>
      </w:r>
      <w:proofErr w:type="gramStart"/>
      <w:r w:rsidR="00C25011" w:rsidRPr="006657C5">
        <w:rPr>
          <w:noProof w:val="0"/>
        </w:rPr>
        <w:t>);jest</w:t>
      </w:r>
      <w:proofErr w:type="gramEnd"/>
      <w:r w:rsidR="00C25011" w:rsidRPr="006657C5">
        <w:rPr>
          <w:noProof w:val="0"/>
        </w:rPr>
        <w:t xml:space="preserve"> zdania, że budowanie aktywnego obywatelstwa UE wymaga możliwości nadzorowania, kontroli i oceny tego procesu przez opinię publiczną oraz możliwości ewentualnego zakwestionowania jego wyniku; podkreśla, że przyczyniłoby się to do upowszechniania wśród obywateli znajomości podstawowych koncepcji procesu legislacyjnego i sprzyjałoby ich udziałowi w życiu demokratycznym Unii;</w:t>
      </w:r>
    </w:p>
    <w:p w:rsidR="00C25011" w:rsidRPr="006657C5" w:rsidRDefault="00C25011" w:rsidP="00C25011">
      <w:pPr>
        <w:pStyle w:val="NormalHanging12a"/>
        <w:rPr>
          <w:noProof w:val="0"/>
        </w:rPr>
      </w:pPr>
      <w:r w:rsidRPr="006657C5">
        <w:rPr>
          <w:noProof w:val="0"/>
        </w:rPr>
        <w:t>3</w:t>
      </w:r>
      <w:r w:rsidR="00242D9C" w:rsidRPr="006657C5">
        <w:rPr>
          <w:noProof w:val="0"/>
        </w:rPr>
        <w:t>6</w:t>
      </w:r>
      <w:r w:rsidRPr="006657C5">
        <w:rPr>
          <w:noProof w:val="0"/>
        </w:rPr>
        <w:t>.</w:t>
      </w:r>
      <w:r w:rsidRPr="006657C5">
        <w:rPr>
          <w:noProof w:val="0"/>
        </w:rPr>
        <w:tab/>
      </w:r>
      <w:proofErr w:type="gramStart"/>
      <w:r w:rsidRPr="006657C5">
        <w:rPr>
          <w:noProof w:val="0"/>
        </w:rPr>
        <w:t>wyraża</w:t>
      </w:r>
      <w:proofErr w:type="gramEnd"/>
      <w:r w:rsidRPr="006657C5">
        <w:rPr>
          <w:noProof w:val="0"/>
        </w:rPr>
        <w:t xml:space="preserve"> zadowolenie, że Rzecznik podejmuje stałe działania na rzecz wywierania wpływu na zmiany zachodzące w instytucjach UE poprzez udział w konsultacjach społecznych dotyczących obszarów działalności Rzecznika; z zadowoleniem przyjmuje sugestie Rzecznika dotyczące zwiększenia przejrzystości unijnego modelu oceny ryzyka w łańcuchu żywnościowym, w tym zalecenia, aby Europejska Agencja Bezpieczeństwa Żywności publikowała porządki obrad i protokoły posiedzeń związanych z oceną ryzyka;</w:t>
      </w:r>
    </w:p>
    <w:p w:rsidR="00C25011" w:rsidRPr="006657C5" w:rsidRDefault="00C25011" w:rsidP="00C25011">
      <w:pPr>
        <w:pStyle w:val="NormalHanging12a"/>
        <w:rPr>
          <w:noProof w:val="0"/>
        </w:rPr>
      </w:pPr>
      <w:r w:rsidRPr="006657C5">
        <w:rPr>
          <w:noProof w:val="0"/>
        </w:rPr>
        <w:t>3</w:t>
      </w:r>
      <w:r w:rsidR="00242D9C" w:rsidRPr="006657C5">
        <w:rPr>
          <w:noProof w:val="0"/>
        </w:rPr>
        <w:t>7</w:t>
      </w:r>
      <w:r w:rsidRPr="006657C5">
        <w:rPr>
          <w:noProof w:val="0"/>
        </w:rPr>
        <w:t>.</w:t>
      </w:r>
      <w:r w:rsidRPr="006657C5">
        <w:rPr>
          <w:noProof w:val="0"/>
        </w:rPr>
        <w:tab/>
      </w:r>
      <w:proofErr w:type="gramStart"/>
      <w:r w:rsidRPr="006657C5">
        <w:rPr>
          <w:noProof w:val="0"/>
        </w:rPr>
        <w:t>zachęca</w:t>
      </w:r>
      <w:proofErr w:type="gramEnd"/>
      <w:r w:rsidRPr="006657C5">
        <w:rPr>
          <w:noProof w:val="0"/>
        </w:rPr>
        <w:t xml:space="preserve"> Rzecznika do dalszego prowadzenia dochodzenia z własnej inicjatywy w sprawie przejrzystości stosunków między EMA a firmami farmaceutycznymi składającymi wnioski poprzedzające złożenie wniosku o pozwolenie na dopuszczenie do obrotu, a także do dalszego prowadzenia konsultacji społecznych, które trwały do stycznia 2019 r.;</w:t>
      </w:r>
    </w:p>
    <w:p w:rsidR="00C25011" w:rsidRPr="006657C5" w:rsidRDefault="00C25011" w:rsidP="00C25011">
      <w:pPr>
        <w:pStyle w:val="NormalHanging12a"/>
        <w:rPr>
          <w:noProof w:val="0"/>
        </w:rPr>
      </w:pPr>
      <w:r w:rsidRPr="006657C5">
        <w:rPr>
          <w:noProof w:val="0"/>
        </w:rPr>
        <w:lastRenderedPageBreak/>
        <w:t>3</w:t>
      </w:r>
      <w:r w:rsidR="00242D9C" w:rsidRPr="006657C5">
        <w:rPr>
          <w:noProof w:val="0"/>
        </w:rPr>
        <w:t>8</w:t>
      </w:r>
      <w:r w:rsidRPr="006657C5">
        <w:rPr>
          <w:noProof w:val="0"/>
        </w:rPr>
        <w:t>.</w:t>
      </w:r>
      <w:r w:rsidRPr="006657C5">
        <w:rPr>
          <w:noProof w:val="0"/>
        </w:rPr>
        <w:tab/>
      </w:r>
      <w:proofErr w:type="gramStart"/>
      <w:r w:rsidRPr="006657C5">
        <w:rPr>
          <w:noProof w:val="0"/>
        </w:rPr>
        <w:t>z</w:t>
      </w:r>
      <w:proofErr w:type="gramEnd"/>
      <w:r w:rsidRPr="006657C5">
        <w:rPr>
          <w:noProof w:val="0"/>
        </w:rPr>
        <w:t xml:space="preserve"> zadowoleniem przyjmuje dochodzenie Rzecznika w sprawie sprawozdań Europejskiej Agencji Bezpieczeństwa Lotniczego (EASA) dotyczących bezpieczeństwa, w wyniku którego agencja zmieniła swoją praktykę, tak by osoby zgłaszające zastrzeżenia dotyczące bezpieczeństwa otrzymywały informacje zwrotne;</w:t>
      </w:r>
    </w:p>
    <w:p w:rsidR="00C25011" w:rsidRPr="006657C5" w:rsidRDefault="00C25011" w:rsidP="00C25011">
      <w:pPr>
        <w:pStyle w:val="NormalHanging12a"/>
        <w:rPr>
          <w:noProof w:val="0"/>
        </w:rPr>
      </w:pPr>
      <w:r w:rsidRPr="006657C5">
        <w:rPr>
          <w:noProof w:val="0"/>
        </w:rPr>
        <w:t>3</w:t>
      </w:r>
      <w:r w:rsidR="00242D9C" w:rsidRPr="006657C5">
        <w:rPr>
          <w:noProof w:val="0"/>
        </w:rPr>
        <w:t>9</w:t>
      </w:r>
      <w:r w:rsidRPr="006657C5">
        <w:rPr>
          <w:noProof w:val="0"/>
        </w:rPr>
        <w:t>.</w:t>
      </w:r>
      <w:r w:rsidRPr="006657C5">
        <w:rPr>
          <w:noProof w:val="0"/>
        </w:rPr>
        <w:tab/>
      </w:r>
      <w:proofErr w:type="gramStart"/>
      <w:r w:rsidRPr="006657C5">
        <w:rPr>
          <w:noProof w:val="0"/>
        </w:rPr>
        <w:t>wzywa</w:t>
      </w:r>
      <w:proofErr w:type="gramEnd"/>
      <w:r w:rsidRPr="006657C5">
        <w:rPr>
          <w:noProof w:val="0"/>
        </w:rPr>
        <w:t xml:space="preserve"> Rzecznika do dalszego monitorowania zgodności wspólnego systemu ubezpieczenia chorobowego (JSIS) z Konwencją ONZ o prawach osób niepełnosprawnych; wzywa Komisję do aktualizacji tekstu ogólnych przepisów wykonawczych regulujących funkcjonowanie wspólnego systemu ubezpieczenia chorobowego w odniesieniu do kosztów leczenia osób niepełnosprawnych lub osób cierpiących na poważną chorobę oraz wydatków związanych z racjonalnymi usprawnieniami w miejscu pracy takich osób; wzywa Rzecznika do zapewnienia pełnego wdrożenia Konwencji Narodów Zjednoczonych o prawach osób niepełnosprawnych przez całą administrację Unii Europejskiej;</w:t>
      </w:r>
    </w:p>
    <w:p w:rsidR="00C25011" w:rsidRPr="006657C5" w:rsidRDefault="00242D9C" w:rsidP="00C25011">
      <w:pPr>
        <w:pStyle w:val="NormalHanging12a"/>
        <w:rPr>
          <w:noProof w:val="0"/>
        </w:rPr>
      </w:pPr>
      <w:r w:rsidRPr="006657C5">
        <w:rPr>
          <w:noProof w:val="0"/>
        </w:rPr>
        <w:t>40</w:t>
      </w:r>
      <w:r w:rsidR="00C25011" w:rsidRPr="006657C5">
        <w:rPr>
          <w:noProof w:val="0"/>
        </w:rPr>
        <w:t>.</w:t>
      </w:r>
      <w:r w:rsidR="00C25011" w:rsidRPr="006657C5">
        <w:rPr>
          <w:noProof w:val="0"/>
        </w:rPr>
        <w:tab/>
      </w:r>
      <w:proofErr w:type="gramStart"/>
      <w:r w:rsidR="00C25011" w:rsidRPr="006657C5">
        <w:rPr>
          <w:noProof w:val="0"/>
        </w:rPr>
        <w:t>z</w:t>
      </w:r>
      <w:proofErr w:type="gramEnd"/>
      <w:r w:rsidR="00C25011" w:rsidRPr="006657C5">
        <w:rPr>
          <w:noProof w:val="0"/>
        </w:rPr>
        <w:t xml:space="preserve"> zadowoleniem przyjmuje praktyczne zalecenia Rzecznika dotyczące dostępności w Europejskim Urzędzie Doboru Kadr (EPSO) procedur selekcji przeznaczonych dla kandydatów słabowidzących; wzywa Rzecznika do monitorowania pełnego przestrzegania przez EPSO wymogów dostępności w odniesieniu do procedur selekcji online; wzywa Rzecznika do podjęcia działań następczych w związku z jego propozycjami dotyczącymi technologii wspomagających podczas testów komputerowych odbywających się na całym świecie;</w:t>
      </w:r>
    </w:p>
    <w:p w:rsidR="00C25011" w:rsidRPr="006657C5" w:rsidRDefault="00242D9C" w:rsidP="00C25011">
      <w:pPr>
        <w:pStyle w:val="NormalHanging12a"/>
        <w:rPr>
          <w:noProof w:val="0"/>
        </w:rPr>
      </w:pPr>
      <w:r w:rsidRPr="006657C5">
        <w:rPr>
          <w:noProof w:val="0"/>
        </w:rPr>
        <w:t>41</w:t>
      </w:r>
      <w:r w:rsidR="00C25011" w:rsidRPr="006657C5">
        <w:rPr>
          <w:noProof w:val="0"/>
        </w:rPr>
        <w:t>.</w:t>
      </w:r>
      <w:r w:rsidR="00C25011" w:rsidRPr="006657C5">
        <w:rPr>
          <w:noProof w:val="0"/>
        </w:rPr>
        <w:tab/>
      </w:r>
      <w:proofErr w:type="gramStart"/>
      <w:r w:rsidR="00C25011" w:rsidRPr="006657C5">
        <w:rPr>
          <w:noProof w:val="0"/>
        </w:rPr>
        <w:t>wspiera</w:t>
      </w:r>
      <w:proofErr w:type="gramEnd"/>
      <w:r w:rsidR="00C25011" w:rsidRPr="006657C5">
        <w:rPr>
          <w:noProof w:val="0"/>
        </w:rPr>
        <w:t xml:space="preserve"> Rzecznika w uwrażliwianiu instytucji UE na wprowadzenie bardziej zdecydowanej polityki przeciwdziałania molestowaniu;</w:t>
      </w:r>
    </w:p>
    <w:p w:rsidR="00C25011" w:rsidRPr="006657C5" w:rsidRDefault="00242D9C" w:rsidP="00C25011">
      <w:pPr>
        <w:pStyle w:val="NormalHanging12a"/>
        <w:rPr>
          <w:noProof w:val="0"/>
        </w:rPr>
      </w:pPr>
      <w:r w:rsidRPr="006657C5">
        <w:rPr>
          <w:noProof w:val="0"/>
        </w:rPr>
        <w:t>42</w:t>
      </w:r>
      <w:r w:rsidR="00C25011" w:rsidRPr="006657C5">
        <w:rPr>
          <w:noProof w:val="0"/>
        </w:rPr>
        <w:t>.</w:t>
      </w:r>
      <w:r w:rsidR="00C25011" w:rsidRPr="006657C5">
        <w:rPr>
          <w:noProof w:val="0"/>
        </w:rPr>
        <w:tab/>
      </w:r>
      <w:proofErr w:type="gramStart"/>
      <w:r w:rsidR="00C25011" w:rsidRPr="006657C5">
        <w:rPr>
          <w:noProof w:val="0"/>
        </w:rPr>
        <w:t>popiera</w:t>
      </w:r>
      <w:proofErr w:type="gramEnd"/>
      <w:r w:rsidR="00C25011" w:rsidRPr="006657C5">
        <w:rPr>
          <w:noProof w:val="0"/>
        </w:rPr>
        <w:t xml:space="preserve"> inicjatywę Rzecznika na rzecz podjęcia działań następczych związanych z ruchem #</w:t>
      </w:r>
      <w:proofErr w:type="spellStart"/>
      <w:r w:rsidR="00C25011" w:rsidRPr="006657C5">
        <w:rPr>
          <w:noProof w:val="0"/>
        </w:rPr>
        <w:t>MeToo</w:t>
      </w:r>
      <w:proofErr w:type="spellEnd"/>
      <w:r w:rsidR="00C25011" w:rsidRPr="006657C5">
        <w:rPr>
          <w:noProof w:val="0"/>
        </w:rPr>
        <w:t xml:space="preserve"> i wzywa do dalszego monitorowania polityki przeciwdziałania molestowaniu przyjętej przez administrację UE;</w:t>
      </w:r>
    </w:p>
    <w:p w:rsidR="00C25011" w:rsidRPr="006657C5" w:rsidRDefault="00242D9C" w:rsidP="00C25011">
      <w:pPr>
        <w:pStyle w:val="NormalHanging12a"/>
        <w:rPr>
          <w:noProof w:val="0"/>
          <w:szCs w:val="24"/>
        </w:rPr>
      </w:pPr>
      <w:r w:rsidRPr="006657C5">
        <w:rPr>
          <w:noProof w:val="0"/>
        </w:rPr>
        <w:t>43</w:t>
      </w:r>
      <w:r w:rsidR="00C25011" w:rsidRPr="006657C5">
        <w:rPr>
          <w:noProof w:val="0"/>
        </w:rPr>
        <w:t>.</w:t>
      </w:r>
      <w:r w:rsidR="00C25011" w:rsidRPr="006657C5">
        <w:rPr>
          <w:noProof w:val="0"/>
        </w:rPr>
        <w:tab/>
      </w:r>
      <w:proofErr w:type="gramStart"/>
      <w:r w:rsidR="00C25011" w:rsidRPr="006657C5">
        <w:rPr>
          <w:noProof w:val="0"/>
        </w:rPr>
        <w:t>popiera</w:t>
      </w:r>
      <w:proofErr w:type="gramEnd"/>
      <w:r w:rsidR="00C25011" w:rsidRPr="006657C5">
        <w:rPr>
          <w:noProof w:val="0"/>
        </w:rPr>
        <w:t xml:space="preserve"> starania Rzecznika mające na celu ułatwianie obywatelom udziału w kształtowaniu polityki UE; zwraca się do Rzecznika o dalsze monitorowanie stosowania narzędzia, jakim jest Europejska Inicjatywa Obywatelska (EIO), w tym monitorowanie wdrażania zmienionego rozporządzenia w sprawie EIO;</w:t>
      </w:r>
    </w:p>
    <w:p w:rsidR="00C25011" w:rsidRPr="006657C5" w:rsidRDefault="00C25011" w:rsidP="00C25011">
      <w:pPr>
        <w:pStyle w:val="NormalHanging12a"/>
        <w:rPr>
          <w:b/>
          <w:i/>
          <w:noProof w:val="0"/>
          <w:szCs w:val="24"/>
        </w:rPr>
      </w:pPr>
      <w:r w:rsidRPr="006657C5">
        <w:rPr>
          <w:noProof w:val="0"/>
        </w:rPr>
        <w:t>4</w:t>
      </w:r>
      <w:r w:rsidR="00242D9C" w:rsidRPr="006657C5">
        <w:rPr>
          <w:noProof w:val="0"/>
        </w:rPr>
        <w:t>4</w:t>
      </w:r>
      <w:r w:rsidRPr="006657C5">
        <w:rPr>
          <w:noProof w:val="0"/>
        </w:rPr>
        <w:t>.</w:t>
      </w:r>
      <w:r w:rsidRPr="006657C5">
        <w:rPr>
          <w:noProof w:val="0"/>
        </w:rPr>
        <w:tab/>
      </w:r>
      <w:proofErr w:type="gramStart"/>
      <w:r w:rsidRPr="006657C5">
        <w:rPr>
          <w:noProof w:val="0"/>
        </w:rPr>
        <w:t>zwraca</w:t>
      </w:r>
      <w:proofErr w:type="gramEnd"/>
      <w:r w:rsidRPr="006657C5">
        <w:rPr>
          <w:noProof w:val="0"/>
        </w:rPr>
        <w:t xml:space="preserve"> uwagę, że od momentu utworzenia urzędu Europejskiego Rzecznika Praw Obywatelskich jego rola zmieniała się z biegiem czasu – od zapobiegania niewłaściwemu administrowaniu do promowania dobrego administrowania; uważa, że logiczną konsekwencją tej tendencji jest podejmowanie dalszych starań na rzecz aktywnego i terminowego promowania lepszej administracji i najlepszych praktyk administracyjnych;</w:t>
      </w:r>
    </w:p>
    <w:p w:rsidR="00C25011" w:rsidRPr="006657C5" w:rsidRDefault="00C25011" w:rsidP="00C25011">
      <w:pPr>
        <w:pStyle w:val="NormalHanging12a"/>
        <w:rPr>
          <w:noProof w:val="0"/>
        </w:rPr>
      </w:pPr>
      <w:r w:rsidRPr="006657C5">
        <w:rPr>
          <w:noProof w:val="0"/>
        </w:rPr>
        <w:t>4</w:t>
      </w:r>
      <w:r w:rsidR="00242D9C" w:rsidRPr="006657C5">
        <w:rPr>
          <w:noProof w:val="0"/>
        </w:rPr>
        <w:t>5</w:t>
      </w:r>
      <w:r w:rsidRPr="006657C5">
        <w:rPr>
          <w:noProof w:val="0"/>
        </w:rPr>
        <w:t>.</w:t>
      </w:r>
      <w:r w:rsidRPr="006657C5">
        <w:rPr>
          <w:noProof w:val="0"/>
        </w:rPr>
        <w:tab/>
      </w:r>
      <w:proofErr w:type="gramStart"/>
      <w:r w:rsidRPr="006657C5">
        <w:rPr>
          <w:noProof w:val="0"/>
        </w:rPr>
        <w:t>z</w:t>
      </w:r>
      <w:proofErr w:type="gramEnd"/>
      <w:r w:rsidRPr="006657C5">
        <w:rPr>
          <w:noProof w:val="0"/>
        </w:rPr>
        <w:t xml:space="preserve"> zadowoleniem przyjmuje inicjatywę Rzecznika dotyczącą przyznawania Nagrody za dobrą administrację w uznaniu działań podejmowanych przez służbę cywilną UE w celu wypracowania innowacyjnych sposobów wdrażania polityki przyjaznej obywatelom;</w:t>
      </w:r>
    </w:p>
    <w:p w:rsidR="00C25011" w:rsidRPr="006657C5" w:rsidRDefault="00C25011" w:rsidP="00C25011">
      <w:pPr>
        <w:pStyle w:val="NormalHanging12a"/>
        <w:rPr>
          <w:noProof w:val="0"/>
          <w:szCs w:val="24"/>
        </w:rPr>
      </w:pPr>
      <w:r w:rsidRPr="006657C5">
        <w:rPr>
          <w:noProof w:val="0"/>
        </w:rPr>
        <w:t>4</w:t>
      </w:r>
      <w:r w:rsidR="00242D9C" w:rsidRPr="006657C5">
        <w:rPr>
          <w:noProof w:val="0"/>
        </w:rPr>
        <w:t>6</w:t>
      </w:r>
      <w:r w:rsidRPr="006657C5">
        <w:rPr>
          <w:noProof w:val="0"/>
        </w:rPr>
        <w:t>.</w:t>
      </w:r>
      <w:r w:rsidRPr="006657C5">
        <w:rPr>
          <w:noProof w:val="0"/>
        </w:rPr>
        <w:tab/>
      </w:r>
      <w:proofErr w:type="gramStart"/>
      <w:r w:rsidRPr="006657C5">
        <w:rPr>
          <w:noProof w:val="0"/>
        </w:rPr>
        <w:t>przypomina</w:t>
      </w:r>
      <w:proofErr w:type="gramEnd"/>
      <w:r w:rsidRPr="006657C5">
        <w:rPr>
          <w:noProof w:val="0"/>
        </w:rPr>
        <w:t xml:space="preserve"> swój wieloletni apel o przekształcenie obecnego Kodeksu dobrego postępowania administracyjnego w rozporządzenie odpowiednio wiążące dla</w:t>
      </w:r>
      <w:r w:rsidR="00B75BE6" w:rsidRPr="006657C5">
        <w:rPr>
          <w:noProof w:val="0"/>
        </w:rPr>
        <w:t xml:space="preserve"> wszystkich unijnych instytucji oraz</w:t>
      </w:r>
      <w:r w:rsidRPr="006657C5">
        <w:rPr>
          <w:noProof w:val="0"/>
        </w:rPr>
        <w:t xml:space="preserve"> jednostek organizacyjnych ;</w:t>
      </w:r>
    </w:p>
    <w:p w:rsidR="00C25011" w:rsidRPr="006657C5" w:rsidRDefault="00C25011" w:rsidP="00C25011">
      <w:pPr>
        <w:pStyle w:val="NormalHanging12a"/>
        <w:rPr>
          <w:noProof w:val="0"/>
        </w:rPr>
      </w:pPr>
      <w:r w:rsidRPr="006657C5">
        <w:rPr>
          <w:noProof w:val="0"/>
        </w:rPr>
        <w:t>4</w:t>
      </w:r>
      <w:r w:rsidR="00242D9C" w:rsidRPr="006657C5">
        <w:rPr>
          <w:noProof w:val="0"/>
        </w:rPr>
        <w:t>7</w:t>
      </w:r>
      <w:r w:rsidRPr="006657C5">
        <w:rPr>
          <w:noProof w:val="0"/>
        </w:rPr>
        <w:t>.</w:t>
      </w:r>
      <w:r w:rsidRPr="006657C5">
        <w:rPr>
          <w:noProof w:val="0"/>
        </w:rPr>
        <w:tab/>
      </w:r>
      <w:proofErr w:type="gramStart"/>
      <w:r w:rsidRPr="006657C5">
        <w:rPr>
          <w:noProof w:val="0"/>
        </w:rPr>
        <w:t>przypomina</w:t>
      </w:r>
      <w:proofErr w:type="gramEnd"/>
      <w:r w:rsidRPr="006657C5">
        <w:rPr>
          <w:noProof w:val="0"/>
        </w:rPr>
        <w:t xml:space="preserve"> o zaangażowaniu Rzecznika na rzecz wysokiego poziomu przejrzystości po </w:t>
      </w:r>
      <w:r w:rsidRPr="006657C5">
        <w:rPr>
          <w:noProof w:val="0"/>
        </w:rPr>
        <w:lastRenderedPageBreak/>
        <w:t>stronie UE podczas negocjacji nad umową dotyczącą wystąpienia Zjednoczonego Królestwa z Unii Europejskiej;</w:t>
      </w:r>
    </w:p>
    <w:p w:rsidR="00C25011" w:rsidRPr="006657C5" w:rsidRDefault="00C25011" w:rsidP="00C25011">
      <w:pPr>
        <w:pStyle w:val="NormalHanging12a"/>
        <w:rPr>
          <w:noProof w:val="0"/>
          <w:szCs w:val="24"/>
        </w:rPr>
      </w:pPr>
      <w:r w:rsidRPr="006657C5">
        <w:rPr>
          <w:noProof w:val="0"/>
        </w:rPr>
        <w:t>4</w:t>
      </w:r>
      <w:r w:rsidR="00242D9C" w:rsidRPr="006657C5">
        <w:rPr>
          <w:noProof w:val="0"/>
        </w:rPr>
        <w:t>8</w:t>
      </w:r>
      <w:r w:rsidRPr="006657C5">
        <w:rPr>
          <w:noProof w:val="0"/>
        </w:rPr>
        <w:t>.</w:t>
      </w:r>
      <w:r w:rsidRPr="006657C5">
        <w:rPr>
          <w:noProof w:val="0"/>
        </w:rPr>
        <w:tab/>
      </w:r>
      <w:proofErr w:type="gramStart"/>
      <w:r w:rsidRPr="006657C5">
        <w:rPr>
          <w:noProof w:val="0"/>
        </w:rPr>
        <w:t>zachęca</w:t>
      </w:r>
      <w:proofErr w:type="gramEnd"/>
      <w:r w:rsidRPr="006657C5">
        <w:rPr>
          <w:noProof w:val="0"/>
        </w:rPr>
        <w:t xml:space="preserve"> Rzecznika do dalszej współpracy z krajowymi rzecznikami praw obywatelskich za pośrednictwem europejskiej sieci rzeczników; podkreśla potrzebę dalszego rozwijania takiej współpracy między krajowymi rzecznikami praw obywatelskich;</w:t>
      </w:r>
    </w:p>
    <w:p w:rsidR="00C25011" w:rsidRPr="006657C5" w:rsidRDefault="00C25011" w:rsidP="00C25011">
      <w:pPr>
        <w:pStyle w:val="NormalHanging12a"/>
        <w:rPr>
          <w:noProof w:val="0"/>
          <w:szCs w:val="24"/>
        </w:rPr>
      </w:pPr>
      <w:r w:rsidRPr="006657C5">
        <w:rPr>
          <w:noProof w:val="0"/>
        </w:rPr>
        <w:t>4</w:t>
      </w:r>
      <w:r w:rsidR="00242D9C" w:rsidRPr="006657C5">
        <w:rPr>
          <w:noProof w:val="0"/>
        </w:rPr>
        <w:t>9</w:t>
      </w:r>
      <w:r w:rsidRPr="006657C5">
        <w:rPr>
          <w:noProof w:val="0"/>
        </w:rPr>
        <w:t>.</w:t>
      </w:r>
      <w:r w:rsidRPr="006657C5">
        <w:rPr>
          <w:noProof w:val="0"/>
        </w:rPr>
        <w:tab/>
      </w:r>
      <w:proofErr w:type="gramStart"/>
      <w:r w:rsidRPr="006657C5">
        <w:rPr>
          <w:noProof w:val="0"/>
        </w:rPr>
        <w:t>przypomina</w:t>
      </w:r>
      <w:proofErr w:type="gramEnd"/>
      <w:r w:rsidRPr="006657C5">
        <w:rPr>
          <w:noProof w:val="0"/>
        </w:rPr>
        <w:t>, że nowy projekt Statutu Europejskiego Rzecznika Praw Obywatelskich, który został niedawno przyjęty przez Parlament, przewiduje trzyletni okres karencji, zanim poseł do Parlamentu Europejskiego będzie mógł ubiegać się o urząd Rzecznika;</w:t>
      </w:r>
    </w:p>
    <w:p w:rsidR="00C25011" w:rsidRPr="006657C5" w:rsidRDefault="00242D9C" w:rsidP="00C25011">
      <w:pPr>
        <w:pStyle w:val="NormalHanging12a"/>
        <w:rPr>
          <w:noProof w:val="0"/>
          <w:szCs w:val="24"/>
        </w:rPr>
      </w:pPr>
      <w:r w:rsidRPr="006657C5">
        <w:rPr>
          <w:noProof w:val="0"/>
        </w:rPr>
        <w:t>50</w:t>
      </w:r>
      <w:r w:rsidR="00C25011" w:rsidRPr="006657C5">
        <w:rPr>
          <w:noProof w:val="0"/>
        </w:rPr>
        <w:t>.</w:t>
      </w:r>
      <w:r w:rsidR="00C25011" w:rsidRPr="006657C5">
        <w:rPr>
          <w:noProof w:val="0"/>
        </w:rPr>
        <w:tab/>
      </w:r>
      <w:proofErr w:type="gramStart"/>
      <w:r w:rsidR="00C25011" w:rsidRPr="006657C5">
        <w:rPr>
          <w:noProof w:val="0"/>
        </w:rPr>
        <w:t>podkreśla</w:t>
      </w:r>
      <w:proofErr w:type="gramEnd"/>
      <w:r w:rsidR="00C25011" w:rsidRPr="006657C5">
        <w:rPr>
          <w:noProof w:val="0"/>
        </w:rPr>
        <w:t>, że kluczowe jest utrzymanie niezależności i integralności Rzecznika oraz zadbanie o to, aby urząd ten był sprawowany przez osoby wolne od oczywistych powiązań partyjno-politycznych i konfliktów interesów oraz przez osoby o nienagannej postawie etycznej;</w:t>
      </w:r>
    </w:p>
    <w:p w:rsidR="00C25011" w:rsidRPr="006657C5" w:rsidRDefault="00242D9C" w:rsidP="00C25011">
      <w:pPr>
        <w:pStyle w:val="NormalHanging12a"/>
        <w:rPr>
          <w:noProof w:val="0"/>
        </w:rPr>
      </w:pPr>
      <w:r w:rsidRPr="006657C5">
        <w:rPr>
          <w:noProof w:val="0"/>
        </w:rPr>
        <w:t>51</w:t>
      </w:r>
      <w:r w:rsidR="00C25011" w:rsidRPr="006657C5">
        <w:rPr>
          <w:noProof w:val="0"/>
        </w:rPr>
        <w:t>.</w:t>
      </w:r>
      <w:r w:rsidR="00C25011" w:rsidRPr="006657C5">
        <w:rPr>
          <w:noProof w:val="0"/>
        </w:rPr>
        <w:tab/>
      </w:r>
      <w:proofErr w:type="gramStart"/>
      <w:r w:rsidR="00C25011" w:rsidRPr="006657C5">
        <w:rPr>
          <w:noProof w:val="0"/>
        </w:rPr>
        <w:t>wyraża</w:t>
      </w:r>
      <w:proofErr w:type="gramEnd"/>
      <w:r w:rsidR="00C25011" w:rsidRPr="006657C5">
        <w:rPr>
          <w:noProof w:val="0"/>
        </w:rPr>
        <w:t xml:space="preserve"> uznanie dla doskonałej i owocnej współpracy Rzecznika i jego zespołu z Komisją Petycji;</w:t>
      </w:r>
    </w:p>
    <w:p w:rsidR="00C25011" w:rsidRPr="006657C5" w:rsidRDefault="00242D9C" w:rsidP="00C25011">
      <w:pPr>
        <w:pStyle w:val="NormalHanging12a"/>
        <w:rPr>
          <w:noProof w:val="0"/>
        </w:rPr>
      </w:pPr>
      <w:r w:rsidRPr="006657C5">
        <w:rPr>
          <w:noProof w:val="0"/>
        </w:rPr>
        <w:t>52</w:t>
      </w:r>
      <w:r w:rsidR="00C25011" w:rsidRPr="006657C5">
        <w:rPr>
          <w:noProof w:val="0"/>
        </w:rPr>
        <w:t>.</w:t>
      </w:r>
      <w:r w:rsidR="00C25011" w:rsidRPr="006657C5">
        <w:rPr>
          <w:noProof w:val="0"/>
        </w:rPr>
        <w:tab/>
      </w:r>
      <w:proofErr w:type="gramStart"/>
      <w:r w:rsidR="00C25011" w:rsidRPr="006657C5">
        <w:rPr>
          <w:noProof w:val="0"/>
        </w:rPr>
        <w:t>docenia</w:t>
      </w:r>
      <w:proofErr w:type="gramEnd"/>
      <w:r w:rsidR="00C25011" w:rsidRPr="006657C5">
        <w:rPr>
          <w:noProof w:val="0"/>
        </w:rPr>
        <w:t xml:space="preserve"> doskonałą współpracę z Rzecznikiem w trakcie sprawowania urzędu i zachęca przyszłego Rzecznika do takiej współpracy i dialogu strukturalnego z Komisją Petycji w celu dalszej poprawy jakości administracji UE oraz dostępności i jakości usług oferowanych przez nią naszym obywatelom;</w:t>
      </w:r>
    </w:p>
    <w:p w:rsidR="00C25011" w:rsidRPr="006657C5" w:rsidRDefault="00C25011" w:rsidP="00C25011">
      <w:pPr>
        <w:pStyle w:val="Normal12Hanging"/>
      </w:pPr>
      <w:r w:rsidRPr="006657C5">
        <w:t>5</w:t>
      </w:r>
      <w:r w:rsidR="00242D9C" w:rsidRPr="006657C5">
        <w:t>3</w:t>
      </w:r>
      <w:r w:rsidRPr="006657C5">
        <w:t>.</w:t>
      </w:r>
      <w:r w:rsidRPr="006657C5">
        <w:tab/>
      </w:r>
      <w:proofErr w:type="gramStart"/>
      <w:r w:rsidRPr="006657C5">
        <w:t>zobowiązuje</w:t>
      </w:r>
      <w:proofErr w:type="gramEnd"/>
      <w:r w:rsidRPr="006657C5">
        <w:t xml:space="preserve"> swojego przewodniczącego do przekazania niniejszej rezolucji oraz sprawozdania Komisji Petycji Radzie, Komisji, Europejskiemu Rzecznikowi Praw Obywatelskich, jak również rządom i parlamentom państw członkowskich oraz rzecznikom praw obywatelskich lub odpowiadającym im organom w państwach członkowskich.</w:t>
      </w:r>
    </w:p>
    <w:sectPr w:rsidR="00C25011" w:rsidRPr="006657C5" w:rsidSect="00950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4C1" w:rsidRPr="009506B2" w:rsidRDefault="00FE34C1">
      <w:r w:rsidRPr="009506B2">
        <w:separator/>
      </w:r>
    </w:p>
  </w:endnote>
  <w:endnote w:type="continuationSeparator" w:id="0">
    <w:p w:rsidR="00FE34C1" w:rsidRPr="009506B2" w:rsidRDefault="00FE34C1">
      <w:r w:rsidRPr="009506B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9506B2" w:rsidRDefault="000640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6657C5" w:rsidRDefault="00064002" w:rsidP="006657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9506B2" w:rsidRDefault="000640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4C1" w:rsidRPr="009506B2" w:rsidRDefault="00FE34C1">
      <w:r w:rsidRPr="009506B2">
        <w:separator/>
      </w:r>
    </w:p>
  </w:footnote>
  <w:footnote w:type="continuationSeparator" w:id="0">
    <w:p w:rsidR="00FE34C1" w:rsidRPr="009506B2" w:rsidRDefault="00FE34C1">
      <w:r w:rsidRPr="009506B2">
        <w:continuationSeparator/>
      </w:r>
    </w:p>
  </w:footnote>
  <w:footnote w:id="1">
    <w:p w:rsidR="00C25011" w:rsidRPr="009506B2" w:rsidRDefault="00C25011" w:rsidP="009506B2">
      <w:pPr>
        <w:pStyle w:val="FootnoteText"/>
        <w:ind w:left="567" w:hanging="567"/>
        <w:rPr>
          <w:sz w:val="24"/>
          <w:lang w:val="pl-PL"/>
        </w:rPr>
      </w:pPr>
      <w:r w:rsidRPr="009506B2">
        <w:rPr>
          <w:rStyle w:val="FootnoteReference"/>
          <w:sz w:val="24"/>
          <w:lang w:val="pl-PL"/>
        </w:rPr>
        <w:footnoteRef/>
      </w:r>
      <w:r w:rsidR="009506B2" w:rsidRPr="009506B2">
        <w:rPr>
          <w:sz w:val="24"/>
          <w:lang w:val="pl-PL"/>
        </w:rPr>
        <w:t xml:space="preserve"> </w:t>
      </w:r>
      <w:r w:rsidR="009506B2" w:rsidRPr="009506B2">
        <w:rPr>
          <w:sz w:val="24"/>
          <w:lang w:val="pl-PL"/>
        </w:rPr>
        <w:tab/>
      </w:r>
      <w:r w:rsidRPr="009506B2">
        <w:rPr>
          <w:sz w:val="24"/>
          <w:lang w:val="pl-PL"/>
        </w:rPr>
        <w:t xml:space="preserve">Dz.U. L 113 z 4.5.1994, </w:t>
      </w:r>
      <w:proofErr w:type="gramStart"/>
      <w:r w:rsidRPr="009506B2">
        <w:rPr>
          <w:sz w:val="24"/>
          <w:lang w:val="pl-PL"/>
        </w:rPr>
        <w:t>s</w:t>
      </w:r>
      <w:proofErr w:type="gramEnd"/>
      <w:r w:rsidRPr="009506B2">
        <w:rPr>
          <w:sz w:val="24"/>
          <w:lang w:val="pl-PL"/>
        </w:rPr>
        <w:t>. 15.</w:t>
      </w:r>
    </w:p>
  </w:footnote>
  <w:footnote w:id="2">
    <w:p w:rsidR="00C25011" w:rsidRPr="009506B2" w:rsidRDefault="00C25011" w:rsidP="009506B2">
      <w:pPr>
        <w:pStyle w:val="FootnoteText"/>
        <w:ind w:left="567" w:hanging="567"/>
        <w:rPr>
          <w:sz w:val="24"/>
          <w:lang w:val="pl-PL"/>
        </w:rPr>
      </w:pPr>
      <w:r w:rsidRPr="009506B2">
        <w:rPr>
          <w:rStyle w:val="FootnoteReference"/>
          <w:sz w:val="24"/>
          <w:lang w:val="pl-PL"/>
        </w:rPr>
        <w:footnoteRef/>
      </w:r>
      <w:r w:rsidR="009506B2" w:rsidRPr="009506B2">
        <w:rPr>
          <w:sz w:val="24"/>
          <w:lang w:val="pl-PL"/>
        </w:rPr>
        <w:t xml:space="preserve"> </w:t>
      </w:r>
      <w:r w:rsidR="009506B2" w:rsidRPr="009506B2">
        <w:rPr>
          <w:sz w:val="24"/>
          <w:lang w:val="pl-PL"/>
        </w:rPr>
        <w:tab/>
      </w:r>
      <w:r w:rsidRPr="009506B2">
        <w:rPr>
          <w:sz w:val="24"/>
          <w:lang w:val="pl-PL"/>
        </w:rPr>
        <w:t>Teksty przyjęte, P8_TA(2019)0045.</w:t>
      </w:r>
    </w:p>
  </w:footnote>
  <w:footnote w:id="3">
    <w:p w:rsidR="00C25011" w:rsidRPr="009506B2" w:rsidRDefault="00C25011" w:rsidP="009506B2">
      <w:pPr>
        <w:pStyle w:val="FootnoteText"/>
        <w:ind w:left="567" w:hanging="567"/>
        <w:rPr>
          <w:sz w:val="24"/>
          <w:lang w:val="pl-PL"/>
        </w:rPr>
      </w:pPr>
      <w:r w:rsidRPr="009506B2">
        <w:rPr>
          <w:rStyle w:val="FootnoteReference"/>
          <w:sz w:val="24"/>
          <w:lang w:val="pl-PL"/>
        </w:rPr>
        <w:footnoteRef/>
      </w:r>
      <w:r w:rsidR="009506B2" w:rsidRPr="009506B2">
        <w:rPr>
          <w:sz w:val="24"/>
          <w:lang w:val="pl-PL"/>
        </w:rPr>
        <w:t xml:space="preserve"> </w:t>
      </w:r>
      <w:r w:rsidR="009506B2" w:rsidRPr="009506B2">
        <w:rPr>
          <w:sz w:val="24"/>
          <w:lang w:val="pl-PL"/>
        </w:rPr>
        <w:tab/>
      </w:r>
      <w:r w:rsidRPr="009506B2">
        <w:rPr>
          <w:sz w:val="24"/>
          <w:lang w:val="pl-PL"/>
        </w:rPr>
        <w:t>Teksty przyjęte, P8_TA(2019)0114.</w:t>
      </w:r>
    </w:p>
  </w:footnote>
  <w:footnote w:id="4">
    <w:p w:rsidR="00C25011" w:rsidRPr="009506B2" w:rsidRDefault="00C25011" w:rsidP="009506B2">
      <w:pPr>
        <w:pStyle w:val="FootnoteText"/>
        <w:ind w:left="567" w:hanging="567"/>
        <w:rPr>
          <w:sz w:val="24"/>
          <w:lang w:val="pl-PL"/>
        </w:rPr>
      </w:pPr>
      <w:r w:rsidRPr="009506B2">
        <w:rPr>
          <w:rStyle w:val="FootnoteReference"/>
          <w:sz w:val="24"/>
          <w:lang w:val="pl-PL"/>
        </w:rPr>
        <w:footnoteRef/>
      </w:r>
      <w:r w:rsidR="009506B2" w:rsidRPr="009506B2">
        <w:rPr>
          <w:sz w:val="24"/>
          <w:lang w:val="pl-PL"/>
        </w:rPr>
        <w:t xml:space="preserve"> </w:t>
      </w:r>
      <w:r w:rsidR="009506B2" w:rsidRPr="009506B2">
        <w:rPr>
          <w:sz w:val="24"/>
          <w:lang w:val="pl-PL"/>
        </w:rPr>
        <w:tab/>
      </w:r>
      <w:r w:rsidRPr="009506B2">
        <w:rPr>
          <w:sz w:val="24"/>
          <w:lang w:val="pl-PL"/>
        </w:rPr>
        <w:t>Teksty przyjęte, P8_TA(2019)0080.</w:t>
      </w:r>
    </w:p>
  </w:footnote>
  <w:footnote w:id="5">
    <w:p w:rsidR="00C25011" w:rsidRPr="009506B2" w:rsidRDefault="00C25011" w:rsidP="009506B2">
      <w:pPr>
        <w:pStyle w:val="FootnoteText"/>
        <w:ind w:left="567" w:hanging="567"/>
        <w:rPr>
          <w:sz w:val="24"/>
          <w:lang w:val="pl-PL"/>
        </w:rPr>
      </w:pPr>
      <w:r w:rsidRPr="009506B2">
        <w:rPr>
          <w:rStyle w:val="FootnoteReference"/>
          <w:sz w:val="24"/>
          <w:lang w:val="pl-PL"/>
        </w:rPr>
        <w:footnoteRef/>
      </w:r>
      <w:r w:rsidR="009506B2" w:rsidRPr="009506B2">
        <w:rPr>
          <w:sz w:val="24"/>
          <w:lang w:val="pl-PL"/>
        </w:rPr>
        <w:t xml:space="preserve"> </w:t>
      </w:r>
      <w:r w:rsidR="009506B2" w:rsidRPr="009506B2">
        <w:rPr>
          <w:sz w:val="24"/>
          <w:lang w:val="pl-PL"/>
        </w:rPr>
        <w:tab/>
      </w:r>
      <w:r w:rsidRPr="009506B2">
        <w:rPr>
          <w:sz w:val="24"/>
          <w:lang w:val="pl-PL"/>
        </w:rPr>
        <w:t xml:space="preserve">Dz.U. L 145 z 31.5.2001, </w:t>
      </w:r>
      <w:proofErr w:type="gramStart"/>
      <w:r w:rsidRPr="009506B2">
        <w:rPr>
          <w:sz w:val="24"/>
          <w:lang w:val="pl-PL"/>
        </w:rPr>
        <w:t>s</w:t>
      </w:r>
      <w:proofErr w:type="gramEnd"/>
      <w:r w:rsidRPr="009506B2">
        <w:rPr>
          <w:sz w:val="24"/>
          <w:lang w:val="pl-PL"/>
        </w:rPr>
        <w:t>. 43.</w:t>
      </w:r>
    </w:p>
  </w:footnote>
  <w:footnote w:id="6">
    <w:p w:rsidR="00C25011" w:rsidRPr="009506B2" w:rsidRDefault="00C25011" w:rsidP="009506B2">
      <w:pPr>
        <w:pStyle w:val="FootnoteText"/>
        <w:ind w:left="567" w:hanging="567"/>
        <w:rPr>
          <w:sz w:val="24"/>
          <w:lang w:val="pl-PL"/>
        </w:rPr>
      </w:pPr>
      <w:r w:rsidRPr="009506B2">
        <w:rPr>
          <w:rStyle w:val="FootnoteReference"/>
          <w:sz w:val="24"/>
          <w:lang w:val="pl-PL"/>
        </w:rPr>
        <w:footnoteRef/>
      </w:r>
      <w:r w:rsidR="009506B2" w:rsidRPr="009506B2">
        <w:rPr>
          <w:sz w:val="24"/>
          <w:lang w:val="pl-PL"/>
        </w:rPr>
        <w:t xml:space="preserve"> </w:t>
      </w:r>
      <w:r w:rsidR="009506B2" w:rsidRPr="009506B2">
        <w:rPr>
          <w:sz w:val="24"/>
          <w:lang w:val="pl-PL"/>
        </w:rPr>
        <w:tab/>
      </w:r>
      <w:r w:rsidRPr="009506B2">
        <w:rPr>
          <w:sz w:val="24"/>
          <w:lang w:val="pl-PL"/>
        </w:rPr>
        <w:t>Te</w:t>
      </w:r>
      <w:r w:rsidR="00D04A98">
        <w:rPr>
          <w:sz w:val="24"/>
          <w:lang w:val="pl-PL"/>
        </w:rPr>
        <w:t>ksty przyjęte, P7_TA(2013)0271.</w:t>
      </w:r>
    </w:p>
  </w:footnote>
  <w:footnote w:id="7">
    <w:p w:rsidR="00C25011" w:rsidRPr="009506B2" w:rsidRDefault="00C25011" w:rsidP="009506B2">
      <w:pPr>
        <w:pStyle w:val="FootnoteText"/>
        <w:ind w:left="567" w:hanging="567"/>
        <w:rPr>
          <w:sz w:val="24"/>
          <w:lang w:val="pl-PL"/>
        </w:rPr>
      </w:pPr>
      <w:r w:rsidRPr="009506B2">
        <w:rPr>
          <w:rStyle w:val="FootnoteReference"/>
          <w:sz w:val="24"/>
          <w:lang w:val="pl-PL"/>
        </w:rPr>
        <w:footnoteRef/>
      </w:r>
      <w:r w:rsidR="009506B2" w:rsidRPr="009506B2">
        <w:rPr>
          <w:sz w:val="24"/>
          <w:lang w:val="pl-PL"/>
        </w:rPr>
        <w:t xml:space="preserve"> </w:t>
      </w:r>
      <w:r w:rsidR="009506B2" w:rsidRPr="009506B2">
        <w:rPr>
          <w:sz w:val="24"/>
          <w:lang w:val="pl-PL"/>
        </w:rPr>
        <w:tab/>
      </w:r>
      <w:r w:rsidRPr="009506B2">
        <w:rPr>
          <w:sz w:val="24"/>
          <w:lang w:val="pl-PL"/>
        </w:rPr>
        <w:t xml:space="preserve">Sprawy połączone C-39/05 i C-52/05 P, Królestwo Szwecji i Maurizio </w:t>
      </w:r>
      <w:proofErr w:type="spellStart"/>
      <w:r w:rsidRPr="009506B2">
        <w:rPr>
          <w:sz w:val="24"/>
          <w:lang w:val="pl-PL"/>
        </w:rPr>
        <w:t>Turco</w:t>
      </w:r>
      <w:proofErr w:type="spellEnd"/>
      <w:r w:rsidRPr="009506B2">
        <w:rPr>
          <w:sz w:val="24"/>
          <w:lang w:val="pl-PL"/>
        </w:rPr>
        <w:t xml:space="preserve"> przeciwko Radzie Unii Europejskiej, </w:t>
      </w:r>
      <w:proofErr w:type="spellStart"/>
      <w:r w:rsidRPr="009506B2">
        <w:rPr>
          <w:sz w:val="24"/>
          <w:lang w:val="pl-PL"/>
        </w:rPr>
        <w:t>Zb.Orz</w:t>
      </w:r>
      <w:proofErr w:type="spellEnd"/>
      <w:r w:rsidRPr="009506B2">
        <w:rPr>
          <w:sz w:val="24"/>
          <w:lang w:val="pl-PL"/>
        </w:rPr>
        <w:t>. 2008 I-04723.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9506B2" w:rsidRDefault="000640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6657C5" w:rsidRDefault="00064002" w:rsidP="006657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9506B2" w:rsidRDefault="000640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9-0032/2019"/>
    <w:docVar w:name="dvlangue" w:val="PL"/>
    <w:docVar w:name="dvnumam" w:val="0"/>
    <w:docVar w:name="dvpe" w:val="639.781"/>
    <w:docVar w:name="dvrapporteur" w:val="Sprawozdawca: "/>
    <w:docVar w:name="dvtitre" w:val="Rezolucja Parlamentu Europejskiego z dnia  2020 r. w sprawie działalności Europejskiego Rzecznika Praw Obywatelskich – sprawozdanie roczne za 2018 r.(2019/2134(INI))"/>
  </w:docVars>
  <w:rsids>
    <w:rsidRoot w:val="00FE34C1"/>
    <w:rsid w:val="00002272"/>
    <w:rsid w:val="00064002"/>
    <w:rsid w:val="000677B9"/>
    <w:rsid w:val="000831BA"/>
    <w:rsid w:val="000A42CC"/>
    <w:rsid w:val="000E7DD9"/>
    <w:rsid w:val="0010095E"/>
    <w:rsid w:val="00125B37"/>
    <w:rsid w:val="00162A3B"/>
    <w:rsid w:val="00187494"/>
    <w:rsid w:val="001F32AE"/>
    <w:rsid w:val="00242D9C"/>
    <w:rsid w:val="002767FF"/>
    <w:rsid w:val="002B18FE"/>
    <w:rsid w:val="002B5493"/>
    <w:rsid w:val="002B678E"/>
    <w:rsid w:val="00343214"/>
    <w:rsid w:val="00361C00"/>
    <w:rsid w:val="00395FA1"/>
    <w:rsid w:val="003E15D4"/>
    <w:rsid w:val="00411CCE"/>
    <w:rsid w:val="0041666E"/>
    <w:rsid w:val="00421060"/>
    <w:rsid w:val="00471C19"/>
    <w:rsid w:val="00494A28"/>
    <w:rsid w:val="004C0004"/>
    <w:rsid w:val="004C5D52"/>
    <w:rsid w:val="0050519A"/>
    <w:rsid w:val="005072A1"/>
    <w:rsid w:val="00514517"/>
    <w:rsid w:val="00545827"/>
    <w:rsid w:val="00560270"/>
    <w:rsid w:val="005C2568"/>
    <w:rsid w:val="006037C0"/>
    <w:rsid w:val="006631B6"/>
    <w:rsid w:val="006657C5"/>
    <w:rsid w:val="00680577"/>
    <w:rsid w:val="006F74FA"/>
    <w:rsid w:val="00731ADD"/>
    <w:rsid w:val="00734777"/>
    <w:rsid w:val="00747932"/>
    <w:rsid w:val="00751A4A"/>
    <w:rsid w:val="00756632"/>
    <w:rsid w:val="00762C74"/>
    <w:rsid w:val="00786EC0"/>
    <w:rsid w:val="007D1690"/>
    <w:rsid w:val="007E22AD"/>
    <w:rsid w:val="00811081"/>
    <w:rsid w:val="00817416"/>
    <w:rsid w:val="00842779"/>
    <w:rsid w:val="00865F67"/>
    <w:rsid w:val="00876774"/>
    <w:rsid w:val="00881A7B"/>
    <w:rsid w:val="008840E5"/>
    <w:rsid w:val="00887B3E"/>
    <w:rsid w:val="008C2AC6"/>
    <w:rsid w:val="00930C23"/>
    <w:rsid w:val="0093193B"/>
    <w:rsid w:val="009506B2"/>
    <w:rsid w:val="009509D8"/>
    <w:rsid w:val="00950B64"/>
    <w:rsid w:val="00981893"/>
    <w:rsid w:val="00A1687D"/>
    <w:rsid w:val="00A43E52"/>
    <w:rsid w:val="00A4678D"/>
    <w:rsid w:val="00A615E1"/>
    <w:rsid w:val="00A778C7"/>
    <w:rsid w:val="00AB441E"/>
    <w:rsid w:val="00AB6293"/>
    <w:rsid w:val="00AE0928"/>
    <w:rsid w:val="00AF3B82"/>
    <w:rsid w:val="00B12E95"/>
    <w:rsid w:val="00B20622"/>
    <w:rsid w:val="00B22876"/>
    <w:rsid w:val="00B558F0"/>
    <w:rsid w:val="00B75BE6"/>
    <w:rsid w:val="00BD48FE"/>
    <w:rsid w:val="00BD7BD8"/>
    <w:rsid w:val="00BE6ADC"/>
    <w:rsid w:val="00C05BFE"/>
    <w:rsid w:val="00C23CD4"/>
    <w:rsid w:val="00C25011"/>
    <w:rsid w:val="00C61C0C"/>
    <w:rsid w:val="00C941CB"/>
    <w:rsid w:val="00CC2357"/>
    <w:rsid w:val="00CF071A"/>
    <w:rsid w:val="00D04A98"/>
    <w:rsid w:val="00D058B8"/>
    <w:rsid w:val="00D56C11"/>
    <w:rsid w:val="00D834A0"/>
    <w:rsid w:val="00D872DF"/>
    <w:rsid w:val="00D91E21"/>
    <w:rsid w:val="00DA7FCD"/>
    <w:rsid w:val="00E23D35"/>
    <w:rsid w:val="00E365E1"/>
    <w:rsid w:val="00E820A4"/>
    <w:rsid w:val="00EB006A"/>
    <w:rsid w:val="00EB4772"/>
    <w:rsid w:val="00ED169E"/>
    <w:rsid w:val="00ED4235"/>
    <w:rsid w:val="00F04346"/>
    <w:rsid w:val="00F075DC"/>
    <w:rsid w:val="00F149E9"/>
    <w:rsid w:val="00F5134D"/>
    <w:rsid w:val="00F87713"/>
    <w:rsid w:val="00FB4360"/>
    <w:rsid w:val="00FD0C70"/>
    <w:rsid w:val="00FE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8E731-9794-4D8B-B36E-ADFEB51E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CD"/>
    <w:pPr>
      <w:widowControl w:val="0"/>
    </w:pPr>
    <w:rPr>
      <w:sz w:val="24"/>
      <w:lang w:val="pl-PL"/>
    </w:rPr>
  </w:style>
  <w:style w:type="paragraph" w:styleId="Heading1">
    <w:name w:val="heading 1"/>
    <w:basedOn w:val="Normal"/>
    <w:next w:val="Normal"/>
    <w:semiHidden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semiHidden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semiHidden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semiHidden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semiHidden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EPBodyTA2">
    <w:name w:val="EPBodyTA2"/>
    <w:basedOn w:val="Normal"/>
    <w:rsid w:val="00AE0928"/>
    <w:pPr>
      <w:jc w:val="center"/>
    </w:pPr>
    <w:rPr>
      <w:rFonts w:ascii="Arial" w:hAnsi="Arial"/>
      <w:bCs/>
      <w:i/>
      <w:sz w:val="20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TA1">
    <w:name w:val="EPBodyTA1"/>
    <w:basedOn w:val="Normal"/>
    <w:rsid w:val="00AE0928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LineTop">
    <w:name w:val="LineTop"/>
    <w:basedOn w:val="Normal"/>
    <w:next w:val="Normal"/>
    <w:rsid w:val="00D058B8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A1687D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sz w:val="28"/>
      <w:lang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sz w:val="28"/>
      <w:lang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lang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eastAsia="fr-FR"/>
    </w:rPr>
  </w:style>
  <w:style w:type="character" w:styleId="FootnoteReference">
    <w:name w:val="footnote reference"/>
    <w:uiPriority w:val="99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762C74"/>
    <w:rPr>
      <w:sz w:val="22"/>
      <w:lang w:val="fr-FR" w:eastAsia="fr-FR"/>
    </w:rPr>
  </w:style>
  <w:style w:type="character" w:styleId="PageNumber">
    <w:name w:val="page number"/>
    <w:semiHidden/>
    <w:rsid w:val="00395FA1"/>
  </w:style>
  <w:style w:type="paragraph" w:styleId="TOC2">
    <w:name w:val="toc 2"/>
    <w:basedOn w:val="Normal"/>
    <w:next w:val="Normal"/>
    <w:autoRedefine/>
    <w:semiHidden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semiHidden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customStyle="1" w:styleId="Normal12">
    <w:name w:val="Normal12"/>
    <w:basedOn w:val="Normal"/>
    <w:rsid w:val="00C25011"/>
    <w:pPr>
      <w:spacing w:after="240"/>
    </w:pPr>
  </w:style>
  <w:style w:type="paragraph" w:customStyle="1" w:styleId="Normal12Hanging">
    <w:name w:val="Normal12Hanging"/>
    <w:basedOn w:val="Normal12"/>
    <w:rsid w:val="00C25011"/>
    <w:pPr>
      <w:ind w:left="567" w:hanging="567"/>
    </w:pPr>
  </w:style>
  <w:style w:type="paragraph" w:customStyle="1" w:styleId="Normal12Hanging0">
    <w:name w:val="Normal12Hanging0"/>
    <w:qFormat/>
    <w:rsid w:val="00C25011"/>
    <w:pPr>
      <w:widowControl w:val="0"/>
      <w:spacing w:after="240"/>
      <w:ind w:left="567" w:hanging="567"/>
    </w:pPr>
    <w:rPr>
      <w:sz w:val="24"/>
      <w:lang w:val="pl-PL"/>
    </w:rPr>
  </w:style>
  <w:style w:type="paragraph" w:customStyle="1" w:styleId="NormalHanging12a">
    <w:name w:val="NormalHanging12a"/>
    <w:basedOn w:val="Normal"/>
    <w:link w:val="NormalHanging12aChar"/>
    <w:rsid w:val="00C25011"/>
    <w:pPr>
      <w:spacing w:after="240"/>
      <w:ind w:left="567" w:hanging="567"/>
    </w:pPr>
    <w:rPr>
      <w:noProof/>
    </w:rPr>
  </w:style>
  <w:style w:type="character" w:customStyle="1" w:styleId="NormalHanging12aChar">
    <w:name w:val="NormalHanging12a Char"/>
    <w:basedOn w:val="DefaultParagraphFont"/>
    <w:link w:val="NormalHanging12a"/>
    <w:rsid w:val="00C25011"/>
    <w:rPr>
      <w:noProof/>
      <w:sz w:val="24"/>
      <w:lang w:val="pl-PL"/>
    </w:rPr>
  </w:style>
  <w:style w:type="paragraph" w:customStyle="1" w:styleId="AMNumberTabs">
    <w:name w:val="AMNumberTabs"/>
    <w:basedOn w:val="Normal"/>
    <w:rsid w:val="00C25011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styleId="BalloonText">
    <w:name w:val="Balloon Text"/>
    <w:basedOn w:val="Normal"/>
    <w:link w:val="BalloonTextChar"/>
    <w:rsid w:val="002B6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678E"/>
    <w:rPr>
      <w:rFonts w:ascii="Segoe UI" w:hAnsi="Segoe UI" w:cs="Segoe UI"/>
      <w:sz w:val="18"/>
      <w:szCs w:val="18"/>
      <w:lang w:val="pl-PL"/>
    </w:rPr>
  </w:style>
  <w:style w:type="paragraph" w:styleId="Header">
    <w:name w:val="header"/>
    <w:basedOn w:val="Normal"/>
    <w:link w:val="HeaderChar"/>
    <w:rsid w:val="00665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57C5"/>
    <w:rPr>
      <w:sz w:val="24"/>
      <w:lang w:val="pl-PL"/>
    </w:rPr>
  </w:style>
  <w:style w:type="paragraph" w:styleId="Footer">
    <w:name w:val="footer"/>
    <w:basedOn w:val="Normal"/>
    <w:link w:val="FooterChar"/>
    <w:rsid w:val="00665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57C5"/>
    <w:rPr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3922</Words>
  <Characters>26586</Characters>
  <Application>Microsoft Office Word</Application>
  <DocSecurity>0</DocSecurity>
  <Lines>221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/>
  <LinksUpToDate>false</LinksUpToDate>
  <CharactersWithSpaces>30448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ZALESKI Tomasz</dc:creator>
  <cp:keywords/>
  <cp:lastModifiedBy>FRACZEK Piotr</cp:lastModifiedBy>
  <cp:revision>2</cp:revision>
  <cp:lastPrinted>2004-11-19T15:42:00Z</cp:lastPrinted>
  <dcterms:created xsi:type="dcterms:W3CDTF">2020-04-07T07:27:00Z</dcterms:created>
  <dcterms:modified xsi:type="dcterms:W3CDTF">2020-04-07T07:27:00Z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PL</vt:lpwstr>
  </property>
  <property fmtid="{D5CDD505-2E9C-101B-9397-08002B2CF9AE}" pid="3" name="&lt;FdR&gt;">
    <vt:lpwstr>A9-0032/2019</vt:lpwstr>
  </property>
  <property fmtid="{D5CDD505-2E9C-101B-9397-08002B2CF9AE}" pid="4" name="&lt;Type&gt;">
    <vt:lpwstr>RR</vt:lpwstr>
  </property>
</Properties>
</file>