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E51EA" w14:paraId="4C2DDBAD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75E5B0E" w14:textId="77777777" w:rsidR="00751A4A" w:rsidRPr="005E51EA" w:rsidRDefault="00D16C29" w:rsidP="0010095E">
            <w:pPr>
              <w:pStyle w:val="EPName"/>
            </w:pPr>
            <w:r w:rsidRPr="005E51EA">
              <w:t>Európai Parlament</w:t>
            </w:r>
          </w:p>
          <w:p w14:paraId="69D7E347" w14:textId="77777777" w:rsidR="00751A4A" w:rsidRPr="005E51EA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5E51EA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1A3707AB" w14:textId="77777777" w:rsidR="00751A4A" w:rsidRPr="005E51EA" w:rsidRDefault="00187494" w:rsidP="0010095E">
            <w:pPr>
              <w:pStyle w:val="EPLogo"/>
            </w:pPr>
            <w:r w:rsidRPr="005E51EA">
              <w:rPr>
                <w:noProof/>
                <w:lang w:eastAsia="hu-HU"/>
              </w:rPr>
              <w:drawing>
                <wp:inline distT="0" distB="0" distL="0" distR="0" wp14:anchorId="1EFE7170" wp14:editId="2252917B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14A4D" w14:textId="77777777" w:rsidR="00D058B8" w:rsidRPr="005E51EA" w:rsidRDefault="00D058B8" w:rsidP="004C5D52">
      <w:pPr>
        <w:pStyle w:val="LineTop"/>
      </w:pPr>
    </w:p>
    <w:p w14:paraId="479C2644" w14:textId="77777777" w:rsidR="00680577" w:rsidRPr="005E51EA" w:rsidRDefault="00D16C29" w:rsidP="00680577">
      <w:pPr>
        <w:pStyle w:val="EPBodyTA1"/>
      </w:pPr>
      <w:r w:rsidRPr="005E51EA">
        <w:t>ELFOGADOTT SZÖVEGEK</w:t>
      </w:r>
    </w:p>
    <w:p w14:paraId="3B75C938" w14:textId="77777777" w:rsidR="00D058B8" w:rsidRPr="005E51EA" w:rsidRDefault="00D058B8" w:rsidP="00D058B8">
      <w:pPr>
        <w:pStyle w:val="LineBottom"/>
      </w:pPr>
    </w:p>
    <w:p w14:paraId="30B5334D" w14:textId="58CFF9AE" w:rsidR="00D16C29" w:rsidRPr="005E51EA" w:rsidRDefault="00D16C29" w:rsidP="00D16C29">
      <w:pPr>
        <w:pStyle w:val="ATHeading1"/>
      </w:pPr>
      <w:bookmarkStart w:id="0" w:name="TANumber"/>
      <w:r w:rsidRPr="005E51EA">
        <w:t>P9_</w:t>
      </w:r>
      <w:proofErr w:type="gramStart"/>
      <w:r w:rsidRPr="005E51EA">
        <w:t>TA(</w:t>
      </w:r>
      <w:proofErr w:type="gramEnd"/>
      <w:r w:rsidRPr="005E51EA">
        <w:t>2020)</w:t>
      </w:r>
      <w:bookmarkEnd w:id="0"/>
      <w:r w:rsidR="00D80F5C" w:rsidRPr="005E51EA">
        <w:t>0141</w:t>
      </w:r>
    </w:p>
    <w:p w14:paraId="327DCF2A" w14:textId="0C9D8EAD" w:rsidR="00D16C29" w:rsidRPr="005E51EA" w:rsidRDefault="005F4B8B" w:rsidP="00D16C29">
      <w:pPr>
        <w:pStyle w:val="ATHeading2"/>
      </w:pPr>
      <w:bookmarkStart w:id="1" w:name="32"/>
      <w:bookmarkStart w:id="2" w:name="title"/>
      <w:bookmarkEnd w:id="1"/>
      <w:r w:rsidRPr="005E51EA">
        <w:rPr>
          <w:bCs/>
        </w:rPr>
        <w:t>Az Európai Globalizációs Alkalmazkodási Alap igénybevétele: Technikai segítségnyújtás a Bizottság kezdeményezésére</w:t>
      </w:r>
      <w:bookmarkEnd w:id="2"/>
      <w:r w:rsidR="00D16C29" w:rsidRPr="005E51EA">
        <w:t xml:space="preserve"> </w:t>
      </w:r>
      <w:bookmarkStart w:id="3" w:name="Etoiles"/>
      <w:bookmarkEnd w:id="3"/>
    </w:p>
    <w:p w14:paraId="1F814EF5" w14:textId="77777777" w:rsidR="00D16C29" w:rsidRPr="005E51EA" w:rsidRDefault="00D16C29" w:rsidP="00D16C29">
      <w:pPr>
        <w:rPr>
          <w:i/>
          <w:vanish/>
        </w:rPr>
      </w:pPr>
      <w:r w:rsidRPr="005E51EA">
        <w:rPr>
          <w:i/>
        </w:rPr>
        <w:fldChar w:fldCharType="begin"/>
      </w:r>
      <w:r w:rsidRPr="005E51EA">
        <w:rPr>
          <w:i/>
        </w:rPr>
        <w:instrText xml:space="preserve"> TC"(</w:instrText>
      </w:r>
      <w:bookmarkStart w:id="4" w:name="DocNumber"/>
      <w:r w:rsidRPr="005E51EA">
        <w:rPr>
          <w:i/>
        </w:rPr>
        <w:instrText>A9-0109/2020</w:instrText>
      </w:r>
      <w:bookmarkEnd w:id="4"/>
      <w:r w:rsidRPr="005E51EA">
        <w:rPr>
          <w:i/>
        </w:rPr>
        <w:instrText xml:space="preserve"> - Előadó: Victor </w:instrText>
      </w:r>
      <w:proofErr w:type="spellStart"/>
      <w:r w:rsidRPr="005E51EA">
        <w:rPr>
          <w:i/>
        </w:rPr>
        <w:instrText>Negrescu</w:instrText>
      </w:r>
      <w:proofErr w:type="spellEnd"/>
      <w:r w:rsidRPr="005E51EA">
        <w:rPr>
          <w:i/>
        </w:rPr>
        <w:instrText xml:space="preserve">)"\l3 \n&gt; \* MERGEFORMAT </w:instrText>
      </w:r>
      <w:r w:rsidRPr="005E51EA">
        <w:rPr>
          <w:i/>
        </w:rPr>
        <w:fldChar w:fldCharType="end"/>
      </w:r>
    </w:p>
    <w:p w14:paraId="3EBED888" w14:textId="77777777" w:rsidR="00D16C29" w:rsidRPr="005E51EA" w:rsidRDefault="00D16C29" w:rsidP="00D16C29">
      <w:pPr>
        <w:rPr>
          <w:vanish/>
        </w:rPr>
      </w:pPr>
      <w:bookmarkStart w:id="5" w:name="Commission"/>
      <w:r w:rsidRPr="005E51EA">
        <w:rPr>
          <w:vanish/>
        </w:rPr>
        <w:t>Költségvetési Bizottság</w:t>
      </w:r>
      <w:bookmarkEnd w:id="5"/>
    </w:p>
    <w:p w14:paraId="3A85B6D8" w14:textId="77777777" w:rsidR="00D16C29" w:rsidRPr="005E51EA" w:rsidRDefault="00D16C29" w:rsidP="00D16C29">
      <w:pPr>
        <w:rPr>
          <w:vanish/>
        </w:rPr>
      </w:pPr>
      <w:bookmarkStart w:id="6" w:name="PE"/>
      <w:r w:rsidRPr="005E51EA">
        <w:rPr>
          <w:vanish/>
        </w:rPr>
        <w:t>PE650.507</w:t>
      </w:r>
      <w:bookmarkEnd w:id="6"/>
    </w:p>
    <w:p w14:paraId="36C4435A" w14:textId="636FE229" w:rsidR="00D16C29" w:rsidRPr="005E51EA" w:rsidRDefault="00D16C29" w:rsidP="00D16C29">
      <w:pPr>
        <w:pStyle w:val="ATHeading3"/>
      </w:pPr>
      <w:bookmarkStart w:id="7" w:name="Sujet"/>
      <w:r w:rsidRPr="005E51EA">
        <w:t xml:space="preserve">Az Európai Parlament 2020. </w:t>
      </w:r>
      <w:r w:rsidR="005F4B8B" w:rsidRPr="005E51EA">
        <w:t>június 1</w:t>
      </w:r>
      <w:r w:rsidR="00B142D2">
        <w:t>8</w:t>
      </w:r>
      <w:r w:rsidRPr="005E51EA">
        <w:t>-i állásfoglalása az Európai Globalizációs Alkalmazkodási Alap igénybevételéről szóló európai parlamenti és tanácsi határozatra (EGF/2020/000 TA 2020 – Technikai segítségnyújtás a Bizottság kezdeményezésére)</w:t>
      </w:r>
      <w:bookmarkEnd w:id="7"/>
      <w:r w:rsidR="005074C1" w:rsidRPr="005E51EA">
        <w:t xml:space="preserve"> irányuló javaslatról</w:t>
      </w:r>
      <w:r w:rsidRPr="005E51EA">
        <w:t xml:space="preserve"> </w:t>
      </w:r>
      <w:bookmarkStart w:id="8" w:name="References"/>
      <w:r w:rsidRPr="005E51EA">
        <w:t>(</w:t>
      </w:r>
      <w:proofErr w:type="gramStart"/>
      <w:r w:rsidRPr="005E51EA">
        <w:t>COM(</w:t>
      </w:r>
      <w:proofErr w:type="gramEnd"/>
      <w:r w:rsidRPr="005E51EA">
        <w:t>2020)0146 – C9-0112/2020 – 2020/2062(BUD))</w:t>
      </w:r>
      <w:bookmarkEnd w:id="8"/>
    </w:p>
    <w:p w14:paraId="2258A718" w14:textId="77777777" w:rsidR="0090407A" w:rsidRPr="005E51EA" w:rsidRDefault="0090407A" w:rsidP="0090407A">
      <w:pPr>
        <w:pStyle w:val="EPComma"/>
      </w:pPr>
      <w:bookmarkStart w:id="9" w:name="TextBodyBegin"/>
      <w:bookmarkEnd w:id="9"/>
      <w:r w:rsidRPr="005E51EA">
        <w:rPr>
          <w:i/>
        </w:rPr>
        <w:t>Az Európai Parlament,</w:t>
      </w:r>
    </w:p>
    <w:p w14:paraId="3E0EFD90" w14:textId="77777777" w:rsidR="0090407A" w:rsidRPr="005E51EA" w:rsidRDefault="0090407A" w:rsidP="005F4B8B">
      <w:pPr>
        <w:pStyle w:val="NormalHanging12a"/>
        <w:widowControl/>
      </w:pPr>
      <w:r w:rsidRPr="005E51EA">
        <w:t>–</w:t>
      </w:r>
      <w:r w:rsidRPr="005E51EA">
        <w:tab/>
        <w:t>tekintettel a Bizottságnak az Európai Parlamenthez és a Tanácshoz intézett javaslatára (</w:t>
      </w:r>
      <w:proofErr w:type="gramStart"/>
      <w:r w:rsidRPr="005E51EA">
        <w:t>COM(</w:t>
      </w:r>
      <w:proofErr w:type="gramEnd"/>
      <w:r w:rsidRPr="005E51EA">
        <w:t>2020)0146 – C9-0112/2020),</w:t>
      </w:r>
    </w:p>
    <w:p w14:paraId="60225FD7" w14:textId="77777777" w:rsidR="0090407A" w:rsidRPr="005E51EA" w:rsidRDefault="0090407A" w:rsidP="005F4B8B">
      <w:pPr>
        <w:pStyle w:val="NormalHanging12a"/>
        <w:widowControl/>
      </w:pPr>
      <w:r w:rsidRPr="005E51EA">
        <w:t>–</w:t>
      </w:r>
      <w:r w:rsidRPr="005E51EA">
        <w:tab/>
        <w:t>tekintettel az Európai Globalizációs Alkalmazkodási Alap létrehozásáról (2014–2020) és az 1927/2006/EK rendelet hatályon kívül helyezéséről szóló, 2013. december 17-i 1309/2013/EU európai parlamenti és tanácsi rendeletre</w:t>
      </w:r>
      <w:r w:rsidRPr="005E51EA">
        <w:rPr>
          <w:rStyle w:val="FootnoteReference"/>
        </w:rPr>
        <w:footnoteReference w:id="1"/>
      </w:r>
      <w:r w:rsidRPr="005E51EA">
        <w:t>,</w:t>
      </w:r>
    </w:p>
    <w:p w14:paraId="21C3B5D7" w14:textId="77777777" w:rsidR="0090407A" w:rsidRPr="005E51EA" w:rsidRDefault="0090407A" w:rsidP="005F4B8B">
      <w:pPr>
        <w:pStyle w:val="NormalHanging12a"/>
        <w:widowControl/>
      </w:pPr>
      <w:r w:rsidRPr="005E51EA">
        <w:t>–</w:t>
      </w:r>
      <w:r w:rsidRPr="005E51EA">
        <w:tab/>
        <w:t>tekintettel a 2014–2020-as időszakra vonatkozó többéves pénzügyi keretről szóló, 2013. december 2-i 1311/2013/EU, Euratom tanácsi rendeletre</w:t>
      </w:r>
      <w:r w:rsidRPr="005E51EA">
        <w:rPr>
          <w:rStyle w:val="FootnoteReference"/>
        </w:rPr>
        <w:footnoteReference w:id="2"/>
      </w:r>
      <w:r w:rsidRPr="005E51EA">
        <w:t xml:space="preserve"> és különösen annak 12. cikkére,</w:t>
      </w:r>
    </w:p>
    <w:p w14:paraId="6C23C0CF" w14:textId="77777777" w:rsidR="0090407A" w:rsidRPr="005E51EA" w:rsidRDefault="0090407A" w:rsidP="005F4B8B">
      <w:pPr>
        <w:pStyle w:val="NormalHanging12a"/>
        <w:widowControl/>
      </w:pPr>
      <w:r w:rsidRPr="005E51EA">
        <w:t>–</w:t>
      </w:r>
      <w:r w:rsidRPr="005E51EA">
        <w:tab/>
        <w:t>tekintettel az Európai Parlament, a Tanács és a Bizottság közötti, a költségvetési fegyelemről, a költségvetési kérdésekben való együttműködésről és a hatékony és eredményes pénzgazdálkodásról szóló, 2013. december 2-i intézményközi megállapodásra</w:t>
      </w:r>
      <w:r w:rsidRPr="005E51EA">
        <w:rPr>
          <w:rStyle w:val="FootnoteReference"/>
        </w:rPr>
        <w:footnoteReference w:id="3"/>
      </w:r>
      <w:r w:rsidRPr="005E51EA">
        <w:t xml:space="preserve"> és különösen annak 13. pontjára,</w:t>
      </w:r>
    </w:p>
    <w:p w14:paraId="32A8BEE2" w14:textId="77777777" w:rsidR="0090407A" w:rsidRPr="005E51EA" w:rsidRDefault="0090407A" w:rsidP="005F4B8B">
      <w:pPr>
        <w:pStyle w:val="Normal12Hanging"/>
        <w:widowControl/>
      </w:pPr>
      <w:r w:rsidRPr="005E51EA">
        <w:t>–</w:t>
      </w:r>
      <w:r w:rsidRPr="005E51EA">
        <w:tab/>
        <w:t>tekintettel az Európai Globalizációs Alkalmazkodási Alap igénybevételéről szóló európai parlamenti és tanácsi határozatra (EGF/2019/000 TA 2019 – Technikai segítségnyújtás a Bizottság kezdeményezésére) irányuló javaslatról szóló, 2019. szeptember 18-i állásfoglalására</w:t>
      </w:r>
      <w:r w:rsidRPr="005E51EA">
        <w:rPr>
          <w:rStyle w:val="FootnoteReference"/>
        </w:rPr>
        <w:footnoteReference w:id="4"/>
      </w:r>
      <w:r w:rsidRPr="005E51EA">
        <w:t xml:space="preserve">, </w:t>
      </w:r>
    </w:p>
    <w:p w14:paraId="0EAFBD58" w14:textId="77777777" w:rsidR="0090407A" w:rsidRPr="005E51EA" w:rsidRDefault="0090407A" w:rsidP="005F4B8B">
      <w:pPr>
        <w:pStyle w:val="Normal12Hanging"/>
        <w:widowControl/>
      </w:pPr>
      <w:r w:rsidRPr="005E51EA">
        <w:rPr>
          <w:rFonts w:ascii="Symbol" w:hAnsi="Symbol"/>
        </w:rPr>
        <w:lastRenderedPageBreak/>
        <w:t></w:t>
      </w:r>
      <w:r w:rsidRPr="005E51EA">
        <w:rPr>
          <w:rFonts w:ascii="Symbol" w:hAnsi="Symbol"/>
        </w:rPr>
        <w:tab/>
      </w:r>
      <w:proofErr w:type="gramStart"/>
      <w:r w:rsidRPr="005E51EA">
        <w:t>tekintettel</w:t>
      </w:r>
      <w:proofErr w:type="gramEnd"/>
      <w:r w:rsidRPr="005E51EA">
        <w:t xml:space="preserve"> az Európai Globalizációs Alkalmazkodási Alapról (EGAA) szóló európai parlamenti és tanácsi rendeletre irányuló javaslatról szóló első olvasatára</w:t>
      </w:r>
      <w:r w:rsidRPr="005E51EA">
        <w:rPr>
          <w:rStyle w:val="FootnoteReference"/>
        </w:rPr>
        <w:footnoteReference w:id="5"/>
      </w:r>
      <w:r w:rsidRPr="005E51EA">
        <w:t xml:space="preserve">, </w:t>
      </w:r>
    </w:p>
    <w:p w14:paraId="06FF9943" w14:textId="77777777" w:rsidR="0090407A" w:rsidRPr="005E51EA" w:rsidRDefault="0090407A" w:rsidP="005F4B8B">
      <w:pPr>
        <w:pStyle w:val="Normal12Hanging"/>
        <w:widowControl/>
      </w:pPr>
      <w:r w:rsidRPr="005E51EA">
        <w:rPr>
          <w:rFonts w:ascii="Symbol" w:hAnsi="Symbol"/>
        </w:rPr>
        <w:t></w:t>
      </w:r>
      <w:r w:rsidRPr="005E51EA">
        <w:rPr>
          <w:rFonts w:ascii="Symbol" w:hAnsi="Symbol"/>
        </w:rPr>
        <w:tab/>
      </w:r>
      <w:proofErr w:type="gramStart"/>
      <w:r w:rsidRPr="005E51EA">
        <w:t>tekintettel</w:t>
      </w:r>
      <w:proofErr w:type="gramEnd"/>
      <w:r w:rsidRPr="005E51EA">
        <w:t xml:space="preserve"> a 2013. december 2-i intézményközi megállapodás 13. pontjában foglalt háromoldalú egyeztető eljárásra,</w:t>
      </w:r>
    </w:p>
    <w:p w14:paraId="16A74CF9" w14:textId="77777777" w:rsidR="0090407A" w:rsidRPr="005E51EA" w:rsidRDefault="0090407A" w:rsidP="005F4B8B">
      <w:pPr>
        <w:pStyle w:val="Normal12Hanging"/>
        <w:widowControl/>
      </w:pPr>
      <w:r w:rsidRPr="005E51EA">
        <w:t>–</w:t>
      </w:r>
      <w:r w:rsidRPr="005E51EA">
        <w:tab/>
        <w:t>tekintettel a Költségvetési Bizottság jelentésére (A9-0109/2020),</w:t>
      </w:r>
    </w:p>
    <w:p w14:paraId="2B40B7B0" w14:textId="77777777" w:rsidR="0090407A" w:rsidRPr="005E51EA" w:rsidRDefault="0090407A" w:rsidP="005F4B8B">
      <w:pPr>
        <w:pStyle w:val="Normal12Hanging"/>
        <w:widowControl/>
      </w:pPr>
      <w:proofErr w:type="gramStart"/>
      <w:r w:rsidRPr="005E51EA">
        <w:t>A.</w:t>
      </w:r>
      <w:proofErr w:type="gramEnd"/>
      <w:r w:rsidRPr="005E51EA">
        <w:tab/>
        <w:t xml:space="preserve">mivel az Unió létrehozta a jogalkotási és költségvetési eszközöket ahhoz, hogy további támogatást nyújtson a világkereskedelem fő </w:t>
      </w:r>
      <w:proofErr w:type="gramStart"/>
      <w:r w:rsidRPr="005E51EA">
        <w:t>strukturális</w:t>
      </w:r>
      <w:proofErr w:type="gramEnd"/>
      <w:r w:rsidRPr="005E51EA">
        <w:t xml:space="preserve"> változásainak következményei által sújtott vagy a globális pénzügyi és gazdasági válság következtében elbocsátott munkavállalóknak, és támogassa szükséges és azonnali újbóli munkaerőpiaci beilleszkedésüket;</w:t>
      </w:r>
    </w:p>
    <w:p w14:paraId="6CD39C7F" w14:textId="77777777" w:rsidR="0090407A" w:rsidRPr="005E51EA" w:rsidRDefault="0090407A" w:rsidP="005F4B8B">
      <w:pPr>
        <w:pStyle w:val="Normal12Hanging"/>
        <w:widowControl/>
        <w:rPr>
          <w:bdr w:val="none" w:sz="0" w:space="0" w:color="auto" w:frame="1"/>
        </w:rPr>
      </w:pPr>
      <w:r w:rsidRPr="005E51EA">
        <w:rPr>
          <w:bdr w:val="none" w:sz="0" w:space="0" w:color="auto" w:frame="1"/>
        </w:rPr>
        <w:t>B.</w:t>
      </w:r>
      <w:r w:rsidRPr="005E51EA">
        <w:rPr>
          <w:bdr w:val="none" w:sz="0" w:space="0" w:color="auto" w:frame="1"/>
        </w:rPr>
        <w:tab/>
      </w:r>
      <w:r w:rsidRPr="005E51EA">
        <w:t>mivel az Unió által az elbocsátott munkavállalók részére nyújtott támogatásnak dinamikusnak kell lennie, és azt a lehető leggyorsabban és leghatékonyabban kell rendelkezésre bocsátani, összhangban a 2008. július 17-i egyeztető ülésen elfogadott európai parlamenti, tanácsi és bizottsági közös nyilatkozattal, és kellően figyelembe véve a 2013. december 2-i intézményközi megállapodást az Európai Globalizációs Alkalmazkodási Alap (EGAA) igénybevételéről szóló határozatok elfogadása tekintetében;</w:t>
      </w:r>
    </w:p>
    <w:p w14:paraId="0D27B1DF" w14:textId="7B6EEBB6" w:rsidR="0090407A" w:rsidRPr="005E51EA" w:rsidRDefault="0090407A" w:rsidP="005F4B8B">
      <w:pPr>
        <w:pStyle w:val="Normal12Hanging"/>
        <w:widowControl/>
        <w:rPr>
          <w:bdr w:val="none" w:sz="0" w:space="0" w:color="auto" w:frame="1"/>
        </w:rPr>
      </w:pPr>
      <w:proofErr w:type="gramStart"/>
      <w:r w:rsidRPr="005E51EA">
        <w:rPr>
          <w:bdr w:val="none" w:sz="0" w:space="0" w:color="auto" w:frame="1"/>
        </w:rPr>
        <w:t>C.</w:t>
      </w:r>
      <w:r w:rsidRPr="005E51EA">
        <w:rPr>
          <w:bdr w:val="none" w:sz="0" w:space="0" w:color="auto" w:frame="1"/>
        </w:rPr>
        <w:tab/>
        <w:t>mivel az 1309/2013/EU rendelet elfogadása tükrözi a Parlament és a Tanács között elért megállapodást, amely szerint újra bevezetik a válsághoz kapcsolódó igénybevétel kritériumát, 60</w:t>
      </w:r>
      <w:r w:rsidR="005074C1" w:rsidRPr="005E51EA">
        <w:rPr>
          <w:bdr w:val="none" w:sz="0" w:space="0" w:color="auto" w:frame="1"/>
        </w:rPr>
        <w:t xml:space="preserve"> </w:t>
      </w:r>
      <w:r w:rsidRPr="005E51EA">
        <w:rPr>
          <w:bdr w:val="none" w:sz="0" w:space="0" w:color="auto" w:frame="1"/>
        </w:rPr>
        <w:t>%-</w:t>
      </w:r>
      <w:proofErr w:type="spellStart"/>
      <w:r w:rsidRPr="005E51EA">
        <w:rPr>
          <w:bdr w:val="none" w:sz="0" w:space="0" w:color="auto" w:frame="1"/>
        </w:rPr>
        <w:t>ra</w:t>
      </w:r>
      <w:proofErr w:type="spellEnd"/>
      <w:r w:rsidRPr="005E51EA">
        <w:rPr>
          <w:bdr w:val="none" w:sz="0" w:space="0" w:color="auto" w:frame="1"/>
        </w:rPr>
        <w:t xml:space="preserve"> növelik a javasolt intézkedések becsült összköltségéhez nyújtott uniós pénzügyi hozzájárulást, az értékelésre és a jóváhagyásra rendelkezésre álló idő lerövidítése révén növelik az EGAA-kérelmek feldolgozásának hatékonyságát a Bizottságban, a Parlamentben és a Tanácsban, az önálló vállalkozók és a fiatalok bevonásával szélesítik a támogatásra jogosult intézkedések és kedvezményezettek körét, valamint támogatják</w:t>
      </w:r>
      <w:proofErr w:type="gramEnd"/>
      <w:r w:rsidRPr="005E51EA">
        <w:rPr>
          <w:bdr w:val="none" w:sz="0" w:space="0" w:color="auto" w:frame="1"/>
        </w:rPr>
        <w:t xml:space="preserve"> </w:t>
      </w:r>
      <w:proofErr w:type="gramStart"/>
      <w:r w:rsidRPr="005E51EA">
        <w:rPr>
          <w:bdr w:val="none" w:sz="0" w:space="0" w:color="auto" w:frame="1"/>
        </w:rPr>
        <w:t>az</w:t>
      </w:r>
      <w:proofErr w:type="gramEnd"/>
      <w:r w:rsidRPr="005E51EA">
        <w:rPr>
          <w:bdr w:val="none" w:sz="0" w:space="0" w:color="auto" w:frame="1"/>
        </w:rPr>
        <w:t xml:space="preserve"> új vállalkozások létrehozását elősegítő kezdeményezéseket;</w:t>
      </w:r>
    </w:p>
    <w:p w14:paraId="46DF63B2" w14:textId="2E0D8A06" w:rsidR="0090407A" w:rsidRPr="005E51EA" w:rsidRDefault="0090407A" w:rsidP="005F4B8B">
      <w:pPr>
        <w:pStyle w:val="Normal12Hanging"/>
        <w:widowControl/>
        <w:rPr>
          <w:bdr w:val="none" w:sz="0" w:space="0" w:color="auto" w:frame="1"/>
        </w:rPr>
      </w:pPr>
      <w:proofErr w:type="gramStart"/>
      <w:r w:rsidRPr="005E51EA">
        <w:rPr>
          <w:bdr w:val="none" w:sz="0" w:space="0" w:color="auto" w:frame="1"/>
        </w:rPr>
        <w:t>D.</w:t>
      </w:r>
      <w:r w:rsidRPr="005E51EA">
        <w:rPr>
          <w:bdr w:val="none" w:sz="0" w:space="0" w:color="auto" w:frame="1"/>
        </w:rPr>
        <w:tab/>
      </w:r>
      <w:r w:rsidRPr="005E51EA">
        <w:t>mivel az EGAA keretében rendelkezésre álló maximális éves költségvetés 2011-es árakon 150 millió EUR, és mivel az 1309/2013/EU rendelet 11. cikkének (1) bekezdése kimondja, hogy a Bizottság kezdeményezésére ezen összeg legfeljebb 0,5</w:t>
      </w:r>
      <w:r w:rsidR="005074C1" w:rsidRPr="005E51EA">
        <w:t xml:space="preserve"> </w:t>
      </w:r>
      <w:r w:rsidRPr="005E51EA">
        <w:t>%-a – azaz 2020-as árakon 179 264 000 EUR – bocsátható rendelkezésre technikai segítségnyújtás céljából az 1309/2013/EU rendelet végrehajtásához szükséges előkészületek, nyomon követés, adatgyűjtés és tudásalap létrehozása, az igazgatási és technikai támogatás, valamint tájékoztatási és kommunikációs tevékenységek, továbbá az audit-, az ellenőrzési és az értékelési</w:t>
      </w:r>
      <w:proofErr w:type="gramEnd"/>
      <w:r w:rsidRPr="005E51EA">
        <w:t xml:space="preserve"> tevékenységek </w:t>
      </w:r>
      <w:proofErr w:type="gramStart"/>
      <w:r w:rsidRPr="005E51EA">
        <w:t>finanszírozására</w:t>
      </w:r>
      <w:proofErr w:type="gramEnd"/>
      <w:r w:rsidRPr="005E51EA">
        <w:t>;</w:t>
      </w:r>
    </w:p>
    <w:p w14:paraId="03007989" w14:textId="5874D13C" w:rsidR="0090407A" w:rsidRPr="005E51EA" w:rsidRDefault="0090407A" w:rsidP="005F4B8B">
      <w:pPr>
        <w:pStyle w:val="Normal12Hanging"/>
        <w:widowControl/>
        <w:rPr>
          <w:bdr w:val="none" w:sz="0" w:space="0" w:color="auto" w:frame="1"/>
        </w:rPr>
      </w:pPr>
      <w:r w:rsidRPr="005E51EA">
        <w:rPr>
          <w:bdr w:val="none" w:sz="0" w:space="0" w:color="auto" w:frame="1"/>
        </w:rPr>
        <w:t>E.</w:t>
      </w:r>
      <w:r w:rsidRPr="005E51EA">
        <w:rPr>
          <w:bdr w:val="none" w:sz="0" w:space="0" w:color="auto" w:frame="1"/>
        </w:rPr>
        <w:tab/>
      </w:r>
      <w:proofErr w:type="gramStart"/>
      <w:r w:rsidRPr="005E51EA">
        <w:t>mivel</w:t>
      </w:r>
      <w:proofErr w:type="gramEnd"/>
      <w:r w:rsidRPr="005E51EA">
        <w:t xml:space="preserve"> a javasolt 345 000 EUR összeg az EGAA keretében 2020-ra rendelkezésre álló maximális éves költségvetés mintegy 0,19</w:t>
      </w:r>
      <w:r w:rsidR="005074C1" w:rsidRPr="005E51EA">
        <w:t xml:space="preserve"> </w:t>
      </w:r>
      <w:r w:rsidRPr="005E51EA">
        <w:t>%-a;</w:t>
      </w:r>
    </w:p>
    <w:p w14:paraId="44433664" w14:textId="3B15464E" w:rsidR="0090407A" w:rsidRPr="005E51EA" w:rsidRDefault="0090407A" w:rsidP="005F4B8B">
      <w:pPr>
        <w:pStyle w:val="Normal12Hanging"/>
        <w:widowControl/>
        <w:rPr>
          <w:bdr w:val="none" w:sz="0" w:space="0" w:color="auto" w:frame="1"/>
        </w:rPr>
      </w:pPr>
      <w:r w:rsidRPr="005E51EA">
        <w:t>1.</w:t>
      </w:r>
      <w:r w:rsidRPr="005E51EA">
        <w:tab/>
      </w:r>
      <w:r w:rsidRPr="005E51EA">
        <w:rPr>
          <w:bdr w:val="none" w:sz="0" w:space="0" w:color="auto" w:frame="1"/>
        </w:rPr>
        <w:t>egyetért az</w:t>
      </w:r>
      <w:r w:rsidR="005074C1" w:rsidRPr="005E51EA">
        <w:rPr>
          <w:bdr w:val="none" w:sz="0" w:space="0" w:color="auto" w:frame="1"/>
        </w:rPr>
        <w:t>okk</w:t>
      </w:r>
      <w:r w:rsidRPr="005E51EA">
        <w:rPr>
          <w:bdr w:val="none" w:sz="0" w:space="0" w:color="auto" w:frame="1"/>
        </w:rPr>
        <w:t>al</w:t>
      </w:r>
      <w:r w:rsidR="005074C1" w:rsidRPr="005E51EA">
        <w:rPr>
          <w:bdr w:val="none" w:sz="0" w:space="0" w:color="auto" w:frame="1"/>
        </w:rPr>
        <w:t xml:space="preserve"> az intézkedésekkel, amelyeket</w:t>
      </w:r>
      <w:r w:rsidRPr="005E51EA">
        <w:rPr>
          <w:bdr w:val="none" w:sz="0" w:space="0" w:color="auto" w:frame="1"/>
        </w:rPr>
        <w:t xml:space="preserve"> a Bizottság technikai segítségnyújtásként</w:t>
      </w:r>
      <w:r w:rsidR="005074C1" w:rsidRPr="005E51EA">
        <w:rPr>
          <w:bdr w:val="none" w:sz="0" w:space="0" w:color="auto" w:frame="1"/>
        </w:rPr>
        <w:t xml:space="preserve"> javasol</w:t>
      </w:r>
      <w:r w:rsidRPr="005E51EA">
        <w:rPr>
          <w:bdr w:val="none" w:sz="0" w:space="0" w:color="auto" w:frame="1"/>
        </w:rPr>
        <w:t xml:space="preserve"> </w:t>
      </w:r>
      <w:proofErr w:type="gramStart"/>
      <w:r w:rsidRPr="005E51EA">
        <w:rPr>
          <w:bdr w:val="none" w:sz="0" w:space="0" w:color="auto" w:frame="1"/>
        </w:rPr>
        <w:t>finanszíroz</w:t>
      </w:r>
      <w:r w:rsidR="005074C1" w:rsidRPr="005E51EA">
        <w:rPr>
          <w:bdr w:val="none" w:sz="0" w:space="0" w:color="auto" w:frame="1"/>
        </w:rPr>
        <w:t>ni</w:t>
      </w:r>
      <w:proofErr w:type="gramEnd"/>
      <w:r w:rsidRPr="005E51EA">
        <w:rPr>
          <w:bdr w:val="none" w:sz="0" w:space="0" w:color="auto" w:frame="1"/>
        </w:rPr>
        <w:t xml:space="preserve"> az 1309/2013/EU rendelet 11. cikkének (1) és (4) bekezdésében, valamint 12. cikkének (2), (3) és (4) bekezdésében foglaltakkal összhangban;</w:t>
      </w:r>
    </w:p>
    <w:p w14:paraId="618A67F4" w14:textId="77777777" w:rsidR="0090407A" w:rsidRPr="005E51EA" w:rsidRDefault="0090407A" w:rsidP="005F4B8B">
      <w:pPr>
        <w:pStyle w:val="Normal12Hanging"/>
        <w:widowControl/>
        <w:rPr>
          <w:bdr w:val="none" w:sz="0" w:space="0" w:color="auto" w:frame="1"/>
        </w:rPr>
      </w:pPr>
      <w:r w:rsidRPr="005E51EA">
        <w:rPr>
          <w:bdr w:val="none" w:sz="0" w:space="0" w:color="auto" w:frame="1"/>
        </w:rPr>
        <w:lastRenderedPageBreak/>
        <w:t>2.</w:t>
      </w:r>
      <w:r w:rsidRPr="005E51EA">
        <w:rPr>
          <w:bdr w:val="none" w:sz="0" w:space="0" w:color="auto" w:frame="1"/>
        </w:rPr>
        <w:tab/>
        <w:t xml:space="preserve">elismeri a nyomon követés és az adatgyűjtés jelentőségét; emlékeztet arra, hogy milyen fontos a megfelelő formában összegzett, megbízható statisztikai sorozatok könnyű hozzáférhetősége és érthetősége; megismétli, hogy naprakész kutatásra és elemzésre van szükség a Covid19 által a </w:t>
      </w:r>
      <w:proofErr w:type="gramStart"/>
      <w:r w:rsidRPr="005E51EA">
        <w:rPr>
          <w:bdr w:val="none" w:sz="0" w:space="0" w:color="auto" w:frame="1"/>
        </w:rPr>
        <w:t>globális</w:t>
      </w:r>
      <w:proofErr w:type="gramEnd"/>
      <w:r w:rsidRPr="005E51EA">
        <w:rPr>
          <w:bdr w:val="none" w:sz="0" w:space="0" w:color="auto" w:frame="1"/>
        </w:rPr>
        <w:t xml:space="preserve"> piacon támasztott jelenlegi kihívásokról;</w:t>
      </w:r>
    </w:p>
    <w:p w14:paraId="15C2F361" w14:textId="77777777" w:rsidR="0090407A" w:rsidRPr="005E51EA" w:rsidRDefault="0090407A" w:rsidP="005F4B8B">
      <w:pPr>
        <w:pStyle w:val="Normal12Hanging"/>
        <w:widowControl/>
      </w:pPr>
      <w:r w:rsidRPr="005E51EA">
        <w:t>3.</w:t>
      </w:r>
      <w:r w:rsidRPr="005E51EA">
        <w:tab/>
        <w:t>megismétli, hogy az EGAA-</w:t>
      </w:r>
      <w:proofErr w:type="spellStart"/>
      <w:r w:rsidRPr="005E51EA">
        <w:t>val</w:t>
      </w:r>
      <w:proofErr w:type="spellEnd"/>
      <w:r w:rsidRPr="005E51EA">
        <w:t xml:space="preserve"> kapcsolatos részletes </w:t>
      </w:r>
      <w:proofErr w:type="gramStart"/>
      <w:r w:rsidRPr="005E51EA">
        <w:t>információkat</w:t>
      </w:r>
      <w:proofErr w:type="gramEnd"/>
      <w:r w:rsidRPr="005E51EA">
        <w:t xml:space="preserve"> tartalmazó, valamennyi uniós polgár számára hozzáférhető külön honlapra van szükség;</w:t>
      </w:r>
    </w:p>
    <w:p w14:paraId="72FF8DC0" w14:textId="77777777" w:rsidR="0090407A" w:rsidRPr="005E51EA" w:rsidRDefault="0090407A" w:rsidP="005F4B8B">
      <w:pPr>
        <w:pStyle w:val="Normal12Hanging"/>
        <w:widowControl/>
      </w:pPr>
      <w:r w:rsidRPr="005E51EA">
        <w:t>4.</w:t>
      </w:r>
      <w:r w:rsidRPr="005E51EA">
        <w:tab/>
        <w:t xml:space="preserve">üdvözli az EGAA-kérelmek szabványosított eljárásain folyamatosan zajló munkát, és azt, hogy az irányító szervek használják az elektronikus adatcsererendszer (SFC) </w:t>
      </w:r>
      <w:proofErr w:type="gramStart"/>
      <w:r w:rsidRPr="005E51EA">
        <w:t>funkcióit</w:t>
      </w:r>
      <w:proofErr w:type="gramEnd"/>
      <w:r w:rsidRPr="005E51EA">
        <w:t>, ami lehetővé teszi a kérelmek egyszerűsítését és gyorsabb feldolgozását, továbbá a jelentéstétel javítását;</w:t>
      </w:r>
    </w:p>
    <w:p w14:paraId="50EE03D2" w14:textId="77777777" w:rsidR="0090407A" w:rsidRPr="005E51EA" w:rsidRDefault="0090407A" w:rsidP="005F4B8B">
      <w:pPr>
        <w:pStyle w:val="Normal12Hanging"/>
        <w:widowControl/>
      </w:pPr>
      <w:r w:rsidRPr="005E51EA">
        <w:t>5.</w:t>
      </w:r>
      <w:r w:rsidRPr="005E51EA">
        <w:tab/>
        <w:t>tudomásul veszi, hogy a Bizottság a rendelkezésre álló költségvetést arra fogja felhasználni, hogy az EGAA-kapcsolattartók szakértői csoportja (tagállamonként egy tag) két ülést és – minden valószínűség szerint ezzel egyidejűleg – két szemináriumot tartson az EGAA végrehajtó szervei és a szociális partnerek részvételével a tagállamok közötti hálózatépítés előmozdítása érdekében;</w:t>
      </w:r>
    </w:p>
    <w:p w14:paraId="56157FE8" w14:textId="77777777" w:rsidR="0090407A" w:rsidRPr="005E51EA" w:rsidRDefault="0090407A" w:rsidP="005F4B8B">
      <w:pPr>
        <w:pStyle w:val="Normal12Hanging"/>
        <w:widowControl/>
      </w:pPr>
      <w:r w:rsidRPr="005E51EA">
        <w:t>6.</w:t>
      </w:r>
      <w:r w:rsidRPr="005E51EA">
        <w:tab/>
        <w:t xml:space="preserve">felhívja a Bizottságot, hogy továbbra is rendszeresen hívja meg a Parlamentet az ilyen ülésekre és szemináriumokra a Parlament és a Bizottság közötti keretmegállapodás vonatkozó rendelkezéseinek megfelelően; </w:t>
      </w:r>
    </w:p>
    <w:p w14:paraId="11D8C159" w14:textId="77777777" w:rsidR="0090407A" w:rsidRPr="005E51EA" w:rsidRDefault="0090407A" w:rsidP="005F4B8B">
      <w:pPr>
        <w:pStyle w:val="Normal12Hanging"/>
        <w:widowControl/>
      </w:pPr>
      <w:proofErr w:type="gramStart"/>
      <w:r w:rsidRPr="005E51EA">
        <w:t>7.</w:t>
      </w:r>
      <w:r w:rsidRPr="005E51EA">
        <w:tab/>
        <w:t>hangsúlyozza az EGAA-kérelmekben érintett valamennyi féllel – köztük a regionális és helyi szinten érintett szociális partnerekkel – való együttműködés és kommunikáció további erősítésének szükségességét a lehető legtöbb szinergia megteremtése érdekében; hangsúlyozza, hogy erősíteni kell a nemzeti kapcsolattartó és az ügyekkel foglalkozó regionális vagy helyi partnerek közötti együttműködést, továbbá hogy a kommunikációs és támogatási intézkedéseket, valamint az információáramlásokat (belső munkamegosztás, feladatok és felelősségi körök) egyértelművé kell tenni, és azokat minden érintett félnek</w:t>
      </w:r>
      <w:proofErr w:type="gramEnd"/>
      <w:r w:rsidRPr="005E51EA">
        <w:t xml:space="preserve"> </w:t>
      </w:r>
      <w:proofErr w:type="gramStart"/>
      <w:r w:rsidRPr="005E51EA">
        <w:t>el</w:t>
      </w:r>
      <w:proofErr w:type="gramEnd"/>
      <w:r w:rsidRPr="005E51EA">
        <w:t xml:space="preserve"> kell fogadnia;</w:t>
      </w:r>
    </w:p>
    <w:p w14:paraId="437E338C" w14:textId="77777777" w:rsidR="0090407A" w:rsidRPr="005E51EA" w:rsidRDefault="0090407A" w:rsidP="005F4B8B">
      <w:pPr>
        <w:pStyle w:val="Normal12Hanging"/>
        <w:widowControl/>
      </w:pPr>
      <w:r w:rsidRPr="005E51EA">
        <w:t>8.</w:t>
      </w:r>
      <w:r w:rsidRPr="005E51EA">
        <w:tab/>
        <w:t xml:space="preserve">emlékezteti a kérelmező tagállamokat az EGAA által </w:t>
      </w:r>
      <w:proofErr w:type="gramStart"/>
      <w:r w:rsidRPr="005E51EA">
        <w:t>finanszírozott</w:t>
      </w:r>
      <w:proofErr w:type="gramEnd"/>
      <w:r w:rsidRPr="005E51EA">
        <w:t xml:space="preserve"> fellépéseknek a célzott kedvezményezettek, a helyi és regionális hatóságok, a szociális partnerek, a média és a közvélemény számára széles körben történő ismertetésére vonatkozó kulcsfontosságú feladatukra az 1309/2013/EU rendelet 12. cikkének megfelelően;</w:t>
      </w:r>
    </w:p>
    <w:p w14:paraId="5B8C4EE2" w14:textId="77777777" w:rsidR="0090407A" w:rsidRPr="005E51EA" w:rsidRDefault="0090407A" w:rsidP="005F4B8B">
      <w:pPr>
        <w:pStyle w:val="Normal12Hanging"/>
        <w:widowControl/>
        <w:rPr>
          <w:iCs/>
        </w:rPr>
      </w:pPr>
      <w:r w:rsidRPr="005E51EA">
        <w:t>9.</w:t>
      </w:r>
      <w:r w:rsidRPr="005E51EA">
        <w:tab/>
        <w:t xml:space="preserve">emlékeztet arra, hogy a jelenlegi szabályok szerint az EGAA-t az 1309/2013/EU rendelet módosítása nélkül lehetne igénybe venni a Covid19 okozta </w:t>
      </w:r>
      <w:proofErr w:type="gramStart"/>
      <w:r w:rsidRPr="005E51EA">
        <w:t>globális</w:t>
      </w:r>
      <w:proofErr w:type="gramEnd"/>
      <w:r w:rsidRPr="005E51EA">
        <w:t xml:space="preserve"> válság miatt véglegesen elbocsátott munkavállalók és az önálló vállalkozók támogatására;</w:t>
      </w:r>
    </w:p>
    <w:p w14:paraId="30BB29D1" w14:textId="77777777" w:rsidR="0090407A" w:rsidRPr="005E51EA" w:rsidRDefault="0090407A" w:rsidP="005F4B8B">
      <w:pPr>
        <w:pStyle w:val="Normal12Hanging"/>
        <w:widowControl/>
        <w:rPr>
          <w:iCs/>
        </w:rPr>
      </w:pPr>
      <w:r w:rsidRPr="005E51EA">
        <w:rPr>
          <w:iCs/>
        </w:rPr>
        <w:t>10.</w:t>
      </w:r>
      <w:r w:rsidRPr="005E51EA">
        <w:rPr>
          <w:iCs/>
        </w:rPr>
        <w:tab/>
        <w:t>ezért kéri a Bizottságot, hogy minden lehetséges módon nyújtson segítséget azoknak a tagállamoknak, amelyek az elkövetkező hetekben és hónapokban kívánnak kérelmet készíteni;</w:t>
      </w:r>
    </w:p>
    <w:p w14:paraId="173FF81E" w14:textId="3A37024A" w:rsidR="0090407A" w:rsidRPr="005E51EA" w:rsidRDefault="0090407A" w:rsidP="005F4B8B">
      <w:pPr>
        <w:widowControl/>
        <w:spacing w:after="240"/>
        <w:ind w:left="567" w:hanging="567"/>
        <w:rPr>
          <w:iCs/>
        </w:rPr>
      </w:pPr>
      <w:r w:rsidRPr="005E51EA">
        <w:rPr>
          <w:iCs/>
        </w:rPr>
        <w:t>11.</w:t>
      </w:r>
      <w:r w:rsidRPr="005E51EA">
        <w:rPr>
          <w:iCs/>
        </w:rPr>
        <w:tab/>
        <w:t>kéri továbbá a Bizottságot, hogy tegyen meg minden tőle telhetőt annak érdekében, hogy rugalmasságot tanúsítson és a lehető legrövidebbre csökkentse az értékelési időszakot annak vizsgálata során, hogy a kérelmek megfelelnek-e a pénzügyi hozzájárulás nyújtására vonatkozó feltételeknek;</w:t>
      </w:r>
      <w:r w:rsidRPr="005E51EA">
        <w:t xml:space="preserve"> </w:t>
      </w:r>
    </w:p>
    <w:p w14:paraId="0C1E4B6D" w14:textId="77777777" w:rsidR="0090407A" w:rsidRPr="005E51EA" w:rsidRDefault="0090407A" w:rsidP="005F4B8B">
      <w:pPr>
        <w:pStyle w:val="NormalHanging12a"/>
        <w:widowControl/>
      </w:pPr>
      <w:r w:rsidRPr="005E51EA">
        <w:t>12.</w:t>
      </w:r>
      <w:r w:rsidRPr="005E51EA">
        <w:tab/>
        <w:t>jóváhagyja a jelen állásfoglaláshoz mellékelt határozatot;</w:t>
      </w:r>
    </w:p>
    <w:p w14:paraId="014054BE" w14:textId="77777777" w:rsidR="0090407A" w:rsidRPr="005E51EA" w:rsidRDefault="0090407A" w:rsidP="005F4B8B">
      <w:pPr>
        <w:pStyle w:val="NormalHanging12a"/>
        <w:widowControl/>
      </w:pPr>
      <w:r w:rsidRPr="005E51EA">
        <w:lastRenderedPageBreak/>
        <w:t>13.</w:t>
      </w:r>
      <w:r w:rsidRPr="005E51EA">
        <w:tab/>
        <w:t xml:space="preserve">utasítja elnökét, hogy a Tanács elnökével együtt írja alá ezt a határozatot, valamint gondoskodjon közzétételéről az </w:t>
      </w:r>
      <w:r w:rsidRPr="005E51EA">
        <w:rPr>
          <w:i/>
        </w:rPr>
        <w:t>Európai Unió Hivatalos Lapjába</w:t>
      </w:r>
      <w:r w:rsidRPr="005E51EA">
        <w:t>n;</w:t>
      </w:r>
    </w:p>
    <w:p w14:paraId="1BFF9CB8" w14:textId="77777777" w:rsidR="0090407A" w:rsidRPr="005E51EA" w:rsidRDefault="0090407A" w:rsidP="005F4B8B">
      <w:pPr>
        <w:pStyle w:val="NormalHanging12a"/>
        <w:widowControl/>
      </w:pPr>
      <w:r w:rsidRPr="005E51EA">
        <w:t>14.</w:t>
      </w:r>
      <w:r w:rsidRPr="005E51EA">
        <w:tab/>
        <w:t>utasítja elnökét, hogy továbbítsa ezt az állásfoglalást és annak mellékletét a Tanácsnak és a Bizottságnak.</w:t>
      </w:r>
    </w:p>
    <w:p w14:paraId="69F09EB4" w14:textId="77777777" w:rsidR="00644054" w:rsidRDefault="00644054">
      <w:pPr>
        <w:widowControl/>
        <w:rPr>
          <w:rFonts w:cs="Arial"/>
          <w:b/>
        </w:rPr>
      </w:pPr>
      <w:bookmarkStart w:id="10" w:name="_Toc42698484"/>
      <w:r>
        <w:br w:type="page"/>
      </w:r>
    </w:p>
    <w:p w14:paraId="0B475EE1" w14:textId="77777777" w:rsidR="00644054" w:rsidRDefault="0090407A" w:rsidP="005F4B8B">
      <w:pPr>
        <w:pStyle w:val="PageHeading"/>
        <w:keepNext w:val="0"/>
        <w:widowControl/>
        <w:spacing w:after="240"/>
        <w:ind w:left="567" w:hanging="567"/>
        <w:rPr>
          <w:rFonts w:ascii="Times New Roman" w:hAnsi="Times New Roman"/>
        </w:rPr>
      </w:pPr>
      <w:r w:rsidRPr="00644054">
        <w:rPr>
          <w:rFonts w:ascii="Times New Roman" w:hAnsi="Times New Roman"/>
        </w:rPr>
        <w:lastRenderedPageBreak/>
        <w:t>MELLÉKLET</w:t>
      </w:r>
      <w:bookmarkEnd w:id="10"/>
    </w:p>
    <w:p w14:paraId="7572BBEF" w14:textId="09F8570A" w:rsidR="0090407A" w:rsidRPr="005E51EA" w:rsidRDefault="0090407A" w:rsidP="005F4B8B">
      <w:pPr>
        <w:pStyle w:val="PageHeading"/>
        <w:keepNext w:val="0"/>
        <w:widowControl/>
        <w:spacing w:after="240"/>
        <w:ind w:left="567" w:hanging="567"/>
        <w:rPr>
          <w:rFonts w:ascii="Times New Roman" w:hAnsi="Times New Roman" w:cs="Times New Roman"/>
        </w:rPr>
      </w:pPr>
      <w:bookmarkStart w:id="11" w:name="_Toc42698485"/>
      <w:r w:rsidRPr="005E51EA">
        <w:rPr>
          <w:rFonts w:ascii="Times New Roman" w:hAnsi="Times New Roman"/>
        </w:rPr>
        <w:t xml:space="preserve">AZ EURÓPAI PARLAMENT </w:t>
      </w:r>
      <w:proofErr w:type="gramStart"/>
      <w:r w:rsidRPr="005E51EA">
        <w:rPr>
          <w:rFonts w:ascii="Times New Roman" w:hAnsi="Times New Roman"/>
        </w:rPr>
        <w:t>ÉS</w:t>
      </w:r>
      <w:proofErr w:type="gramEnd"/>
      <w:r w:rsidRPr="005E51EA">
        <w:rPr>
          <w:rFonts w:ascii="Times New Roman" w:hAnsi="Times New Roman"/>
        </w:rPr>
        <w:t xml:space="preserve"> A TANÁCS HATÁROZATA</w:t>
      </w:r>
      <w:bookmarkEnd w:id="11"/>
    </w:p>
    <w:p w14:paraId="4DA0A846" w14:textId="77777777" w:rsidR="0090407A" w:rsidRPr="005E51EA" w:rsidRDefault="0090407A" w:rsidP="005F4B8B">
      <w:pPr>
        <w:pStyle w:val="NormalBold24a"/>
        <w:widowControl/>
        <w:spacing w:after="240"/>
        <w:ind w:left="567" w:hanging="567"/>
        <w:jc w:val="center"/>
      </w:pPr>
      <w:proofErr w:type="gramStart"/>
      <w:r w:rsidRPr="005E51EA">
        <w:t>az</w:t>
      </w:r>
      <w:proofErr w:type="gramEnd"/>
      <w:r w:rsidRPr="005E51EA">
        <w:t xml:space="preserve"> Európai Globalizációs Alkalmazkodási Alap igénybevételéről (EGF/2020/000 TA 2020 – Technikai segítségnyújtás a Bizottság kezdeményezésére)</w:t>
      </w:r>
    </w:p>
    <w:p w14:paraId="7F09439A" w14:textId="77777777" w:rsidR="00644054" w:rsidRDefault="00644054" w:rsidP="00644054">
      <w:pPr>
        <w:spacing w:after="240"/>
        <w:rPr>
          <w:i/>
          <w:iCs/>
        </w:rPr>
      </w:pPr>
    </w:p>
    <w:p w14:paraId="2F4E7803" w14:textId="60F2BA62" w:rsidR="00644054" w:rsidRPr="009A18BF" w:rsidRDefault="00644054" w:rsidP="00644054">
      <w:pPr>
        <w:spacing w:after="240"/>
      </w:pPr>
      <w:bookmarkStart w:id="12" w:name="_GoBack"/>
      <w:r w:rsidRPr="009A18BF">
        <w:rPr>
          <w:i/>
          <w:iCs/>
        </w:rPr>
        <w:t>(</w:t>
      </w:r>
      <w:r w:rsidRPr="00644054">
        <w:rPr>
          <w:i/>
          <w:iCs/>
        </w:rPr>
        <w:t xml:space="preserve">E melléklet szövege itt nincs feltüntetve, mert az megegyezik a végleges jogi </w:t>
      </w:r>
      <w:proofErr w:type="gramStart"/>
      <w:r w:rsidRPr="00644054">
        <w:rPr>
          <w:i/>
          <w:iCs/>
        </w:rPr>
        <w:t>aktussal</w:t>
      </w:r>
      <w:proofErr w:type="gramEnd"/>
      <w:r w:rsidRPr="00644054">
        <w:rPr>
          <w:i/>
          <w:iCs/>
        </w:rPr>
        <w:t>, az (EU) 2020/986</w:t>
      </w:r>
      <w:r>
        <w:rPr>
          <w:i/>
          <w:iCs/>
        </w:rPr>
        <w:t xml:space="preserve"> </w:t>
      </w:r>
      <w:r w:rsidRPr="00644054">
        <w:rPr>
          <w:i/>
          <w:iCs/>
        </w:rPr>
        <w:t>határozattal</w:t>
      </w:r>
      <w:r>
        <w:rPr>
          <w:i/>
          <w:iCs/>
        </w:rPr>
        <w:t>.</w:t>
      </w:r>
      <w:r w:rsidRPr="00A57940">
        <w:rPr>
          <w:i/>
          <w:iCs/>
        </w:rPr>
        <w:t>)</w:t>
      </w:r>
      <w:bookmarkEnd w:id="12"/>
    </w:p>
    <w:sectPr w:rsidR="00644054" w:rsidRPr="009A18BF" w:rsidSect="00FF6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95B2" w14:textId="77777777" w:rsidR="00D16C29" w:rsidRPr="00FF667C" w:rsidRDefault="00D16C29">
      <w:r w:rsidRPr="00FF667C">
        <w:separator/>
      </w:r>
    </w:p>
  </w:endnote>
  <w:endnote w:type="continuationSeparator" w:id="0">
    <w:p w14:paraId="4273A6F2" w14:textId="77777777" w:rsidR="00D16C29" w:rsidRPr="00FF667C" w:rsidRDefault="00D16C29">
      <w:r w:rsidRPr="00FF66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2037" w14:textId="77777777" w:rsidR="00064002" w:rsidRPr="00FF667C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EC38" w14:textId="77777777" w:rsidR="00064002" w:rsidRPr="00E4268F" w:rsidRDefault="00064002" w:rsidP="00E42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2CC1" w14:textId="77777777" w:rsidR="00064002" w:rsidRPr="00FF667C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2CBA8" w14:textId="77777777" w:rsidR="00D16C29" w:rsidRPr="00FF667C" w:rsidRDefault="00D16C29">
      <w:r w:rsidRPr="00FF667C">
        <w:separator/>
      </w:r>
    </w:p>
  </w:footnote>
  <w:footnote w:type="continuationSeparator" w:id="0">
    <w:p w14:paraId="5A623218" w14:textId="77777777" w:rsidR="00D16C29" w:rsidRPr="00FF667C" w:rsidRDefault="00D16C29">
      <w:r w:rsidRPr="00FF667C">
        <w:continuationSeparator/>
      </w:r>
    </w:p>
  </w:footnote>
  <w:footnote w:id="1">
    <w:p w14:paraId="42A27AB4" w14:textId="4F1E2043" w:rsidR="0090407A" w:rsidRPr="00FF667C" w:rsidRDefault="0090407A" w:rsidP="00FF667C">
      <w:pPr>
        <w:pStyle w:val="FootnoteText"/>
        <w:ind w:left="567" w:hanging="567"/>
        <w:rPr>
          <w:sz w:val="24"/>
          <w:lang w:val="hu-HU"/>
        </w:rPr>
      </w:pPr>
      <w:r w:rsidRPr="00FF667C">
        <w:rPr>
          <w:rStyle w:val="FootnoteReference"/>
          <w:sz w:val="24"/>
          <w:lang w:val="hu-HU"/>
        </w:rPr>
        <w:footnoteRef/>
      </w:r>
      <w:r w:rsidR="00FF667C" w:rsidRPr="00FF667C">
        <w:rPr>
          <w:sz w:val="24"/>
          <w:lang w:val="hu-HU"/>
        </w:rPr>
        <w:t xml:space="preserve"> </w:t>
      </w:r>
      <w:r w:rsidR="00FF667C" w:rsidRPr="00FF667C">
        <w:rPr>
          <w:sz w:val="24"/>
          <w:lang w:val="hu-HU"/>
        </w:rPr>
        <w:tab/>
      </w:r>
      <w:r w:rsidRPr="00FF667C">
        <w:rPr>
          <w:sz w:val="24"/>
          <w:lang w:val="hu-HU"/>
        </w:rPr>
        <w:t>HL L 347., 2013.12.20</w:t>
      </w:r>
      <w:proofErr w:type="gramStart"/>
      <w:r w:rsidRPr="00FF667C">
        <w:rPr>
          <w:sz w:val="24"/>
          <w:lang w:val="hu-HU"/>
        </w:rPr>
        <w:t>.,</w:t>
      </w:r>
      <w:proofErr w:type="gramEnd"/>
      <w:r w:rsidRPr="00FF667C">
        <w:rPr>
          <w:sz w:val="24"/>
          <w:lang w:val="hu-HU"/>
        </w:rPr>
        <w:t xml:space="preserve"> 8</w:t>
      </w:r>
      <w:r w:rsidR="00644054">
        <w:rPr>
          <w:sz w:val="24"/>
          <w:lang w:val="hu-HU"/>
        </w:rPr>
        <w:t>5</w:t>
      </w:r>
      <w:r w:rsidRPr="00FF667C">
        <w:rPr>
          <w:sz w:val="24"/>
          <w:lang w:val="hu-HU"/>
        </w:rPr>
        <w:t>5. o.</w:t>
      </w:r>
    </w:p>
  </w:footnote>
  <w:footnote w:id="2">
    <w:p w14:paraId="6E4A2C92" w14:textId="77777777" w:rsidR="0090407A" w:rsidRPr="00FF667C" w:rsidRDefault="0090407A" w:rsidP="00FF667C">
      <w:pPr>
        <w:pStyle w:val="FootnoteText"/>
        <w:ind w:left="567" w:hanging="567"/>
        <w:rPr>
          <w:sz w:val="24"/>
          <w:lang w:val="hu-HU"/>
        </w:rPr>
      </w:pPr>
      <w:r w:rsidRPr="00FF667C">
        <w:rPr>
          <w:rStyle w:val="FootnoteReference"/>
          <w:sz w:val="24"/>
          <w:lang w:val="hu-HU"/>
        </w:rPr>
        <w:footnoteRef/>
      </w:r>
      <w:r w:rsidR="00FF667C" w:rsidRPr="00FF667C">
        <w:rPr>
          <w:sz w:val="24"/>
          <w:lang w:val="hu-HU"/>
        </w:rPr>
        <w:t xml:space="preserve"> </w:t>
      </w:r>
      <w:r w:rsidR="00FF667C" w:rsidRPr="00FF667C">
        <w:rPr>
          <w:sz w:val="24"/>
          <w:lang w:val="hu-HU"/>
        </w:rPr>
        <w:tab/>
      </w:r>
      <w:r w:rsidRPr="00FF667C">
        <w:rPr>
          <w:sz w:val="24"/>
          <w:lang w:val="hu-HU"/>
        </w:rPr>
        <w:t>HL L 347., 2013.12.20</w:t>
      </w:r>
      <w:proofErr w:type="gramStart"/>
      <w:r w:rsidRPr="00FF667C">
        <w:rPr>
          <w:sz w:val="24"/>
          <w:lang w:val="hu-HU"/>
        </w:rPr>
        <w:t>.,</w:t>
      </w:r>
      <w:proofErr w:type="gramEnd"/>
      <w:r w:rsidRPr="00FF667C">
        <w:rPr>
          <w:sz w:val="24"/>
          <w:lang w:val="hu-HU"/>
        </w:rPr>
        <w:t xml:space="preserve"> 884. o.</w:t>
      </w:r>
    </w:p>
  </w:footnote>
  <w:footnote w:id="3">
    <w:p w14:paraId="2E9CCD6F" w14:textId="77777777" w:rsidR="0090407A" w:rsidRPr="00FF667C" w:rsidRDefault="0090407A" w:rsidP="00FF667C">
      <w:pPr>
        <w:pStyle w:val="FootnoteText"/>
        <w:ind w:left="567" w:hanging="567"/>
        <w:rPr>
          <w:sz w:val="24"/>
          <w:lang w:val="hu-HU"/>
        </w:rPr>
      </w:pPr>
      <w:r w:rsidRPr="00FF667C">
        <w:rPr>
          <w:rStyle w:val="FootnoteReference"/>
          <w:sz w:val="24"/>
          <w:lang w:val="hu-HU"/>
        </w:rPr>
        <w:footnoteRef/>
      </w:r>
      <w:r w:rsidR="00FF667C" w:rsidRPr="00FF667C">
        <w:rPr>
          <w:sz w:val="24"/>
          <w:lang w:val="hu-HU"/>
        </w:rPr>
        <w:t xml:space="preserve"> </w:t>
      </w:r>
      <w:r w:rsidR="00FF667C" w:rsidRPr="00FF667C">
        <w:rPr>
          <w:sz w:val="24"/>
          <w:lang w:val="hu-HU"/>
        </w:rPr>
        <w:tab/>
      </w:r>
      <w:r w:rsidRPr="00FF667C">
        <w:rPr>
          <w:sz w:val="24"/>
          <w:lang w:val="hu-HU"/>
        </w:rPr>
        <w:t>HL C 373., 2013.12.20</w:t>
      </w:r>
      <w:proofErr w:type="gramStart"/>
      <w:r w:rsidRPr="00FF667C">
        <w:rPr>
          <w:sz w:val="24"/>
          <w:lang w:val="hu-HU"/>
        </w:rPr>
        <w:t>.,</w:t>
      </w:r>
      <w:proofErr w:type="gramEnd"/>
      <w:r w:rsidRPr="00FF667C">
        <w:rPr>
          <w:sz w:val="24"/>
          <w:lang w:val="hu-HU"/>
        </w:rPr>
        <w:t xml:space="preserve"> 1. o.</w:t>
      </w:r>
    </w:p>
  </w:footnote>
  <w:footnote w:id="4">
    <w:p w14:paraId="5081E07B" w14:textId="77777777" w:rsidR="0090407A" w:rsidRPr="00FF667C" w:rsidRDefault="0090407A" w:rsidP="00FF667C">
      <w:pPr>
        <w:pStyle w:val="FootnoteText"/>
        <w:ind w:left="567" w:hanging="567"/>
        <w:rPr>
          <w:sz w:val="24"/>
          <w:lang w:val="hu-HU"/>
        </w:rPr>
      </w:pPr>
      <w:r w:rsidRPr="00FF667C">
        <w:rPr>
          <w:rStyle w:val="FootnoteReference"/>
          <w:sz w:val="24"/>
          <w:lang w:val="hu-HU"/>
        </w:rPr>
        <w:footnoteRef/>
      </w:r>
      <w:r w:rsidR="00FF667C" w:rsidRPr="00FF667C">
        <w:rPr>
          <w:sz w:val="24"/>
          <w:lang w:val="hu-HU"/>
        </w:rPr>
        <w:t xml:space="preserve"> </w:t>
      </w:r>
      <w:r w:rsidR="00FF667C" w:rsidRPr="00FF667C">
        <w:rPr>
          <w:sz w:val="24"/>
          <w:lang w:val="hu-HU"/>
        </w:rPr>
        <w:tab/>
      </w:r>
      <w:r w:rsidRPr="00FF667C">
        <w:rPr>
          <w:sz w:val="24"/>
          <w:lang w:val="hu-HU"/>
        </w:rPr>
        <w:t>Elfogadott szövegek, P9_</w:t>
      </w:r>
      <w:proofErr w:type="gramStart"/>
      <w:r w:rsidRPr="00FF667C">
        <w:rPr>
          <w:sz w:val="24"/>
          <w:lang w:val="hu-HU"/>
        </w:rPr>
        <w:t>TA(</w:t>
      </w:r>
      <w:proofErr w:type="gramEnd"/>
      <w:r w:rsidRPr="00FF667C">
        <w:rPr>
          <w:sz w:val="24"/>
          <w:lang w:val="hu-HU"/>
        </w:rPr>
        <w:t>2019)0015.</w:t>
      </w:r>
    </w:p>
  </w:footnote>
  <w:footnote w:id="5">
    <w:p w14:paraId="218DC1A0" w14:textId="77777777" w:rsidR="0090407A" w:rsidRPr="00FF667C" w:rsidRDefault="0090407A" w:rsidP="00FF667C">
      <w:pPr>
        <w:pStyle w:val="FootnoteText"/>
        <w:ind w:left="567" w:hanging="567"/>
        <w:rPr>
          <w:sz w:val="24"/>
          <w:lang w:val="hu-HU"/>
        </w:rPr>
      </w:pPr>
      <w:r w:rsidRPr="00FF667C">
        <w:rPr>
          <w:rStyle w:val="FootnoteReference"/>
          <w:sz w:val="24"/>
          <w:lang w:val="hu-HU"/>
        </w:rPr>
        <w:footnoteRef/>
      </w:r>
      <w:r w:rsidR="00FF667C" w:rsidRPr="00FF667C">
        <w:rPr>
          <w:sz w:val="24"/>
          <w:lang w:val="hu-HU"/>
        </w:rPr>
        <w:t xml:space="preserve"> </w:t>
      </w:r>
      <w:r w:rsidR="00FF667C" w:rsidRPr="00FF667C">
        <w:rPr>
          <w:sz w:val="24"/>
          <w:lang w:val="hu-HU"/>
        </w:rPr>
        <w:tab/>
      </w:r>
      <w:r w:rsidRPr="00FF667C">
        <w:rPr>
          <w:sz w:val="24"/>
          <w:lang w:val="hu-HU"/>
        </w:rPr>
        <w:t>Elfogadott szövegek, P8_</w:t>
      </w:r>
      <w:proofErr w:type="gramStart"/>
      <w:r w:rsidRPr="00FF667C">
        <w:rPr>
          <w:sz w:val="24"/>
          <w:lang w:val="hu-HU"/>
        </w:rPr>
        <w:t>TA(</w:t>
      </w:r>
      <w:proofErr w:type="gramEnd"/>
      <w:r w:rsidRPr="00FF667C">
        <w:rPr>
          <w:sz w:val="24"/>
          <w:lang w:val="hu-HU"/>
        </w:rPr>
        <w:t>2019)0019.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7F3A" w14:textId="77777777" w:rsidR="00064002" w:rsidRPr="00FF667C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0539" w14:textId="77777777" w:rsidR="00064002" w:rsidRPr="00E4268F" w:rsidRDefault="00064002" w:rsidP="00E42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4320" w14:textId="77777777" w:rsidR="00064002" w:rsidRPr="00FF667C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109/2020"/>
    <w:docVar w:name="dvlangue" w:val="HU"/>
    <w:docVar w:name="dvnumam" w:val="0"/>
    <w:docVar w:name="dvpe" w:val="650.507"/>
    <w:docVar w:name="dvrapporteur" w:val="Előadó: "/>
    <w:docVar w:name="dvtitre" w:val="Az Európai Parlament 2020.  ...-i állásfoglalása az Európai Globalizációs Alkalmazkodási Alap igénybevételéről szóló európai parlamenti és tanácsi határozatra irányuló javaslatról (EGF/2020/000 TA 2020 – Technikai segítségnyújtás a Bizottság kezdeményezésére)(COM(2020)0146 – C9-0112/2020 – 2020/2062(BUD))"/>
  </w:docVars>
  <w:rsids>
    <w:rsidRoot w:val="00D16C29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074C1"/>
    <w:rsid w:val="00514517"/>
    <w:rsid w:val="00545827"/>
    <w:rsid w:val="00560270"/>
    <w:rsid w:val="005C2568"/>
    <w:rsid w:val="005E51EA"/>
    <w:rsid w:val="005F4B8B"/>
    <w:rsid w:val="006037C0"/>
    <w:rsid w:val="00644054"/>
    <w:rsid w:val="006631B6"/>
    <w:rsid w:val="00667C4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0407A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142D2"/>
    <w:rsid w:val="00B22876"/>
    <w:rsid w:val="00B558F0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16C29"/>
    <w:rsid w:val="00D56C11"/>
    <w:rsid w:val="00D80F5C"/>
    <w:rsid w:val="00D834A0"/>
    <w:rsid w:val="00D872DF"/>
    <w:rsid w:val="00D91E21"/>
    <w:rsid w:val="00DA7FCD"/>
    <w:rsid w:val="00E365E1"/>
    <w:rsid w:val="00E4268F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87713"/>
    <w:rsid w:val="00FA009A"/>
    <w:rsid w:val="00FB4360"/>
    <w:rsid w:val="00FD0C7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13AF7"/>
  <w15:chartTrackingRefBased/>
  <w15:docId w15:val="{3A08F9B4-5F9E-49C8-A25C-B319C11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Footer2">
    <w:name w:val="EPFooter2"/>
    <w:basedOn w:val="Normal"/>
    <w:next w:val="Normal"/>
    <w:rsid w:val="0090407A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PageHeading">
    <w:name w:val="PageHeading"/>
    <w:basedOn w:val="Normal"/>
    <w:rsid w:val="0090407A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Hanging12a">
    <w:name w:val="NormalHanging12a"/>
    <w:basedOn w:val="Normal"/>
    <w:rsid w:val="0090407A"/>
    <w:pPr>
      <w:spacing w:after="240"/>
      <w:ind w:left="567" w:hanging="567"/>
    </w:pPr>
  </w:style>
  <w:style w:type="paragraph" w:styleId="Header">
    <w:name w:val="header"/>
    <w:basedOn w:val="Normal"/>
    <w:link w:val="HeaderChar"/>
    <w:rsid w:val="00904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407A"/>
    <w:rPr>
      <w:sz w:val="24"/>
      <w:lang w:val="hu-HU"/>
    </w:rPr>
  </w:style>
  <w:style w:type="paragraph" w:customStyle="1" w:styleId="NormalBold24a">
    <w:name w:val="NormalBold24a"/>
    <w:basedOn w:val="Normal"/>
    <w:rsid w:val="0090407A"/>
    <w:pPr>
      <w:spacing w:after="480"/>
    </w:pPr>
    <w:rPr>
      <w:b/>
      <w:bCs/>
    </w:rPr>
  </w:style>
  <w:style w:type="paragraph" w:customStyle="1" w:styleId="EPFooter">
    <w:name w:val="EPFooter"/>
    <w:basedOn w:val="Normal"/>
    <w:rsid w:val="0090407A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customStyle="1" w:styleId="EPComma">
    <w:name w:val="EPComma"/>
    <w:basedOn w:val="Normal"/>
    <w:rsid w:val="0090407A"/>
    <w:pPr>
      <w:spacing w:before="480" w:after="240"/>
    </w:pPr>
  </w:style>
  <w:style w:type="paragraph" w:customStyle="1" w:styleId="Normal12Hanging">
    <w:name w:val="Normal12Hanging"/>
    <w:basedOn w:val="Normal"/>
    <w:rsid w:val="0090407A"/>
    <w:pPr>
      <w:spacing w:after="240"/>
      <w:ind w:left="567" w:hanging="567"/>
    </w:pPr>
  </w:style>
  <w:style w:type="paragraph" w:customStyle="1" w:styleId="Normal12">
    <w:name w:val="Normal12"/>
    <w:basedOn w:val="Normal"/>
    <w:rsid w:val="0090407A"/>
    <w:pPr>
      <w:spacing w:after="240"/>
    </w:pPr>
  </w:style>
  <w:style w:type="paragraph" w:styleId="BalloonText">
    <w:name w:val="Balloon Text"/>
    <w:basedOn w:val="Normal"/>
    <w:link w:val="BalloonTextChar"/>
    <w:rsid w:val="00FA0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009A"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rsid w:val="00FA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09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009A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rsid w:val="00FA0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09A"/>
    <w:rPr>
      <w:b/>
      <w:bCs/>
      <w:lang w:val="hu-HU"/>
    </w:rPr>
  </w:style>
  <w:style w:type="paragraph" w:styleId="Footer">
    <w:name w:val="footer"/>
    <w:basedOn w:val="Normal"/>
    <w:link w:val="FooterChar"/>
    <w:rsid w:val="00667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C46"/>
    <w:rPr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SALAT Adriana</dc:creator>
  <cp:keywords/>
  <cp:lastModifiedBy>ILLY_D</cp:lastModifiedBy>
  <cp:revision>2</cp:revision>
  <cp:lastPrinted>2004-11-19T15:42:00Z</cp:lastPrinted>
  <dcterms:created xsi:type="dcterms:W3CDTF">2020-08-06T13:22:00Z</dcterms:created>
  <dcterms:modified xsi:type="dcterms:W3CDTF">2020-08-06T13:22:00Z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A9-0109/2020</vt:lpwstr>
  </property>
  <property fmtid="{D5CDD505-2E9C-101B-9397-08002B2CF9AE}" pid="4" name="&lt;Type&gt;">
    <vt:lpwstr>RR</vt:lpwstr>
  </property>
</Properties>
</file>