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8F7511" w14:paraId="64A6F3F3" w14:textId="77777777" w:rsidTr="0010095E">
        <w:trPr>
          <w:trHeight w:hRule="exact" w:val="1418"/>
        </w:trPr>
        <w:tc>
          <w:tcPr>
            <w:tcW w:w="6804" w:type="dxa"/>
            <w:shd w:val="clear" w:color="auto" w:fill="auto"/>
            <w:vAlign w:val="center"/>
          </w:tcPr>
          <w:p w14:paraId="11E59E99" w14:textId="77777777" w:rsidR="00751A4A" w:rsidRPr="008F7511" w:rsidRDefault="00CD4E8A" w:rsidP="0010095E">
            <w:pPr>
              <w:pStyle w:val="EPName"/>
            </w:pPr>
            <w:r w:rsidRPr="008F7511">
              <w:t>Európai Parlament</w:t>
            </w:r>
          </w:p>
          <w:p w14:paraId="31020A48" w14:textId="77777777" w:rsidR="00751A4A" w:rsidRPr="000A7B6F" w:rsidRDefault="00817416" w:rsidP="00756632">
            <w:pPr>
              <w:pStyle w:val="EPTerm"/>
              <w:rPr>
                <w:rStyle w:val="HideTWBExt"/>
                <w:noProof w:val="0"/>
                <w:vanish w:val="0"/>
                <w:color w:val="auto"/>
              </w:rPr>
            </w:pPr>
            <w:r w:rsidRPr="000A7B6F">
              <w:t>2019-2024</w:t>
            </w:r>
          </w:p>
        </w:tc>
        <w:tc>
          <w:tcPr>
            <w:tcW w:w="2268" w:type="dxa"/>
            <w:shd w:val="clear" w:color="auto" w:fill="auto"/>
          </w:tcPr>
          <w:p w14:paraId="36513690" w14:textId="77777777" w:rsidR="00751A4A" w:rsidRPr="008F7511" w:rsidRDefault="00187494" w:rsidP="0010095E">
            <w:pPr>
              <w:pStyle w:val="EPLogo"/>
            </w:pPr>
            <w:r w:rsidRPr="008F7511">
              <w:rPr>
                <w:noProof/>
                <w:lang w:val="en-GB"/>
              </w:rPr>
              <w:drawing>
                <wp:inline distT="0" distB="0" distL="0" distR="0" wp14:anchorId="13E302B2" wp14:editId="06EB21A3">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3E98F9C" w14:textId="77777777" w:rsidR="00D058B8" w:rsidRPr="008F7511" w:rsidRDefault="00D058B8" w:rsidP="004C5D52">
      <w:pPr>
        <w:pStyle w:val="LineTop"/>
      </w:pPr>
    </w:p>
    <w:p w14:paraId="623747CF" w14:textId="77777777" w:rsidR="00680577" w:rsidRPr="008F7511" w:rsidRDefault="00CD4E8A" w:rsidP="00680577">
      <w:pPr>
        <w:pStyle w:val="EPBodyTA1"/>
      </w:pPr>
      <w:r w:rsidRPr="008F7511">
        <w:t>ELFOGADOTT SZÖVEGEK</w:t>
      </w:r>
    </w:p>
    <w:p w14:paraId="660EEF17" w14:textId="77777777" w:rsidR="00D058B8" w:rsidRPr="008F7511" w:rsidRDefault="00D058B8" w:rsidP="00D058B8">
      <w:pPr>
        <w:pStyle w:val="LineBottom"/>
      </w:pPr>
    </w:p>
    <w:p w14:paraId="65F74242" w14:textId="6923A3E0" w:rsidR="00CD4E8A" w:rsidRPr="000A7B6F" w:rsidRDefault="008E5FDE" w:rsidP="00CD4E8A">
      <w:pPr>
        <w:pStyle w:val="ATHeading1"/>
      </w:pPr>
      <w:bookmarkStart w:id="0" w:name="TANumber"/>
      <w:r>
        <w:t>P9_</w:t>
      </w:r>
      <w:proofErr w:type="gramStart"/>
      <w:r>
        <w:t>TA</w:t>
      </w:r>
      <w:r w:rsidR="00CD4E8A" w:rsidRPr="000A7B6F">
        <w:t>(</w:t>
      </w:r>
      <w:proofErr w:type="gramEnd"/>
      <w:r w:rsidR="00CD4E8A" w:rsidRPr="000A7B6F">
        <w:t>2020)0</w:t>
      </w:r>
      <w:r w:rsidR="000A7B6F">
        <w:t>22</w:t>
      </w:r>
      <w:r w:rsidR="00CD4E8A" w:rsidRPr="000A7B6F">
        <w:t>0</w:t>
      </w:r>
      <w:bookmarkEnd w:id="0"/>
    </w:p>
    <w:p w14:paraId="59B5D64F" w14:textId="40FD0831" w:rsidR="00CD4E8A" w:rsidRPr="000A7B6F" w:rsidRDefault="002D7C98" w:rsidP="00CD4E8A">
      <w:pPr>
        <w:pStyle w:val="ATHeading2"/>
      </w:pPr>
      <w:bookmarkStart w:id="1" w:name="title"/>
      <w:r w:rsidRPr="000A7B6F">
        <w:t>A</w:t>
      </w:r>
      <w:r w:rsidR="004104E9" w:rsidRPr="000A7B6F">
        <w:t>z Európai Unió saját forrásainak rendszeréről szóló tanácsi határozat</w:t>
      </w:r>
      <w:r w:rsidRPr="000A7B6F">
        <w:t xml:space="preserve"> tervezete</w:t>
      </w:r>
      <w:bookmarkStart w:id="2" w:name="Etoiles"/>
      <w:bookmarkEnd w:id="1"/>
      <w:r w:rsidR="00CD4E8A" w:rsidRPr="000A7B6F">
        <w:t>*</w:t>
      </w:r>
      <w:bookmarkEnd w:id="2"/>
    </w:p>
    <w:p w14:paraId="2FEB89F7" w14:textId="77777777" w:rsidR="00CD4E8A" w:rsidRPr="008F7511" w:rsidRDefault="00CD4E8A" w:rsidP="00CD4E8A">
      <w:pPr>
        <w:rPr>
          <w:i/>
          <w:vanish/>
        </w:rPr>
      </w:pPr>
      <w:r w:rsidRPr="008F7511">
        <w:rPr>
          <w:i/>
        </w:rPr>
        <w:fldChar w:fldCharType="begin"/>
      </w:r>
      <w:r w:rsidRPr="008F7511">
        <w:rPr>
          <w:i/>
        </w:rPr>
        <w:instrText xml:space="preserve"> TC"(</w:instrText>
      </w:r>
      <w:bookmarkStart w:id="3" w:name="DocNumber"/>
      <w:r w:rsidRPr="008F7511">
        <w:rPr>
          <w:i/>
        </w:rPr>
        <w:instrText>A9-0146/2020</w:instrText>
      </w:r>
      <w:bookmarkEnd w:id="3"/>
      <w:r w:rsidRPr="008F7511">
        <w:rPr>
          <w:i/>
        </w:rPr>
        <w:instrText xml:space="preserve"> - Előadók: José Manuel Fernandes, Valérie Hayer)"\l3 \n&gt; \* MERGEFORMAT </w:instrText>
      </w:r>
      <w:r w:rsidRPr="008F7511">
        <w:rPr>
          <w:i/>
        </w:rPr>
        <w:fldChar w:fldCharType="end"/>
      </w:r>
    </w:p>
    <w:p w14:paraId="7A188678" w14:textId="77777777" w:rsidR="00CD4E8A" w:rsidRPr="008F7511" w:rsidRDefault="00CD4E8A" w:rsidP="00CD4E8A">
      <w:pPr>
        <w:rPr>
          <w:vanish/>
        </w:rPr>
      </w:pPr>
      <w:bookmarkStart w:id="4" w:name="Commission"/>
      <w:r w:rsidRPr="008F7511">
        <w:rPr>
          <w:vanish/>
        </w:rPr>
        <w:t>Költségvetési Bizottság</w:t>
      </w:r>
      <w:bookmarkEnd w:id="4"/>
    </w:p>
    <w:p w14:paraId="19EB9D36" w14:textId="77777777" w:rsidR="00CD4E8A" w:rsidRPr="008F7511" w:rsidRDefault="00CD4E8A" w:rsidP="00CD4E8A">
      <w:pPr>
        <w:rPr>
          <w:vanish/>
        </w:rPr>
      </w:pPr>
      <w:bookmarkStart w:id="5" w:name="PE"/>
      <w:r w:rsidRPr="008F7511">
        <w:rPr>
          <w:vanish/>
        </w:rPr>
        <w:t>PE653.866</w:t>
      </w:r>
      <w:bookmarkEnd w:id="5"/>
    </w:p>
    <w:p w14:paraId="7EFADE94" w14:textId="28F65D15" w:rsidR="00CD4E8A" w:rsidRPr="000A7B6F" w:rsidRDefault="00CD4E8A" w:rsidP="00CD4E8A">
      <w:pPr>
        <w:pStyle w:val="ATHeading3"/>
      </w:pPr>
      <w:bookmarkStart w:id="6" w:name="Sujet"/>
      <w:r w:rsidRPr="000A7B6F">
        <w:t xml:space="preserve">Az Európai Parlament 2020. </w:t>
      </w:r>
      <w:r w:rsidR="00D33389" w:rsidRPr="000A7B6F">
        <w:t>szeptember</w:t>
      </w:r>
      <w:r w:rsidRPr="000A7B6F">
        <w:t xml:space="preserve"> </w:t>
      </w:r>
      <w:r w:rsidR="00384194" w:rsidRPr="000A7B6F">
        <w:t>16-</w:t>
      </w:r>
      <w:r w:rsidRPr="000A7B6F">
        <w:t>i jogalkotási állásfoglalása az Európai Unió saját forrásainak rendszeréről szóló tanácsi határozatra irányuló tervezetről</w:t>
      </w:r>
      <w:bookmarkEnd w:id="6"/>
      <w:r w:rsidRPr="000A7B6F">
        <w:t xml:space="preserve"> </w:t>
      </w:r>
      <w:bookmarkStart w:id="7" w:name="References"/>
      <w:r w:rsidRPr="000A7B6F">
        <w:t>(10025/2020 – C9-0215/2020 – 2018/</w:t>
      </w:r>
      <w:proofErr w:type="gramStart"/>
      <w:r w:rsidRPr="000A7B6F">
        <w:t>0135(</w:t>
      </w:r>
      <w:proofErr w:type="gramEnd"/>
      <w:r w:rsidRPr="000A7B6F">
        <w:t>CNS))</w:t>
      </w:r>
      <w:bookmarkEnd w:id="7"/>
    </w:p>
    <w:p w14:paraId="7939DC48" w14:textId="77777777" w:rsidR="00CD4E8A" w:rsidRPr="008F7511" w:rsidRDefault="00CD4E8A" w:rsidP="00CD4E8A"/>
    <w:p w14:paraId="3BC4B490" w14:textId="77777777" w:rsidR="00346723" w:rsidRPr="008F7511" w:rsidRDefault="00346723" w:rsidP="00346723">
      <w:pPr>
        <w:pStyle w:val="NormalBold"/>
      </w:pPr>
      <w:bookmarkStart w:id="8" w:name="TextBodyBegin"/>
      <w:bookmarkEnd w:id="8"/>
      <w:r w:rsidRPr="008F7511">
        <w:t>(Különleges jogalkotási eljárás</w:t>
      </w:r>
      <w:r w:rsidR="00D33389" w:rsidRPr="008F7511">
        <w:t xml:space="preserve"> </w:t>
      </w:r>
      <w:r w:rsidRPr="008F7511">
        <w:t xml:space="preserve">– </w:t>
      </w:r>
      <w:proofErr w:type="gramStart"/>
      <w:r w:rsidRPr="008F7511">
        <w:t>konzultáció</w:t>
      </w:r>
      <w:proofErr w:type="gramEnd"/>
      <w:r w:rsidRPr="008F7511">
        <w:t>)</w:t>
      </w:r>
    </w:p>
    <w:p w14:paraId="044FBC47" w14:textId="77777777" w:rsidR="00346723" w:rsidRPr="008F7511" w:rsidRDefault="00346723" w:rsidP="00346723">
      <w:pPr>
        <w:pStyle w:val="EPComma"/>
      </w:pPr>
      <w:r w:rsidRPr="008F7511">
        <w:rPr>
          <w:i/>
        </w:rPr>
        <w:t>Az Európai Parlament</w:t>
      </w:r>
      <w:r w:rsidRPr="008F7511">
        <w:t>,</w:t>
      </w:r>
    </w:p>
    <w:p w14:paraId="01F6999B" w14:textId="77777777" w:rsidR="00346723" w:rsidRPr="008F7511" w:rsidRDefault="00346723" w:rsidP="00D33389">
      <w:pPr>
        <w:pStyle w:val="NormalHanging12a"/>
        <w:widowControl/>
      </w:pPr>
      <w:r w:rsidRPr="008F7511">
        <w:t>–</w:t>
      </w:r>
      <w:r w:rsidRPr="008F7511">
        <w:tab/>
        <w:t>tekintettel a Tanács tervezetére (10025/2020),</w:t>
      </w:r>
    </w:p>
    <w:p w14:paraId="6C6F906B" w14:textId="77777777" w:rsidR="00346723" w:rsidRPr="008F7511" w:rsidRDefault="00346723" w:rsidP="00D33389">
      <w:pPr>
        <w:pStyle w:val="NormalHanging12a"/>
        <w:widowControl/>
      </w:pPr>
      <w:r w:rsidRPr="008F7511">
        <w:t>–</w:t>
      </w:r>
      <w:r w:rsidRPr="008F7511">
        <w:tab/>
        <w:t xml:space="preserve">tekintettel az Európai Unió működéséről szóló szerződés 311. cikkére és az Európai Atomenergia-közösséget létrehozó szerződés 106a. cikkére, amelyeknek megfelelően a Tanács </w:t>
      </w:r>
      <w:proofErr w:type="gramStart"/>
      <w:r w:rsidRPr="008F7511">
        <w:t>konzultált</w:t>
      </w:r>
      <w:proofErr w:type="gramEnd"/>
      <w:r w:rsidRPr="008F7511">
        <w:t xml:space="preserve"> a Parlamenttel</w:t>
      </w:r>
      <w:r w:rsidR="00D33389" w:rsidRPr="008F7511">
        <w:t xml:space="preserve"> </w:t>
      </w:r>
      <w:r w:rsidRPr="008F7511">
        <w:t>(C9-0215/2020),</w:t>
      </w:r>
    </w:p>
    <w:p w14:paraId="0F045329" w14:textId="7C60EA3D" w:rsidR="00346723" w:rsidRPr="008F7511" w:rsidRDefault="00346723" w:rsidP="00D33389">
      <w:pPr>
        <w:pStyle w:val="Normal12Hanging"/>
        <w:widowControl/>
      </w:pPr>
      <w:r w:rsidRPr="008F7511">
        <w:t>–</w:t>
      </w:r>
      <w:r w:rsidRPr="008F7511">
        <w:tab/>
        <w:t>tekintettel „</w:t>
      </w:r>
      <w:proofErr w:type="gramStart"/>
      <w:r w:rsidRPr="008F7511">
        <w:t>A</w:t>
      </w:r>
      <w:proofErr w:type="gramEnd"/>
      <w:r w:rsidRPr="008F7511">
        <w:t xml:space="preserve"> következő többéves pénzügyi keret</w:t>
      </w:r>
      <w:r w:rsidR="004C3813" w:rsidRPr="008F7511">
        <w:t>ről</w:t>
      </w:r>
      <w:r w:rsidRPr="008F7511">
        <w:t xml:space="preserve">: a </w:t>
      </w:r>
      <w:r w:rsidR="004C3813" w:rsidRPr="008F7511">
        <w:t xml:space="preserve">Parlament </w:t>
      </w:r>
      <w:r w:rsidRPr="008F7511">
        <w:t xml:space="preserve">2020 utáni </w:t>
      </w:r>
      <w:r w:rsidR="004C3813" w:rsidRPr="008F7511">
        <w:t xml:space="preserve">időszakra vonatkozó </w:t>
      </w:r>
      <w:r w:rsidRPr="008F7511">
        <w:t xml:space="preserve">többéves pénzügyi keretről </w:t>
      </w:r>
      <w:r w:rsidR="004C3813" w:rsidRPr="008F7511">
        <w:t xml:space="preserve">szóló </w:t>
      </w:r>
      <w:r w:rsidRPr="008F7511">
        <w:t>álláspont</w:t>
      </w:r>
      <w:r w:rsidR="004C3813" w:rsidRPr="008F7511">
        <w:t>jának</w:t>
      </w:r>
      <w:r w:rsidRPr="008F7511">
        <w:t xml:space="preserve"> előkészítése”</w:t>
      </w:r>
      <w:r w:rsidRPr="008F7511">
        <w:rPr>
          <w:rStyle w:val="FootnoteReference"/>
        </w:rPr>
        <w:footnoteReference w:id="1"/>
      </w:r>
      <w:r w:rsidRPr="008F7511">
        <w:t>, valamint „Az Európai Unió saját forrásai rendszerének reformja”</w:t>
      </w:r>
      <w:r w:rsidRPr="008F7511">
        <w:rPr>
          <w:rStyle w:val="FootnoteReference"/>
        </w:rPr>
        <w:footnoteReference w:id="2"/>
      </w:r>
      <w:r w:rsidRPr="008F7511">
        <w:t xml:space="preserve"> című</w:t>
      </w:r>
      <w:r w:rsidR="00D33389" w:rsidRPr="008F7511">
        <w:t>,</w:t>
      </w:r>
      <w:r w:rsidRPr="008F7511">
        <w:t xml:space="preserve"> 2018. március 14-i állásfoglalásaira,</w:t>
      </w:r>
    </w:p>
    <w:p w14:paraId="33F700DF" w14:textId="77777777" w:rsidR="00346723" w:rsidRPr="008F7511" w:rsidRDefault="00346723" w:rsidP="00D33389">
      <w:pPr>
        <w:pStyle w:val="Normal12Hanging"/>
        <w:widowControl/>
      </w:pPr>
      <w:r w:rsidRPr="008F7511">
        <w:t>–</w:t>
      </w:r>
      <w:r w:rsidRPr="008F7511">
        <w:tab/>
        <w:t>tekintettel a 2021–2027. évi többéves pénzügyi keretről és saját forrásokról szóló, 2018. május 30-i állásfoglalására</w:t>
      </w:r>
      <w:r w:rsidRPr="008F7511">
        <w:rPr>
          <w:rStyle w:val="FootnoteReference"/>
        </w:rPr>
        <w:footnoteReference w:id="3"/>
      </w:r>
      <w:r w:rsidRPr="008F7511">
        <w:t>,</w:t>
      </w:r>
    </w:p>
    <w:p w14:paraId="25E92E99" w14:textId="009E2E4E" w:rsidR="00346723" w:rsidRPr="008F7511" w:rsidRDefault="00346723" w:rsidP="00D33389">
      <w:pPr>
        <w:pStyle w:val="Normal12Hanging"/>
        <w:widowControl/>
      </w:pPr>
      <w:r w:rsidRPr="008F7511">
        <w:t>–</w:t>
      </w:r>
      <w:r w:rsidRPr="008F7511">
        <w:tab/>
        <w:t xml:space="preserve">tekintettel az „Időközi jelentés a 2021 és 2027 közötti időszakra vonatkozó többéves pénzügyi keretről </w:t>
      </w:r>
      <w:r w:rsidR="00F76CF1" w:rsidRPr="008F7511">
        <w:t xml:space="preserve"> </w:t>
      </w:r>
      <w:r w:rsidRPr="008F7511">
        <w:t xml:space="preserve">– </w:t>
      </w:r>
      <w:proofErr w:type="gramStart"/>
      <w:r w:rsidRPr="008F7511">
        <w:t>A</w:t>
      </w:r>
      <w:proofErr w:type="gramEnd"/>
      <w:r w:rsidRPr="008F7511">
        <w:t xml:space="preserve"> Parlament álláspontja a megállapodás érdekében” című</w:t>
      </w:r>
      <w:r w:rsidR="00D33389" w:rsidRPr="008F7511">
        <w:t>,</w:t>
      </w:r>
      <w:r w:rsidRPr="008F7511">
        <w:t xml:space="preserve"> 2018. november 14-i állásfoglalására</w:t>
      </w:r>
      <w:r w:rsidRPr="008F7511">
        <w:rPr>
          <w:rStyle w:val="FootnoteReference"/>
        </w:rPr>
        <w:footnoteReference w:id="4"/>
      </w:r>
      <w:r w:rsidRPr="008F7511">
        <w:t>,</w:t>
      </w:r>
    </w:p>
    <w:p w14:paraId="7DAD7746" w14:textId="5563287D" w:rsidR="00346723" w:rsidRPr="008F7511" w:rsidRDefault="00346723" w:rsidP="00D33389">
      <w:pPr>
        <w:pStyle w:val="Normal12Hanging"/>
        <w:widowControl/>
      </w:pPr>
      <w:r w:rsidRPr="008F7511">
        <w:lastRenderedPageBreak/>
        <w:t>–</w:t>
      </w:r>
      <w:r w:rsidRPr="008F7511">
        <w:tab/>
        <w:t xml:space="preserve">tekintettel </w:t>
      </w:r>
      <w:r w:rsidR="004C3813" w:rsidRPr="008F7511">
        <w:t>az „</w:t>
      </w:r>
      <w:proofErr w:type="gramStart"/>
      <w:r w:rsidR="004C3813" w:rsidRPr="008F7511">
        <w:t>A</w:t>
      </w:r>
      <w:proofErr w:type="gramEnd"/>
      <w:r w:rsidR="004C3813" w:rsidRPr="008F7511">
        <w:t xml:space="preserve"> </w:t>
      </w:r>
      <w:r w:rsidR="00D33389" w:rsidRPr="008F7511">
        <w:t>2021–2027 közötti időszakra vonatkozó többéves pénzügyi keret</w:t>
      </w:r>
      <w:r w:rsidR="004C3813" w:rsidRPr="008F7511">
        <w:t>ről</w:t>
      </w:r>
      <w:r w:rsidR="00D33389" w:rsidRPr="008F7511">
        <w:t xml:space="preserve"> és a saját források</w:t>
      </w:r>
      <w:r w:rsidR="004C3813" w:rsidRPr="008F7511">
        <w:t>ról</w:t>
      </w:r>
      <w:r w:rsidR="00D33389" w:rsidRPr="008F7511">
        <w:t>: ideje megfelelni a polgárok elvárásainak” című</w:t>
      </w:r>
      <w:r w:rsidRPr="008F7511">
        <w:t>, 2019. október 10-i állásfoglalására</w:t>
      </w:r>
      <w:r w:rsidRPr="008F7511">
        <w:rPr>
          <w:rStyle w:val="FootnoteReference"/>
        </w:rPr>
        <w:footnoteReference w:id="5"/>
      </w:r>
      <w:r w:rsidRPr="008F7511">
        <w:t>,</w:t>
      </w:r>
    </w:p>
    <w:p w14:paraId="02C5B484" w14:textId="77777777" w:rsidR="00346723" w:rsidRPr="008F7511" w:rsidRDefault="00346723" w:rsidP="00D33389">
      <w:pPr>
        <w:pStyle w:val="Normal12Hanging"/>
        <w:widowControl/>
      </w:pPr>
      <w:r w:rsidRPr="008F7511">
        <w:t>–</w:t>
      </w:r>
      <w:r w:rsidRPr="008F7511">
        <w:tab/>
        <w:t xml:space="preserve">tekintettel a Bizottság és a Tanács </w:t>
      </w:r>
      <w:r w:rsidR="00D33389" w:rsidRPr="008F7511">
        <w:t xml:space="preserve">által, </w:t>
      </w:r>
      <w:r w:rsidRPr="008F7511">
        <w:t>„</w:t>
      </w:r>
      <w:proofErr w:type="gramStart"/>
      <w:r w:rsidRPr="008F7511">
        <w:t>A</w:t>
      </w:r>
      <w:proofErr w:type="gramEnd"/>
      <w:r w:rsidRPr="008F7511">
        <w:t xml:space="preserve"> 2021–2027 közötti időszakra vonatkozó többéves pénzügyi keret és a saját források: ideje megfelelni a polgárok elvárásainak” tekintetében 2019. október 10-én tett nyilatkozatokra,</w:t>
      </w:r>
    </w:p>
    <w:p w14:paraId="75AAD7A2" w14:textId="77777777" w:rsidR="00346723" w:rsidRPr="008F7511" w:rsidRDefault="00346723" w:rsidP="00D33389">
      <w:pPr>
        <w:pStyle w:val="NormalHanging12a"/>
        <w:widowControl/>
      </w:pPr>
      <w:r w:rsidRPr="008F7511">
        <w:t>–</w:t>
      </w:r>
      <w:r w:rsidRPr="008F7511">
        <w:tab/>
        <w:t>tekintettel az új többéves pénzügyi keretről, a saját forrásokról és a helyreállítási tervről szóló, 2020. május 15-i állásfoglalására</w:t>
      </w:r>
      <w:r w:rsidRPr="008F7511">
        <w:rPr>
          <w:rStyle w:val="FootnoteReference"/>
        </w:rPr>
        <w:footnoteReference w:id="6"/>
      </w:r>
      <w:r w:rsidRPr="008F7511">
        <w:t>,</w:t>
      </w:r>
    </w:p>
    <w:p w14:paraId="361F5E16" w14:textId="15E810E9" w:rsidR="00346723" w:rsidRPr="008F7511" w:rsidRDefault="00346723" w:rsidP="00D33389">
      <w:pPr>
        <w:pStyle w:val="NormalHanging12a"/>
        <w:widowControl/>
      </w:pPr>
      <w:r w:rsidRPr="008F7511">
        <w:t>–</w:t>
      </w:r>
      <w:r w:rsidRPr="008F7511">
        <w:tab/>
        <w:t xml:space="preserve">tekintettel </w:t>
      </w:r>
      <w:r w:rsidR="005F12B1" w:rsidRPr="008F7511">
        <w:t xml:space="preserve">az </w:t>
      </w:r>
      <w:r w:rsidRPr="008F7511">
        <w:t>„</w:t>
      </w:r>
      <w:r w:rsidR="005F12B1" w:rsidRPr="008F7511">
        <w:t>U</w:t>
      </w:r>
      <w:r w:rsidRPr="008F7511">
        <w:t xml:space="preserve">niós költségvetés </w:t>
      </w:r>
      <w:r w:rsidR="005F12B1" w:rsidRPr="008F7511">
        <w:t xml:space="preserve">– </w:t>
      </w:r>
      <w:r w:rsidRPr="008F7511">
        <w:t xml:space="preserve">az európai </w:t>
      </w:r>
      <w:r w:rsidR="005F12B1" w:rsidRPr="008F7511">
        <w:t xml:space="preserve">helyreállítási </w:t>
      </w:r>
      <w:r w:rsidRPr="008F7511">
        <w:t>terv motorja” című bizottsági közleményre (</w:t>
      </w:r>
      <w:proofErr w:type="gramStart"/>
      <w:r w:rsidRPr="008F7511">
        <w:t>COM(</w:t>
      </w:r>
      <w:proofErr w:type="gramEnd"/>
      <w:r w:rsidRPr="008F7511">
        <w:t>2020)0442),</w:t>
      </w:r>
    </w:p>
    <w:p w14:paraId="6C6942B0" w14:textId="77777777" w:rsidR="00346723" w:rsidRPr="008F7511" w:rsidRDefault="00346723" w:rsidP="00D33389">
      <w:pPr>
        <w:pStyle w:val="NormalHanging12a"/>
        <w:widowControl/>
      </w:pPr>
      <w:r w:rsidRPr="008F7511">
        <w:t>–</w:t>
      </w:r>
      <w:r w:rsidRPr="008F7511">
        <w:tab/>
        <w:t>tekintettel a saját forrásokkal foglalkozó magas szintű munkacsoport zárójelentésére és ajánlásaira, amelyeket 2016 decemberében tettek közzé, és amelyeket 2017 januárjában terjesztettek az Európai Parlament és a Tanács elé;</w:t>
      </w:r>
    </w:p>
    <w:p w14:paraId="1D304BD5" w14:textId="02DD7B3D" w:rsidR="00346723" w:rsidRPr="008F7511" w:rsidRDefault="00346723" w:rsidP="00D33389">
      <w:pPr>
        <w:pStyle w:val="NormalHanging12a"/>
        <w:widowControl/>
      </w:pPr>
      <w:r w:rsidRPr="008F7511">
        <w:t>–</w:t>
      </w:r>
      <w:r w:rsidRPr="008F7511">
        <w:tab/>
        <w:t>tekintettel az Európai Tanács 202</w:t>
      </w:r>
      <w:r w:rsidR="00C00F1D" w:rsidRPr="008F7511">
        <w:t>0</w:t>
      </w:r>
      <w:r w:rsidRPr="008F7511">
        <w:t>. július 17–21-i rendkívüli ülésének következtetéseiről szóló</w:t>
      </w:r>
      <w:r w:rsidR="00D33389" w:rsidRPr="008F7511">
        <w:t>,</w:t>
      </w:r>
      <w:r w:rsidRPr="008F7511">
        <w:t xml:space="preserve"> 2020. július 23-i állásfoglalására</w:t>
      </w:r>
      <w:r w:rsidRPr="008F7511">
        <w:rPr>
          <w:rStyle w:val="FootnoteReference"/>
        </w:rPr>
        <w:footnoteReference w:id="7"/>
      </w:r>
      <w:r w:rsidRPr="008F7511">
        <w:t>,</w:t>
      </w:r>
    </w:p>
    <w:p w14:paraId="60D9E173" w14:textId="77777777" w:rsidR="00346723" w:rsidRPr="008F7511" w:rsidRDefault="00346723" w:rsidP="00D33389">
      <w:pPr>
        <w:pStyle w:val="NormalHanging12a"/>
        <w:widowControl/>
      </w:pPr>
      <w:r w:rsidRPr="008F7511">
        <w:t>–</w:t>
      </w:r>
      <w:r w:rsidRPr="008F7511">
        <w:tab/>
        <w:t>tekintettel eljárási szabályzata 82. cikkére,</w:t>
      </w:r>
    </w:p>
    <w:p w14:paraId="21AAE606" w14:textId="77777777" w:rsidR="00346723" w:rsidRPr="008F7511" w:rsidRDefault="00346723" w:rsidP="00D33389">
      <w:pPr>
        <w:pStyle w:val="NormalHanging12a"/>
        <w:widowControl/>
      </w:pPr>
      <w:r w:rsidRPr="008F7511">
        <w:t>–</w:t>
      </w:r>
      <w:r w:rsidRPr="008F7511">
        <w:tab/>
        <w:t>tekintettel a Költségvetési Bizottság jelentésére (A9-0146/2020),</w:t>
      </w:r>
    </w:p>
    <w:p w14:paraId="34474793" w14:textId="77777777" w:rsidR="00346723" w:rsidRPr="008F7511" w:rsidRDefault="00346723" w:rsidP="00D33389">
      <w:pPr>
        <w:pStyle w:val="NormalHanging12a"/>
        <w:widowControl/>
      </w:pPr>
      <w:r w:rsidRPr="008F7511">
        <w:t>1.</w:t>
      </w:r>
      <w:r w:rsidRPr="008F7511">
        <w:tab/>
        <w:t>jóváhagyja a Tanács tervezetét annak módosított formájában;</w:t>
      </w:r>
    </w:p>
    <w:p w14:paraId="2D91B29D" w14:textId="77777777" w:rsidR="00346723" w:rsidRPr="008F7511" w:rsidRDefault="00346723" w:rsidP="00D33389">
      <w:pPr>
        <w:pStyle w:val="NormalHanging12a"/>
        <w:widowControl/>
      </w:pPr>
      <w:r w:rsidRPr="008F7511">
        <w:t>2.</w:t>
      </w:r>
      <w:r w:rsidRPr="008F7511">
        <w:tab/>
        <w:t>felhívja a Tanácsot, hogy tájékoztassa a Parlamentet arról, ha a Parlament által jóváhagyott szövegtől el kíván térni;</w:t>
      </w:r>
    </w:p>
    <w:p w14:paraId="497DED34" w14:textId="77777777" w:rsidR="00346723" w:rsidRPr="008F7511" w:rsidRDefault="00346723" w:rsidP="00D33389">
      <w:pPr>
        <w:pStyle w:val="NormalHanging12a"/>
        <w:widowControl/>
      </w:pPr>
      <w:r w:rsidRPr="008F7511">
        <w:t>3.</w:t>
      </w:r>
      <w:r w:rsidRPr="008F7511">
        <w:tab/>
        <w:t xml:space="preserve">felkéri a Tanácsot a Parlamenttel való újbóli </w:t>
      </w:r>
      <w:proofErr w:type="gramStart"/>
      <w:r w:rsidRPr="008F7511">
        <w:t>konzultációra</w:t>
      </w:r>
      <w:proofErr w:type="gramEnd"/>
      <w:r w:rsidRPr="008F7511">
        <w:t>, ha lényegesen módosítani kívánja saját tervezetét;</w:t>
      </w:r>
    </w:p>
    <w:p w14:paraId="7F01B842" w14:textId="77777777" w:rsidR="00346723" w:rsidRPr="008F7511" w:rsidRDefault="00346723" w:rsidP="00D33389">
      <w:pPr>
        <w:pStyle w:val="NormalHanging12a"/>
        <w:widowControl/>
      </w:pPr>
      <w:r w:rsidRPr="008F7511">
        <w:t>4.</w:t>
      </w:r>
      <w:r w:rsidRPr="008F7511">
        <w:tab/>
        <w:t>utasítja elnökét, hogy továbbítsa a Parlament álláspontját a Tanácsnak és a Bizottságnak, valamint a nemzeti parlamenteknek.</w:t>
      </w:r>
    </w:p>
    <w:p w14:paraId="0006AA0D" w14:textId="77777777" w:rsidR="00D33389" w:rsidRPr="008F7511" w:rsidRDefault="00D33389">
      <w:pPr>
        <w:widowControl/>
        <w:rPr>
          <w:b/>
        </w:rPr>
      </w:pPr>
      <w:r w:rsidRPr="008F7511">
        <w:br w:type="page"/>
      </w:r>
    </w:p>
    <w:p w14:paraId="1AB661C2" w14:textId="77777777" w:rsidR="00346723" w:rsidRPr="008F7511" w:rsidRDefault="00346723" w:rsidP="00346723">
      <w:pPr>
        <w:pStyle w:val="AmNumberTabs"/>
      </w:pPr>
      <w:r w:rsidRPr="008F7511">
        <w:lastRenderedPageBreak/>
        <w:t>Módosítás</w:t>
      </w:r>
      <w:r w:rsidRPr="008F7511">
        <w:tab/>
      </w:r>
      <w:r w:rsidRPr="008F7511">
        <w:tab/>
      </w:r>
      <w:r w:rsidRPr="008F7511">
        <w:rPr>
          <w:bCs/>
        </w:rPr>
        <w:t>1</w:t>
      </w:r>
    </w:p>
    <w:p w14:paraId="61D10952" w14:textId="77777777" w:rsidR="00346723" w:rsidRPr="008F7511" w:rsidRDefault="00346723" w:rsidP="00346723">
      <w:pPr>
        <w:pStyle w:val="NormalBold12b"/>
      </w:pPr>
      <w:r w:rsidRPr="008F7511">
        <w:t>Határozatra irányuló tervezet</w:t>
      </w:r>
    </w:p>
    <w:p w14:paraId="2B5F7EF5" w14:textId="77777777" w:rsidR="00346723" w:rsidRPr="008F7511" w:rsidRDefault="00346723" w:rsidP="00346723">
      <w:pPr>
        <w:pStyle w:val="NormalBold"/>
      </w:pPr>
      <w:r w:rsidRPr="008F7511">
        <w:t>1 a preambulumbekezdés (új)</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46723" w:rsidRPr="008F7511" w14:paraId="6712D3B3" w14:textId="77777777" w:rsidTr="00EC50CA">
        <w:trPr>
          <w:jc w:val="center"/>
        </w:trPr>
        <w:tc>
          <w:tcPr>
            <w:tcW w:w="9752" w:type="dxa"/>
            <w:gridSpan w:val="2"/>
          </w:tcPr>
          <w:p w14:paraId="099653A0" w14:textId="77777777" w:rsidR="00346723" w:rsidRPr="008F7511" w:rsidRDefault="00346723" w:rsidP="00EC50CA">
            <w:pPr>
              <w:keepNext/>
              <w:widowControl/>
              <w:rPr>
                <w:szCs w:val="24"/>
              </w:rPr>
            </w:pPr>
          </w:p>
        </w:tc>
      </w:tr>
      <w:tr w:rsidR="00346723" w:rsidRPr="008F7511" w14:paraId="5AFDF02C" w14:textId="77777777" w:rsidTr="00EC50CA">
        <w:tblPrEx>
          <w:tblLook w:val="0000" w:firstRow="0" w:lastRow="0" w:firstColumn="0" w:lastColumn="0" w:noHBand="0" w:noVBand="0"/>
        </w:tblPrEx>
        <w:trPr>
          <w:jc w:val="center"/>
        </w:trPr>
        <w:tc>
          <w:tcPr>
            <w:tcW w:w="4876" w:type="dxa"/>
          </w:tcPr>
          <w:p w14:paraId="58506B2B" w14:textId="77777777" w:rsidR="00346723" w:rsidRPr="008F7511" w:rsidRDefault="00346723" w:rsidP="00EC50CA">
            <w:pPr>
              <w:pStyle w:val="AmColumnHeading"/>
            </w:pPr>
            <w:r w:rsidRPr="008F7511">
              <w:t>A Tanács tervezete</w:t>
            </w:r>
          </w:p>
        </w:tc>
        <w:tc>
          <w:tcPr>
            <w:tcW w:w="4876" w:type="dxa"/>
          </w:tcPr>
          <w:p w14:paraId="202C351A" w14:textId="77777777" w:rsidR="00346723" w:rsidRPr="008F7511" w:rsidRDefault="00346723" w:rsidP="00EC50CA">
            <w:pPr>
              <w:pStyle w:val="AmColumnHeading"/>
            </w:pPr>
            <w:r w:rsidRPr="008F7511">
              <w:t>Módosítás</w:t>
            </w:r>
          </w:p>
        </w:tc>
      </w:tr>
      <w:tr w:rsidR="00346723" w:rsidRPr="008F7511" w14:paraId="706FE96E" w14:textId="77777777" w:rsidTr="00EC50CA">
        <w:trPr>
          <w:jc w:val="center"/>
        </w:trPr>
        <w:tc>
          <w:tcPr>
            <w:tcW w:w="4876" w:type="dxa"/>
          </w:tcPr>
          <w:p w14:paraId="5AF3BDFF" w14:textId="77777777" w:rsidR="00346723" w:rsidRPr="008F7511" w:rsidRDefault="00346723" w:rsidP="00EC50CA">
            <w:pPr>
              <w:pStyle w:val="Normal6a"/>
            </w:pPr>
          </w:p>
        </w:tc>
        <w:tc>
          <w:tcPr>
            <w:tcW w:w="4876" w:type="dxa"/>
            <w:hideMark/>
          </w:tcPr>
          <w:p w14:paraId="53CCBCB2" w14:textId="552F04DD" w:rsidR="00346723" w:rsidRPr="008F7511" w:rsidRDefault="00346723" w:rsidP="00F15064">
            <w:pPr>
              <w:pStyle w:val="Normal6a"/>
              <w:rPr>
                <w:b/>
                <w:i/>
              </w:rPr>
            </w:pPr>
            <w:r w:rsidRPr="008F7511">
              <w:rPr>
                <w:b/>
                <w:i/>
              </w:rPr>
              <w:t>(1a)</w:t>
            </w:r>
            <w:r w:rsidRPr="008F7511">
              <w:rPr>
                <w:b/>
                <w:i/>
              </w:rPr>
              <w:tab/>
            </w:r>
            <w:r w:rsidR="00F15064" w:rsidRPr="008F7511">
              <w:rPr>
                <w:b/>
                <w:i/>
              </w:rPr>
              <w:t>Ez a</w:t>
            </w:r>
            <w:r w:rsidRPr="008F7511">
              <w:rPr>
                <w:b/>
                <w:i/>
              </w:rPr>
              <w:t xml:space="preserve"> határozat jogalapot biztosít a Bizottság számára ahhoz, hogy a tőkepiacokon hitelt vegyen fel a </w:t>
            </w:r>
            <w:proofErr w:type="spellStart"/>
            <w:r w:rsidRPr="008F7511">
              <w:rPr>
                <w:b/>
                <w:i/>
              </w:rPr>
              <w:t>Next</w:t>
            </w:r>
            <w:proofErr w:type="spellEnd"/>
            <w:r w:rsidRPr="008F7511">
              <w:rPr>
                <w:b/>
                <w:i/>
              </w:rPr>
              <w:t xml:space="preserve"> </w:t>
            </w:r>
            <w:proofErr w:type="spellStart"/>
            <w:r w:rsidRPr="008F7511">
              <w:rPr>
                <w:b/>
                <w:i/>
              </w:rPr>
              <w:t>Generation</w:t>
            </w:r>
            <w:proofErr w:type="spellEnd"/>
            <w:r w:rsidRPr="008F7511">
              <w:rPr>
                <w:b/>
                <w:i/>
              </w:rPr>
              <w:t xml:space="preserve"> EU </w:t>
            </w:r>
            <w:r w:rsidR="00F15064" w:rsidRPr="008F7511">
              <w:rPr>
                <w:b/>
                <w:i/>
              </w:rPr>
              <w:t xml:space="preserve">helyreállítási </w:t>
            </w:r>
            <w:r w:rsidRPr="008F7511">
              <w:rPr>
                <w:b/>
                <w:i/>
              </w:rPr>
              <w:t xml:space="preserve">csomag keretében felmerülő kiadások </w:t>
            </w:r>
            <w:proofErr w:type="gramStart"/>
            <w:r w:rsidRPr="008F7511">
              <w:rPr>
                <w:b/>
                <w:i/>
              </w:rPr>
              <w:t>finanszírozása</w:t>
            </w:r>
            <w:proofErr w:type="gramEnd"/>
            <w:r w:rsidRPr="008F7511">
              <w:rPr>
                <w:b/>
                <w:i/>
              </w:rPr>
              <w:t xml:space="preserve"> céljából. A tőke visszafizetéséve</w:t>
            </w:r>
            <w:r w:rsidR="00F15064" w:rsidRPr="008F7511">
              <w:rPr>
                <w:b/>
                <w:i/>
              </w:rPr>
              <w:t>l</w:t>
            </w:r>
            <w:r w:rsidRPr="008F7511">
              <w:rPr>
                <w:b/>
                <w:i/>
              </w:rPr>
              <w:t xml:space="preserve"> és a kamatfizetéssel kapcsolatos költségeket a kibocsátott kötvények lejárata és az adósságtörlesztési stratégia függvényében előre meghatározott időkeretben újra kell </w:t>
            </w:r>
            <w:proofErr w:type="gramStart"/>
            <w:r w:rsidRPr="008F7511">
              <w:rPr>
                <w:b/>
                <w:i/>
              </w:rPr>
              <w:t>finanszírozni</w:t>
            </w:r>
            <w:proofErr w:type="gramEnd"/>
            <w:r w:rsidRPr="008F7511">
              <w:rPr>
                <w:b/>
                <w:i/>
              </w:rPr>
              <w:t xml:space="preserve"> az uniós költségvetésből. Ezek a költségek nem vezethetnek a többéves pénzügyi keret szerinti programkiadások vagy beruházási eszközök indokolatlan csökkentéséhez, és nem idézhetik elő a nemzeti hozzájárulások ugrásszerű megemelkedését sem. Ezért, valamint a </w:t>
            </w:r>
            <w:proofErr w:type="spellStart"/>
            <w:r w:rsidRPr="008F7511">
              <w:rPr>
                <w:b/>
                <w:i/>
              </w:rPr>
              <w:t>Next</w:t>
            </w:r>
            <w:proofErr w:type="spellEnd"/>
            <w:r w:rsidRPr="008F7511">
              <w:rPr>
                <w:b/>
                <w:i/>
              </w:rPr>
              <w:t xml:space="preserve"> </w:t>
            </w:r>
            <w:proofErr w:type="spellStart"/>
            <w:r w:rsidRPr="008F7511">
              <w:rPr>
                <w:b/>
                <w:i/>
              </w:rPr>
              <w:t>Generation</w:t>
            </w:r>
            <w:proofErr w:type="spellEnd"/>
            <w:r w:rsidRPr="008F7511">
              <w:rPr>
                <w:b/>
                <w:i/>
              </w:rPr>
              <w:t xml:space="preserve"> EU visszafizetési terve hitelességének és fenntarthatóságának fokozása érdekében ezeket a költségeket teljes egészében </w:t>
            </w:r>
            <w:r w:rsidR="00F15064" w:rsidRPr="008F7511">
              <w:rPr>
                <w:b/>
                <w:i/>
              </w:rPr>
              <w:t xml:space="preserve">az új </w:t>
            </w:r>
            <w:r w:rsidRPr="008F7511">
              <w:rPr>
                <w:b/>
                <w:i/>
              </w:rPr>
              <w:t>valódi saját forrásokból származó bevételből kell fedezni. A kapcsolódó kiadási előirányzatokat a többéves pénzügyi keret felső határai felett kell figyelembe venni</w:t>
            </w:r>
            <w:r w:rsidR="00F15064" w:rsidRPr="008F7511">
              <w:rPr>
                <w:b/>
                <w:i/>
              </w:rPr>
              <w:t>, ahogyan arról a többéves pénzügyi keretről szóló új rendelet rendelkezni fog</w:t>
            </w:r>
            <w:r w:rsidRPr="008F7511">
              <w:rPr>
                <w:b/>
                <w:i/>
              </w:rPr>
              <w:t xml:space="preserve">. </w:t>
            </w:r>
          </w:p>
        </w:tc>
      </w:tr>
    </w:tbl>
    <w:p w14:paraId="105B08F7" w14:textId="77777777" w:rsidR="00346723" w:rsidRPr="008F7511" w:rsidRDefault="00346723" w:rsidP="00346723">
      <w:pPr>
        <w:pStyle w:val="AmNumberTabs"/>
      </w:pPr>
      <w:r w:rsidRPr="008F7511">
        <w:t>Módosítás</w:t>
      </w:r>
      <w:r w:rsidRPr="008F7511">
        <w:tab/>
      </w:r>
      <w:r w:rsidRPr="008F7511">
        <w:tab/>
      </w:r>
      <w:r w:rsidRPr="008F7511">
        <w:rPr>
          <w:bCs/>
        </w:rPr>
        <w:t>2</w:t>
      </w:r>
    </w:p>
    <w:p w14:paraId="0F73A3B5" w14:textId="77777777" w:rsidR="00346723" w:rsidRPr="008F7511" w:rsidRDefault="00346723" w:rsidP="00346723">
      <w:pPr>
        <w:pStyle w:val="NormalBold12b"/>
      </w:pPr>
      <w:r w:rsidRPr="008F7511">
        <w:t>Határozatra irányuló tervezet</w:t>
      </w:r>
    </w:p>
    <w:p w14:paraId="625BFE2A" w14:textId="77777777" w:rsidR="00346723" w:rsidRPr="008F7511" w:rsidRDefault="00346723" w:rsidP="00346723">
      <w:pPr>
        <w:pStyle w:val="NormalBold"/>
      </w:pPr>
      <w:r w:rsidRPr="008F7511">
        <w:t>1 b preambulumbekezdés (új)</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46723" w:rsidRPr="008F7511" w14:paraId="72628BCC" w14:textId="77777777" w:rsidTr="00EC50CA">
        <w:trPr>
          <w:jc w:val="center"/>
        </w:trPr>
        <w:tc>
          <w:tcPr>
            <w:tcW w:w="9752" w:type="dxa"/>
            <w:gridSpan w:val="2"/>
          </w:tcPr>
          <w:p w14:paraId="7E327FEC" w14:textId="77777777" w:rsidR="00346723" w:rsidRPr="008F7511" w:rsidRDefault="00346723" w:rsidP="00EC50CA">
            <w:pPr>
              <w:keepNext/>
              <w:widowControl/>
              <w:rPr>
                <w:szCs w:val="24"/>
              </w:rPr>
            </w:pPr>
          </w:p>
        </w:tc>
      </w:tr>
      <w:tr w:rsidR="00346723" w:rsidRPr="008F7511" w14:paraId="6AE18D8F" w14:textId="77777777" w:rsidTr="00EC50CA">
        <w:tblPrEx>
          <w:tblLook w:val="0000" w:firstRow="0" w:lastRow="0" w:firstColumn="0" w:lastColumn="0" w:noHBand="0" w:noVBand="0"/>
        </w:tblPrEx>
        <w:trPr>
          <w:jc w:val="center"/>
        </w:trPr>
        <w:tc>
          <w:tcPr>
            <w:tcW w:w="4876" w:type="dxa"/>
          </w:tcPr>
          <w:p w14:paraId="499A161B" w14:textId="77777777" w:rsidR="00346723" w:rsidRPr="008F7511" w:rsidRDefault="00346723" w:rsidP="00EC50CA">
            <w:pPr>
              <w:pStyle w:val="AmColumnHeading"/>
            </w:pPr>
            <w:r w:rsidRPr="008F7511">
              <w:t>A Tanács tervezete</w:t>
            </w:r>
          </w:p>
        </w:tc>
        <w:tc>
          <w:tcPr>
            <w:tcW w:w="4876" w:type="dxa"/>
          </w:tcPr>
          <w:p w14:paraId="374EF389" w14:textId="77777777" w:rsidR="00346723" w:rsidRPr="008F7511" w:rsidRDefault="00346723" w:rsidP="00EC50CA">
            <w:pPr>
              <w:pStyle w:val="AmColumnHeading"/>
            </w:pPr>
            <w:r w:rsidRPr="008F7511">
              <w:t>Módosítás</w:t>
            </w:r>
          </w:p>
        </w:tc>
      </w:tr>
      <w:tr w:rsidR="00346723" w:rsidRPr="008F7511" w14:paraId="5A492D51" w14:textId="77777777" w:rsidTr="00EC50CA">
        <w:trPr>
          <w:jc w:val="center"/>
        </w:trPr>
        <w:tc>
          <w:tcPr>
            <w:tcW w:w="4876" w:type="dxa"/>
          </w:tcPr>
          <w:p w14:paraId="6A008907" w14:textId="77777777" w:rsidR="00346723" w:rsidRPr="008F7511" w:rsidRDefault="00346723" w:rsidP="00EC50CA">
            <w:pPr>
              <w:pStyle w:val="Normal6a"/>
            </w:pPr>
          </w:p>
        </w:tc>
        <w:tc>
          <w:tcPr>
            <w:tcW w:w="4876" w:type="dxa"/>
            <w:hideMark/>
          </w:tcPr>
          <w:p w14:paraId="3195C8E8" w14:textId="2CC15C59" w:rsidR="00346723" w:rsidRPr="008F7511" w:rsidRDefault="00346723" w:rsidP="00E35C44">
            <w:pPr>
              <w:pStyle w:val="Normal6a"/>
              <w:rPr>
                <w:b/>
                <w:i/>
              </w:rPr>
            </w:pPr>
            <w:r w:rsidRPr="008F7511">
              <w:rPr>
                <w:b/>
                <w:i/>
              </w:rPr>
              <w:t>(1b)</w:t>
            </w:r>
            <w:r w:rsidRPr="008F7511">
              <w:rPr>
                <w:szCs w:val="24"/>
              </w:rPr>
              <w:tab/>
            </w:r>
            <w:r w:rsidRPr="008F7511">
              <w:rPr>
                <w:b/>
                <w:i/>
              </w:rPr>
              <w:t xml:space="preserve">Az új saját forrásoknak az adott év törlesztési kötelezettségeinek fedezését követően fennmaradó összegét általános bevételként az uniós költségvetésbe kell befizetni.  A visszafizetési terv lejártát követően </w:t>
            </w:r>
            <w:r w:rsidR="00E35C44" w:rsidRPr="008F7511">
              <w:rPr>
                <w:b/>
                <w:i/>
              </w:rPr>
              <w:t>az említett</w:t>
            </w:r>
            <w:r w:rsidRPr="008F7511">
              <w:rPr>
                <w:b/>
                <w:i/>
              </w:rPr>
              <w:t xml:space="preserve"> saját forrásoknak a </w:t>
            </w:r>
            <w:r w:rsidRPr="008F7511">
              <w:rPr>
                <w:b/>
                <w:i/>
              </w:rPr>
              <w:lastRenderedPageBreak/>
              <w:t xml:space="preserve">továbbiakban általános bevételként az Unió költségvetését kell </w:t>
            </w:r>
            <w:proofErr w:type="gramStart"/>
            <w:r w:rsidRPr="008F7511">
              <w:rPr>
                <w:b/>
                <w:i/>
              </w:rPr>
              <w:t>finanszírozniuk</w:t>
            </w:r>
            <w:proofErr w:type="gramEnd"/>
            <w:r w:rsidRPr="008F7511">
              <w:rPr>
                <w:b/>
                <w:i/>
              </w:rPr>
              <w:t>. Az új sajátforrás</w:t>
            </w:r>
            <w:r w:rsidR="00E35C44" w:rsidRPr="008F7511">
              <w:rPr>
                <w:b/>
                <w:i/>
              </w:rPr>
              <w:t xml:space="preserve">-kosár </w:t>
            </w:r>
            <w:r w:rsidRPr="008F7511">
              <w:rPr>
                <w:b/>
                <w:i/>
              </w:rPr>
              <w:t>bevezetésének garantálnia kell az uniós kiadások megfelelő szintű finanszírozását a többéves pénzügyi keretben, mérsékelve a GNI-alapú nemzeti hozzájárulások túlsúlyát az Unió éves költségvetésének finanszírozásában, és ezáltal csökkentenie kell az uniós költségvetés „</w:t>
            </w:r>
            <w:proofErr w:type="gramStart"/>
            <w:r w:rsidRPr="008F7511">
              <w:rPr>
                <w:b/>
                <w:i/>
              </w:rPr>
              <w:t>nulla összegű</w:t>
            </w:r>
            <w:proofErr w:type="gramEnd"/>
            <w:r w:rsidRPr="008F7511">
              <w:rPr>
                <w:b/>
                <w:i/>
              </w:rPr>
              <w:t xml:space="preserve"> játékként” való felfogását, amelyet a „méltányos megtérülés” gyakorlata jellemez. Ez </w:t>
            </w:r>
            <w:r w:rsidR="00970BB3" w:rsidRPr="008F7511">
              <w:rPr>
                <w:b/>
                <w:i/>
              </w:rPr>
              <w:t xml:space="preserve">egyben </w:t>
            </w:r>
            <w:r w:rsidRPr="008F7511">
              <w:rPr>
                <w:b/>
                <w:i/>
              </w:rPr>
              <w:t>elősegíthet</w:t>
            </w:r>
            <w:r w:rsidR="00970BB3" w:rsidRPr="008F7511">
              <w:rPr>
                <w:b/>
                <w:i/>
              </w:rPr>
              <w:t>né azt</w:t>
            </w:r>
            <w:r w:rsidRPr="008F7511">
              <w:rPr>
                <w:b/>
                <w:i/>
              </w:rPr>
              <w:t>, hogy uniós szinten a kiadások jobban a kiemelt területekre és a közös közjavakra összpontosuljanak, és jelentős hatékonyságnövekedést érjenek el a nemzeti kiadásokhoz képest.</w:t>
            </w:r>
          </w:p>
        </w:tc>
      </w:tr>
    </w:tbl>
    <w:p w14:paraId="445C6FBE" w14:textId="77777777" w:rsidR="00346723" w:rsidRPr="008F7511" w:rsidRDefault="00346723" w:rsidP="00346723">
      <w:pPr>
        <w:pStyle w:val="AmNumberTabs"/>
      </w:pPr>
      <w:r w:rsidRPr="008F7511">
        <w:lastRenderedPageBreak/>
        <w:t>Módosítás</w:t>
      </w:r>
      <w:r w:rsidRPr="008F7511">
        <w:tab/>
        <w:t>3</w:t>
      </w:r>
    </w:p>
    <w:p w14:paraId="29379468" w14:textId="77777777" w:rsidR="00346723" w:rsidRPr="008F7511" w:rsidRDefault="00346723" w:rsidP="00346723">
      <w:pPr>
        <w:pStyle w:val="NormalBold12b"/>
      </w:pPr>
      <w:r w:rsidRPr="008F7511">
        <w:t>Határozatra irányuló tervezet</w:t>
      </w:r>
    </w:p>
    <w:p w14:paraId="54451F17" w14:textId="77777777" w:rsidR="00346723" w:rsidRPr="008F7511" w:rsidRDefault="00346723" w:rsidP="00346723">
      <w:pPr>
        <w:pStyle w:val="NormalBold"/>
      </w:pPr>
      <w:r w:rsidRPr="008F7511">
        <w:t>1 c preambulumbekezdés (új)</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46723" w:rsidRPr="008F7511" w14:paraId="2E8A21AC" w14:textId="77777777" w:rsidTr="00EC50CA">
        <w:trPr>
          <w:jc w:val="center"/>
        </w:trPr>
        <w:tc>
          <w:tcPr>
            <w:tcW w:w="9752" w:type="dxa"/>
            <w:gridSpan w:val="2"/>
          </w:tcPr>
          <w:p w14:paraId="7AC68FDE" w14:textId="77777777" w:rsidR="00346723" w:rsidRPr="008F7511" w:rsidRDefault="00346723" w:rsidP="00EC50CA">
            <w:pPr>
              <w:keepNext/>
              <w:widowControl/>
              <w:rPr>
                <w:szCs w:val="24"/>
              </w:rPr>
            </w:pPr>
          </w:p>
        </w:tc>
      </w:tr>
      <w:tr w:rsidR="00346723" w:rsidRPr="008F7511" w14:paraId="193A50BC" w14:textId="77777777" w:rsidTr="00EC50CA">
        <w:tblPrEx>
          <w:tblLook w:val="0000" w:firstRow="0" w:lastRow="0" w:firstColumn="0" w:lastColumn="0" w:noHBand="0" w:noVBand="0"/>
        </w:tblPrEx>
        <w:trPr>
          <w:jc w:val="center"/>
        </w:trPr>
        <w:tc>
          <w:tcPr>
            <w:tcW w:w="4876" w:type="dxa"/>
          </w:tcPr>
          <w:p w14:paraId="043A9E3A" w14:textId="77777777" w:rsidR="00346723" w:rsidRPr="008F7511" w:rsidRDefault="00346723" w:rsidP="00EC50CA">
            <w:pPr>
              <w:pStyle w:val="AmColumnHeading"/>
            </w:pPr>
            <w:r w:rsidRPr="008F7511">
              <w:t>A Tanács tervezete</w:t>
            </w:r>
          </w:p>
        </w:tc>
        <w:tc>
          <w:tcPr>
            <w:tcW w:w="4876" w:type="dxa"/>
          </w:tcPr>
          <w:p w14:paraId="57D4C945" w14:textId="77777777" w:rsidR="00346723" w:rsidRPr="008F7511" w:rsidRDefault="00346723" w:rsidP="00EC50CA">
            <w:pPr>
              <w:pStyle w:val="AmColumnHeading"/>
            </w:pPr>
            <w:r w:rsidRPr="008F7511">
              <w:t>Módosítás</w:t>
            </w:r>
          </w:p>
        </w:tc>
      </w:tr>
      <w:tr w:rsidR="00346723" w:rsidRPr="008F7511" w14:paraId="395DB1CC" w14:textId="77777777" w:rsidTr="00EC50CA">
        <w:trPr>
          <w:jc w:val="center"/>
        </w:trPr>
        <w:tc>
          <w:tcPr>
            <w:tcW w:w="4876" w:type="dxa"/>
          </w:tcPr>
          <w:p w14:paraId="6D37E8A7" w14:textId="77777777" w:rsidR="00346723" w:rsidRPr="008F7511" w:rsidRDefault="00346723" w:rsidP="00EC50CA">
            <w:pPr>
              <w:pStyle w:val="Normal6a"/>
            </w:pPr>
          </w:p>
        </w:tc>
        <w:tc>
          <w:tcPr>
            <w:tcW w:w="4876" w:type="dxa"/>
            <w:hideMark/>
          </w:tcPr>
          <w:p w14:paraId="14E53CE4" w14:textId="110087B8" w:rsidR="00346723" w:rsidRPr="008F7511" w:rsidRDefault="00346723" w:rsidP="00D76DCF">
            <w:pPr>
              <w:pStyle w:val="Normal6a"/>
              <w:rPr>
                <w:b/>
                <w:bCs/>
                <w:i/>
                <w:iCs/>
              </w:rPr>
            </w:pPr>
            <w:r w:rsidRPr="008F7511">
              <w:rPr>
                <w:b/>
                <w:bCs/>
                <w:i/>
                <w:iCs/>
              </w:rPr>
              <w:t>(1c)</w:t>
            </w:r>
            <w:r w:rsidRPr="008F7511">
              <w:rPr>
                <w:b/>
                <w:bCs/>
                <w:i/>
                <w:iCs/>
              </w:rPr>
              <w:tab/>
              <w:t xml:space="preserve">Annak érdekében, hogy bevételeik a kamat- és visszafizetési kötelezettségek felmerülésekor rendelkezésre álljanak, a saját források új </w:t>
            </w:r>
            <w:proofErr w:type="gramStart"/>
            <w:r w:rsidRPr="008F7511">
              <w:rPr>
                <w:b/>
                <w:bCs/>
                <w:i/>
                <w:iCs/>
              </w:rPr>
              <w:t>kategóriáit</w:t>
            </w:r>
            <w:proofErr w:type="gramEnd"/>
            <w:r w:rsidR="00D76DCF" w:rsidRPr="008F7511">
              <w:rPr>
                <w:b/>
                <w:bCs/>
                <w:i/>
                <w:iCs/>
              </w:rPr>
              <w:t xml:space="preserve"> 2021-től be kell vezetni</w:t>
            </w:r>
            <w:r w:rsidRPr="008F7511">
              <w:rPr>
                <w:b/>
                <w:bCs/>
                <w:i/>
                <w:iCs/>
              </w:rPr>
              <w:t>. Az új saját forrásoknak az uniós szakpolitikai célkitűzésekhez kell igazodniuk, és támogatniuk kell az európai zöld megállapodást és az egységes piac működését, valamint a társasági adózás hatékonyságának javítására és az adócsalás, az adókijátszás és az adókikerülés elleni küzdelem erősítésére irányuló erőfeszítéseket. Az Európai Parlament a többéves pénzügyi keretről és a saját forrásokról szóló, 2018. novemberi időközi jelentésében már jóváhagyta az ilyen jellemzőkkel rendelkező új saját források és más bevételek lehetséges kosarát; ez a kosár tovább bővíthető további lehetőségekkel.</w:t>
            </w:r>
          </w:p>
        </w:tc>
      </w:tr>
    </w:tbl>
    <w:p w14:paraId="5A7AB713" w14:textId="77777777" w:rsidR="00346723" w:rsidRPr="008F7511" w:rsidRDefault="00346723" w:rsidP="00346723">
      <w:pPr>
        <w:pStyle w:val="AmNumberTabs"/>
      </w:pPr>
      <w:r w:rsidRPr="008F7511">
        <w:t>Módosítás</w:t>
      </w:r>
      <w:r w:rsidRPr="008F7511">
        <w:tab/>
      </w:r>
      <w:r w:rsidRPr="008F7511">
        <w:tab/>
        <w:t>4</w:t>
      </w:r>
    </w:p>
    <w:p w14:paraId="30CE372F" w14:textId="77777777" w:rsidR="00346723" w:rsidRPr="008F7511" w:rsidRDefault="00346723" w:rsidP="00346723">
      <w:pPr>
        <w:pStyle w:val="NormalBold12b"/>
      </w:pPr>
      <w:r w:rsidRPr="008F7511">
        <w:t>Határozatra irányuló tervezet</w:t>
      </w:r>
    </w:p>
    <w:p w14:paraId="7227D366" w14:textId="77777777" w:rsidR="00346723" w:rsidRPr="008F7511" w:rsidRDefault="00346723" w:rsidP="00346723">
      <w:pPr>
        <w:pStyle w:val="NormalBold"/>
      </w:pPr>
      <w:r w:rsidRPr="008F7511">
        <w:lastRenderedPageBreak/>
        <w:t>5 preambulumbekezdés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46723" w:rsidRPr="008F7511" w14:paraId="191A09F0" w14:textId="77777777" w:rsidTr="00EC50CA">
        <w:trPr>
          <w:jc w:val="center"/>
        </w:trPr>
        <w:tc>
          <w:tcPr>
            <w:tcW w:w="9752" w:type="dxa"/>
            <w:gridSpan w:val="2"/>
          </w:tcPr>
          <w:p w14:paraId="7CE5DB46" w14:textId="77777777" w:rsidR="00346723" w:rsidRPr="008F7511" w:rsidRDefault="00346723" w:rsidP="00EC50CA">
            <w:pPr>
              <w:keepNext/>
              <w:widowControl/>
              <w:rPr>
                <w:szCs w:val="24"/>
              </w:rPr>
            </w:pPr>
          </w:p>
        </w:tc>
      </w:tr>
      <w:tr w:rsidR="00346723" w:rsidRPr="008F7511" w14:paraId="269F2D5B" w14:textId="77777777" w:rsidTr="00EC50CA">
        <w:tblPrEx>
          <w:tblLook w:val="0000" w:firstRow="0" w:lastRow="0" w:firstColumn="0" w:lastColumn="0" w:noHBand="0" w:noVBand="0"/>
        </w:tblPrEx>
        <w:trPr>
          <w:jc w:val="center"/>
        </w:trPr>
        <w:tc>
          <w:tcPr>
            <w:tcW w:w="4876" w:type="dxa"/>
          </w:tcPr>
          <w:p w14:paraId="16FBF942" w14:textId="77777777" w:rsidR="00346723" w:rsidRPr="008F7511" w:rsidRDefault="00346723" w:rsidP="00EC50CA">
            <w:pPr>
              <w:pStyle w:val="AmColumnHeading"/>
            </w:pPr>
            <w:r w:rsidRPr="008F7511">
              <w:t>A Tanács tervezete</w:t>
            </w:r>
          </w:p>
        </w:tc>
        <w:tc>
          <w:tcPr>
            <w:tcW w:w="4876" w:type="dxa"/>
          </w:tcPr>
          <w:p w14:paraId="5B960DE0" w14:textId="77777777" w:rsidR="00346723" w:rsidRPr="008F7511" w:rsidRDefault="00346723" w:rsidP="00EC50CA">
            <w:pPr>
              <w:pStyle w:val="AmColumnHeading"/>
            </w:pPr>
            <w:r w:rsidRPr="008F7511">
              <w:t>Módosítás</w:t>
            </w:r>
          </w:p>
        </w:tc>
      </w:tr>
      <w:tr w:rsidR="00346723" w:rsidRPr="008F7511" w14:paraId="6B472169" w14:textId="77777777" w:rsidTr="00EC50CA">
        <w:trPr>
          <w:jc w:val="center"/>
        </w:trPr>
        <w:tc>
          <w:tcPr>
            <w:tcW w:w="4876" w:type="dxa"/>
            <w:hideMark/>
          </w:tcPr>
          <w:p w14:paraId="439BD3E0" w14:textId="77777777" w:rsidR="00346723" w:rsidRPr="008F7511" w:rsidRDefault="00346723" w:rsidP="00EC50CA">
            <w:pPr>
              <w:pStyle w:val="Normal6a"/>
              <w:rPr>
                <w:szCs w:val="24"/>
              </w:rPr>
            </w:pPr>
            <w:r w:rsidRPr="008F7511">
              <w:t>(5)</w:t>
            </w:r>
            <w:r w:rsidRPr="008F7511">
              <w:tab/>
              <w:t xml:space="preserve">A Számvevőszék, az Európai Parlament és a tagállamok többször bírálták a </w:t>
            </w:r>
            <w:proofErr w:type="spellStart"/>
            <w:r w:rsidRPr="008F7511">
              <w:t>héaalapú</w:t>
            </w:r>
            <w:proofErr w:type="spellEnd"/>
            <w:r w:rsidRPr="008F7511">
              <w:t xml:space="preserve"> saját forrás meghatározásának jelenlegi rendszerét a túlzott bonyolultsága miatt. </w:t>
            </w:r>
            <w:r w:rsidRPr="008F7511">
              <w:rPr>
                <w:b/>
                <w:i/>
              </w:rPr>
              <w:t xml:space="preserve">Az Európai Tanács a 2020. július 17–21-i ülésén </w:t>
            </w:r>
            <w:r w:rsidRPr="008F7511">
              <w:t>ezért</w:t>
            </w:r>
            <w:r w:rsidRPr="008F7511">
              <w:rPr>
                <w:b/>
                <w:i/>
              </w:rPr>
              <w:t xml:space="preserve"> azt a következtetést fogalmazta meg, hogy</w:t>
            </w:r>
            <w:r w:rsidRPr="008F7511">
              <w:t xml:space="preserve"> helyénvaló egyszerűsíteni e saját forrás kiszámítását.</w:t>
            </w:r>
          </w:p>
        </w:tc>
        <w:tc>
          <w:tcPr>
            <w:tcW w:w="4876" w:type="dxa"/>
            <w:hideMark/>
          </w:tcPr>
          <w:p w14:paraId="4C1C0DB8" w14:textId="77777777" w:rsidR="00346723" w:rsidRPr="008F7511" w:rsidRDefault="00346723" w:rsidP="00EC50CA">
            <w:pPr>
              <w:pStyle w:val="Normal6a"/>
              <w:rPr>
                <w:szCs w:val="24"/>
              </w:rPr>
            </w:pPr>
            <w:r w:rsidRPr="008F7511">
              <w:t>(5)</w:t>
            </w:r>
            <w:r w:rsidRPr="008F7511">
              <w:tab/>
            </w:r>
            <w:r w:rsidRPr="008F7511">
              <w:rPr>
                <w:b/>
                <w:bCs/>
                <w:i/>
                <w:iCs/>
              </w:rPr>
              <w:t xml:space="preserve">A hozzáadottérték-adón alapuló saját forrás az uniós költségvetés jól bevált bevételi forrása, és továbbra is tükröznie kell az egységes piac fogyasztói és az uniós államháztartás közötti szerves kapcsolatot. </w:t>
            </w:r>
            <w:r w:rsidRPr="008F7511">
              <w:rPr>
                <w:b/>
                <w:i/>
              </w:rPr>
              <w:t xml:space="preserve">A </w:t>
            </w:r>
            <w:r w:rsidRPr="008F7511">
              <w:t>Számvevőszék, az Európai Parlament és a tagállamok</w:t>
            </w:r>
            <w:r w:rsidRPr="008F7511">
              <w:rPr>
                <w:b/>
                <w:i/>
              </w:rPr>
              <w:t xml:space="preserve"> azonban</w:t>
            </w:r>
            <w:r w:rsidRPr="008F7511">
              <w:t xml:space="preserve"> többször bírálták a </w:t>
            </w:r>
            <w:proofErr w:type="spellStart"/>
            <w:r w:rsidRPr="008F7511">
              <w:t>héaalapú</w:t>
            </w:r>
            <w:proofErr w:type="spellEnd"/>
            <w:r w:rsidRPr="008F7511">
              <w:t xml:space="preserve"> saját forrás meghatározásának jelenlegi rendszerét a túlzott bonyolultsága miatt. </w:t>
            </w:r>
            <w:r w:rsidRPr="008F7511">
              <w:rPr>
                <w:b/>
                <w:i/>
              </w:rPr>
              <w:t>Ezért</w:t>
            </w:r>
            <w:r w:rsidRPr="008F7511">
              <w:t xml:space="preserve"> helyénvaló egyszerűsíteni e saját forrás kiszámítását.</w:t>
            </w:r>
          </w:p>
        </w:tc>
      </w:tr>
    </w:tbl>
    <w:p w14:paraId="22D9A39F" w14:textId="77777777" w:rsidR="00346723" w:rsidRPr="008F7511" w:rsidRDefault="00346723" w:rsidP="00346723">
      <w:pPr>
        <w:pStyle w:val="AmNumberTabs"/>
      </w:pPr>
      <w:r w:rsidRPr="008F7511">
        <w:t>Módosítás</w:t>
      </w:r>
      <w:r w:rsidRPr="008F7511">
        <w:tab/>
      </w:r>
      <w:r w:rsidRPr="008F7511">
        <w:tab/>
        <w:t>5</w:t>
      </w:r>
    </w:p>
    <w:p w14:paraId="1266C296" w14:textId="77777777" w:rsidR="00346723" w:rsidRPr="008F7511" w:rsidRDefault="00346723" w:rsidP="00346723">
      <w:pPr>
        <w:pStyle w:val="NormalBold12b"/>
      </w:pPr>
      <w:r w:rsidRPr="008F7511">
        <w:t>Határozatra irányuló tervezet</w:t>
      </w:r>
    </w:p>
    <w:p w14:paraId="0B43B456" w14:textId="77777777" w:rsidR="00346723" w:rsidRPr="008F7511" w:rsidRDefault="00346723" w:rsidP="00346723">
      <w:pPr>
        <w:pStyle w:val="NormalBold"/>
      </w:pPr>
      <w:r w:rsidRPr="008F7511">
        <w:t>6 preambulumbekezdés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46723" w:rsidRPr="008F7511" w14:paraId="5E5FC68D" w14:textId="77777777" w:rsidTr="00EC50CA">
        <w:trPr>
          <w:jc w:val="center"/>
        </w:trPr>
        <w:tc>
          <w:tcPr>
            <w:tcW w:w="9752" w:type="dxa"/>
            <w:gridSpan w:val="2"/>
          </w:tcPr>
          <w:p w14:paraId="3F69F16D" w14:textId="77777777" w:rsidR="00346723" w:rsidRPr="008F7511" w:rsidRDefault="00346723" w:rsidP="00EC50CA">
            <w:pPr>
              <w:keepNext/>
              <w:widowControl/>
              <w:rPr>
                <w:szCs w:val="24"/>
              </w:rPr>
            </w:pPr>
          </w:p>
        </w:tc>
      </w:tr>
      <w:tr w:rsidR="00346723" w:rsidRPr="008F7511" w14:paraId="46D1B529" w14:textId="77777777" w:rsidTr="00EC50CA">
        <w:tblPrEx>
          <w:tblLook w:val="0000" w:firstRow="0" w:lastRow="0" w:firstColumn="0" w:lastColumn="0" w:noHBand="0" w:noVBand="0"/>
        </w:tblPrEx>
        <w:trPr>
          <w:jc w:val="center"/>
        </w:trPr>
        <w:tc>
          <w:tcPr>
            <w:tcW w:w="4876" w:type="dxa"/>
          </w:tcPr>
          <w:p w14:paraId="1B50F4E7" w14:textId="77777777" w:rsidR="00346723" w:rsidRPr="008F7511" w:rsidRDefault="00346723" w:rsidP="00EC50CA">
            <w:pPr>
              <w:pStyle w:val="AmColumnHeading"/>
            </w:pPr>
            <w:r w:rsidRPr="008F7511">
              <w:t>A Tanács tervezete</w:t>
            </w:r>
          </w:p>
        </w:tc>
        <w:tc>
          <w:tcPr>
            <w:tcW w:w="4876" w:type="dxa"/>
          </w:tcPr>
          <w:p w14:paraId="0BD0080E" w14:textId="77777777" w:rsidR="00346723" w:rsidRPr="008F7511" w:rsidRDefault="00346723" w:rsidP="00EC50CA">
            <w:pPr>
              <w:pStyle w:val="AmColumnHeading"/>
            </w:pPr>
            <w:r w:rsidRPr="008F7511">
              <w:t>Módosítás</w:t>
            </w:r>
          </w:p>
        </w:tc>
      </w:tr>
      <w:tr w:rsidR="00346723" w:rsidRPr="008F7511" w14:paraId="3A68C41C" w14:textId="77777777" w:rsidTr="00EC50CA">
        <w:trPr>
          <w:jc w:val="center"/>
        </w:trPr>
        <w:tc>
          <w:tcPr>
            <w:tcW w:w="4876" w:type="dxa"/>
            <w:hideMark/>
          </w:tcPr>
          <w:p w14:paraId="761FC8F2" w14:textId="77777777" w:rsidR="00346723" w:rsidRPr="008F7511" w:rsidRDefault="00346723" w:rsidP="00EC50CA">
            <w:pPr>
              <w:pStyle w:val="Normal6a"/>
            </w:pPr>
            <w:r w:rsidRPr="008F7511">
              <w:t>(6)</w:t>
            </w:r>
            <w:r w:rsidRPr="008F7511">
              <w:tab/>
            </w:r>
            <w:proofErr w:type="gramStart"/>
            <w:r w:rsidRPr="008F7511">
              <w:t xml:space="preserve">Annak érdekében, hogy az Unió finanszírozási eszközeit jobban összhangba lehessen hozni </w:t>
            </w:r>
            <w:r w:rsidRPr="008F7511">
              <w:rPr>
                <w:b/>
                <w:i/>
              </w:rPr>
              <w:t xml:space="preserve">a </w:t>
            </w:r>
            <w:r w:rsidRPr="008F7511">
              <w:t>szakpolitikai prioritásaival,</w:t>
            </w:r>
            <w:r w:rsidRPr="008F7511">
              <w:rPr>
                <w:b/>
                <w:i/>
              </w:rPr>
              <w:t xml:space="preserve"> és</w:t>
            </w:r>
            <w:r w:rsidRPr="008F7511">
              <w:t xml:space="preserve"> hogy jobban tükröződjék az uniós költségvetésnek az egységes piac működésében játszott szerepe, továbbá az uniós szakpolitikai célkitűzések erőteljesebb támogatása és az Unió éves költségvetéséhez való</w:t>
            </w:r>
            <w:r w:rsidRPr="008F7511">
              <w:rPr>
                <w:b/>
                <w:i/>
              </w:rPr>
              <w:t>, a</w:t>
            </w:r>
            <w:r w:rsidRPr="008F7511">
              <w:t xml:space="preserve"> bruttó nemzeti jövedelmen</w:t>
            </w:r>
            <w:r w:rsidRPr="008F7511">
              <w:rPr>
                <w:b/>
                <w:i/>
              </w:rPr>
              <w:t xml:space="preserve"> (GNI)</w:t>
            </w:r>
            <w:r w:rsidRPr="008F7511">
              <w:t xml:space="preserve"> alapuló tagállami hozzájárulások </w:t>
            </w:r>
            <w:r w:rsidRPr="008F7511">
              <w:rPr>
                <w:b/>
                <w:i/>
              </w:rPr>
              <w:t>csökkentése</w:t>
            </w:r>
            <w:r w:rsidRPr="008F7511">
              <w:t xml:space="preserve"> érdekében az Európai </w:t>
            </w:r>
            <w:r w:rsidRPr="008F7511">
              <w:rPr>
                <w:b/>
                <w:i/>
              </w:rPr>
              <w:t>Tanács</w:t>
            </w:r>
            <w:r w:rsidRPr="008F7511">
              <w:t xml:space="preserve"> a </w:t>
            </w:r>
            <w:r w:rsidRPr="008F7511">
              <w:rPr>
                <w:b/>
                <w:i/>
              </w:rPr>
              <w:t>2020</w:t>
            </w:r>
            <w:r w:rsidRPr="008F7511">
              <w:t xml:space="preserve">. </w:t>
            </w:r>
            <w:r w:rsidRPr="008F7511">
              <w:rPr>
                <w:b/>
                <w:i/>
              </w:rPr>
              <w:t>július 17</w:t>
            </w:r>
            <w:r w:rsidRPr="008F7511">
              <w:t>–</w:t>
            </w:r>
            <w:r w:rsidRPr="008F7511">
              <w:rPr>
                <w:b/>
                <w:i/>
              </w:rPr>
              <w:t>21-i ülésén úgy rendelkezett</w:t>
            </w:r>
            <w:r w:rsidRPr="008F7511">
              <w:t xml:space="preserve">, </w:t>
            </w:r>
            <w:r w:rsidRPr="008F7511">
              <w:rPr>
                <w:b/>
                <w:i/>
              </w:rPr>
              <w:t>hogy az Unió</w:t>
            </w:r>
            <w:r w:rsidRPr="008F7511">
              <w:t xml:space="preserve"> az </w:t>
            </w:r>
            <w:r w:rsidRPr="008F7511">
              <w:rPr>
                <w:b/>
                <w:i/>
              </w:rPr>
              <w:t>elkövetkező években</w:t>
            </w:r>
            <w:r w:rsidRPr="008F7511">
              <w:t xml:space="preserve"> a saját </w:t>
            </w:r>
            <w:r w:rsidRPr="008F7511">
              <w:rPr>
                <w:b/>
                <w:i/>
              </w:rPr>
              <w:t>források rendszerének reformjára fog törekedni</w:t>
            </w:r>
            <w:r w:rsidRPr="008F7511">
              <w:t xml:space="preserve"> és új saját forrásokat </w:t>
            </w:r>
            <w:r w:rsidRPr="008F7511">
              <w:rPr>
                <w:b/>
                <w:i/>
              </w:rPr>
              <w:t>fog bevezetni</w:t>
            </w:r>
            <w:proofErr w:type="gramEnd"/>
            <w:r w:rsidRPr="008F7511">
              <w:t>.</w:t>
            </w:r>
          </w:p>
        </w:tc>
        <w:tc>
          <w:tcPr>
            <w:tcW w:w="4876" w:type="dxa"/>
            <w:hideMark/>
          </w:tcPr>
          <w:p w14:paraId="3C6CF110" w14:textId="4A7F3235" w:rsidR="00346723" w:rsidRPr="008F7511" w:rsidRDefault="00346723" w:rsidP="00C00F1D">
            <w:pPr>
              <w:pStyle w:val="Normal6a"/>
              <w:rPr>
                <w:szCs w:val="24"/>
              </w:rPr>
            </w:pPr>
            <w:r w:rsidRPr="008F7511">
              <w:t>(6)</w:t>
            </w:r>
            <w:r w:rsidRPr="008F7511">
              <w:tab/>
            </w:r>
            <w:proofErr w:type="gramStart"/>
            <w:r w:rsidRPr="008F7511">
              <w:t xml:space="preserve">Annak érdekében, hogy </w:t>
            </w:r>
            <w:r w:rsidRPr="008F7511">
              <w:rPr>
                <w:b/>
                <w:i/>
              </w:rPr>
              <w:t xml:space="preserve">legalább az Uniós Helyreállítási Eszköz tőke- és kamattörlesztéseivel kapcsolatos kiadásokat fedezni lehessen, valamint hogy </w:t>
            </w:r>
            <w:r w:rsidRPr="008F7511">
              <w:t>az Unió finanszírozási eszközeit jobban összhangba lehessen hozni szakpolitikai prioritásaival, hogy jobban tükröződjék az uniós költségvetésnek az egységes piac működésében játszott szerepe, továbbá az uniós szakpolitikai célkitűzések</w:t>
            </w:r>
            <w:r w:rsidR="005739D6" w:rsidRPr="008F7511">
              <w:rPr>
                <w:b/>
                <w:i/>
              </w:rPr>
              <w:t xml:space="preserve"> –</w:t>
            </w:r>
            <w:r w:rsidRPr="008F7511">
              <w:rPr>
                <w:b/>
                <w:i/>
              </w:rPr>
              <w:t xml:space="preserve"> például az európai zöld megállapodás és a digitális átalakulás</w:t>
            </w:r>
            <w:r w:rsidRPr="008F7511">
              <w:t xml:space="preserve"> </w:t>
            </w:r>
            <w:r w:rsidR="005739D6" w:rsidRPr="008F7511">
              <w:t xml:space="preserve">– </w:t>
            </w:r>
            <w:r w:rsidRPr="008F7511">
              <w:t>erőteljesebb támogatása és</w:t>
            </w:r>
            <w:r w:rsidRPr="008F7511">
              <w:rPr>
                <w:b/>
                <w:i/>
              </w:rPr>
              <w:t xml:space="preserve"> egyúttal</w:t>
            </w:r>
            <w:r w:rsidRPr="008F7511">
              <w:t xml:space="preserve"> az Unió éves költségvetéséhez való </w:t>
            </w:r>
            <w:r w:rsidR="00C00F1D" w:rsidRPr="008F7511">
              <w:t>GNI-</w:t>
            </w:r>
            <w:r w:rsidRPr="008F7511">
              <w:t>alap</w:t>
            </w:r>
            <w:r w:rsidR="00C00F1D" w:rsidRPr="008F7511">
              <w:t>ú</w:t>
            </w:r>
            <w:r w:rsidRPr="008F7511">
              <w:t xml:space="preserve"> tagállami hozzájárulások </w:t>
            </w:r>
            <w:r w:rsidRPr="008F7511">
              <w:rPr>
                <w:b/>
                <w:i/>
              </w:rPr>
              <w:t>túlsúlyának mérséklése</w:t>
            </w:r>
            <w:r w:rsidRPr="008F7511">
              <w:t xml:space="preserve"> érdekében </w:t>
            </w:r>
            <w:r w:rsidR="005739D6" w:rsidRPr="008F7511">
              <w:rPr>
                <w:b/>
                <w:i/>
              </w:rPr>
              <w:t>új saját forrásokat</w:t>
            </w:r>
            <w:proofErr w:type="gramEnd"/>
            <w:r w:rsidR="005739D6" w:rsidRPr="008F7511">
              <w:rPr>
                <w:b/>
                <w:i/>
              </w:rPr>
              <w:t xml:space="preserve"> kell bevezetni, amelyek </w:t>
            </w:r>
            <w:r w:rsidRPr="008F7511">
              <w:rPr>
                <w:b/>
                <w:i/>
              </w:rPr>
              <w:t xml:space="preserve">a közös összevont társaságiadó-alapon, </w:t>
            </w:r>
            <w:r w:rsidRPr="008F7511">
              <w:t xml:space="preserve">az Európai </w:t>
            </w:r>
            <w:r w:rsidRPr="008F7511">
              <w:rPr>
                <w:b/>
                <w:i/>
              </w:rPr>
              <w:t>Unió kibocsátáskereskedelmi rendszeréből származó tagállami bevételeken és a</w:t>
            </w:r>
            <w:r w:rsidR="005739D6" w:rsidRPr="008F7511">
              <w:rPr>
                <w:b/>
                <w:i/>
              </w:rPr>
              <w:t xml:space="preserve"> nem</w:t>
            </w:r>
            <w:r w:rsidRPr="008F7511">
              <w:rPr>
                <w:b/>
                <w:i/>
              </w:rPr>
              <w:t xml:space="preserve"> </w:t>
            </w:r>
            <w:proofErr w:type="spellStart"/>
            <w:r w:rsidRPr="008F7511">
              <w:rPr>
                <w:b/>
                <w:i/>
              </w:rPr>
              <w:t>újrafeldolgoz</w:t>
            </w:r>
            <w:r w:rsidR="005739D6" w:rsidRPr="008F7511">
              <w:rPr>
                <w:b/>
                <w:i/>
              </w:rPr>
              <w:t>ott</w:t>
            </w:r>
            <w:proofErr w:type="spellEnd"/>
            <w:r w:rsidRPr="008F7511">
              <w:rPr>
                <w:b/>
                <w:i/>
              </w:rPr>
              <w:t xml:space="preserve"> műanyag csomagolási hulladék</w:t>
            </w:r>
            <w:r w:rsidR="00D82513" w:rsidRPr="008F7511">
              <w:rPr>
                <w:b/>
                <w:i/>
              </w:rPr>
              <w:t xml:space="preserve"> mennyisége</w:t>
            </w:r>
            <w:r w:rsidR="005739D6" w:rsidRPr="008F7511">
              <w:rPr>
                <w:b/>
                <w:i/>
              </w:rPr>
              <w:t xml:space="preserve"> alapján kiszámított nemzeti hozzájáruláson alapulnak,</w:t>
            </w:r>
            <w:r w:rsidRPr="008F7511">
              <w:rPr>
                <w:b/>
                <w:i/>
              </w:rPr>
              <w:t xml:space="preserve"> ösztönözve</w:t>
            </w:r>
            <w:r w:rsidRPr="008F7511">
              <w:t xml:space="preserve"> a </w:t>
            </w:r>
            <w:r w:rsidRPr="008F7511">
              <w:rPr>
                <w:b/>
                <w:i/>
              </w:rPr>
              <w:t>körforgásos gazdaságot</w:t>
            </w:r>
            <w:r w:rsidRPr="008F7511">
              <w:t xml:space="preserve">. </w:t>
            </w:r>
            <w:r w:rsidRPr="008F7511">
              <w:rPr>
                <w:b/>
                <w:i/>
              </w:rPr>
              <w:t xml:space="preserve">Továbbá e célból be kell vezetni az </w:t>
            </w:r>
            <w:proofErr w:type="gramStart"/>
            <w:r w:rsidRPr="008F7511">
              <w:rPr>
                <w:b/>
                <w:i/>
              </w:rPr>
              <w:t>importált</w:t>
            </w:r>
            <w:proofErr w:type="gramEnd"/>
            <w:r w:rsidRPr="008F7511">
              <w:rPr>
                <w:b/>
                <w:i/>
              </w:rPr>
              <w:t xml:space="preserve"> áruk karbonintenzitását </w:t>
            </w:r>
            <w:r w:rsidRPr="008F7511">
              <w:rPr>
                <w:b/>
                <w:i/>
              </w:rPr>
              <w:lastRenderedPageBreak/>
              <w:t>ellensúlyozó – a WTO szabályaival teljes mértékben összeegyeztethető – mechanizmuson, a digitális szolgáltatási adón, a pénzügyi tranzakciós adón alapuló, lehetőség szerint valamennyi tagállam egyetértésével elfogadott rendszer szerint megvalósított saját forrásokat, amint az alapul szolgáló jog</w:t>
            </w:r>
            <w:r w:rsidR="005739D6" w:rsidRPr="008F7511">
              <w:rPr>
                <w:b/>
                <w:i/>
              </w:rPr>
              <w:t>szabályi</w:t>
            </w:r>
            <w:r w:rsidRPr="008F7511">
              <w:rPr>
                <w:b/>
                <w:i/>
              </w:rPr>
              <w:t xml:space="preserve"> feltételek </w:t>
            </w:r>
            <w:r w:rsidR="005739D6" w:rsidRPr="008F7511">
              <w:rPr>
                <w:b/>
                <w:i/>
              </w:rPr>
              <w:t>adottak</w:t>
            </w:r>
            <w:r w:rsidRPr="008F7511">
              <w:rPr>
                <w:b/>
                <w:i/>
              </w:rPr>
              <w:t xml:space="preserve">. A Bizottságnak minél hamarabb meg kell tennie az említett új saját forrásokhoz és egyéb olyan </w:t>
            </w:r>
            <w:proofErr w:type="gramStart"/>
            <w:r w:rsidRPr="008F7511">
              <w:rPr>
                <w:b/>
                <w:i/>
              </w:rPr>
              <w:t>potenciális</w:t>
            </w:r>
            <w:proofErr w:type="gramEnd"/>
            <w:r w:rsidRPr="008F7511">
              <w:rPr>
                <w:b/>
                <w:i/>
              </w:rPr>
              <w:t xml:space="preserve"> új saját forrásokhoz szükséges jogalkotási javaslatot, amelyek támogatják az európai zöld megállapodást és az egységes piac működését, valamint a társasági adózás hatékonyságának javítására irányuló erőfeszítéseket. A Bizottság által már bejelentett </w:t>
            </w:r>
            <w:proofErr w:type="gramStart"/>
            <w:r w:rsidRPr="008F7511">
              <w:rPr>
                <w:b/>
                <w:i/>
              </w:rPr>
              <w:t>potenciális</w:t>
            </w:r>
            <w:proofErr w:type="gramEnd"/>
            <w:r w:rsidRPr="008F7511">
              <w:rPr>
                <w:b/>
                <w:i/>
              </w:rPr>
              <w:t xml:space="preserve"> új saját forrásokat – például az egységes piaci illetéket – tovább kell értékelni, mielőtt azokat az Európai Parlament és a Tanács elé terjesztenék.</w:t>
            </w:r>
          </w:p>
        </w:tc>
      </w:tr>
    </w:tbl>
    <w:p w14:paraId="60384315" w14:textId="77777777" w:rsidR="00346723" w:rsidRPr="008F7511" w:rsidRDefault="00346723" w:rsidP="00346723">
      <w:pPr>
        <w:pStyle w:val="AmCrossRef"/>
        <w:jc w:val="left"/>
      </w:pPr>
    </w:p>
    <w:p w14:paraId="69725F75" w14:textId="77777777" w:rsidR="00346723" w:rsidRPr="008F7511" w:rsidRDefault="00346723" w:rsidP="00346723">
      <w:pPr>
        <w:pStyle w:val="AmNumberTabs"/>
      </w:pPr>
      <w:r w:rsidRPr="008F7511">
        <w:t>Módosítás</w:t>
      </w:r>
      <w:r w:rsidRPr="008F7511">
        <w:tab/>
      </w:r>
      <w:r w:rsidRPr="008F7511">
        <w:tab/>
        <w:t>6</w:t>
      </w:r>
    </w:p>
    <w:p w14:paraId="63C4FBBF" w14:textId="77777777" w:rsidR="00346723" w:rsidRPr="008F7511" w:rsidRDefault="00346723" w:rsidP="00346723">
      <w:pPr>
        <w:pStyle w:val="NormalBold12b"/>
      </w:pPr>
      <w:r w:rsidRPr="008F7511">
        <w:t>Határozatra irányuló tervezet</w:t>
      </w:r>
    </w:p>
    <w:p w14:paraId="16FAABFA" w14:textId="77777777" w:rsidR="00346723" w:rsidRPr="008F7511" w:rsidRDefault="00346723" w:rsidP="00346723">
      <w:pPr>
        <w:pStyle w:val="NormalBold"/>
      </w:pPr>
      <w:r w:rsidRPr="008F7511">
        <w:t>7 preambulumbekezdés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46723" w:rsidRPr="008F7511" w14:paraId="1DDC22F3" w14:textId="77777777" w:rsidTr="00EC50CA">
        <w:trPr>
          <w:jc w:val="center"/>
        </w:trPr>
        <w:tc>
          <w:tcPr>
            <w:tcW w:w="9752" w:type="dxa"/>
            <w:gridSpan w:val="2"/>
          </w:tcPr>
          <w:p w14:paraId="29A44447" w14:textId="77777777" w:rsidR="00346723" w:rsidRPr="008F7511" w:rsidRDefault="00346723" w:rsidP="00EC50CA">
            <w:pPr>
              <w:keepNext/>
              <w:widowControl/>
              <w:rPr>
                <w:szCs w:val="24"/>
              </w:rPr>
            </w:pPr>
          </w:p>
        </w:tc>
      </w:tr>
      <w:tr w:rsidR="00346723" w:rsidRPr="008F7511" w14:paraId="6C595C05" w14:textId="77777777" w:rsidTr="00EC50CA">
        <w:trPr>
          <w:jc w:val="center"/>
        </w:trPr>
        <w:tc>
          <w:tcPr>
            <w:tcW w:w="4876" w:type="dxa"/>
            <w:hideMark/>
          </w:tcPr>
          <w:p w14:paraId="21357EE0" w14:textId="77777777" w:rsidR="00346723" w:rsidRPr="008F7511" w:rsidRDefault="00346723" w:rsidP="00EC50CA">
            <w:pPr>
              <w:pStyle w:val="AmColumnHeading"/>
            </w:pPr>
            <w:r w:rsidRPr="008F7511">
              <w:t>A Tanács tervezete</w:t>
            </w:r>
          </w:p>
        </w:tc>
        <w:tc>
          <w:tcPr>
            <w:tcW w:w="4876" w:type="dxa"/>
            <w:hideMark/>
          </w:tcPr>
          <w:p w14:paraId="1C510C80" w14:textId="77777777" w:rsidR="00346723" w:rsidRPr="008F7511" w:rsidRDefault="00346723" w:rsidP="00EC50CA">
            <w:pPr>
              <w:pStyle w:val="AmColumnHeading"/>
            </w:pPr>
            <w:r w:rsidRPr="008F7511">
              <w:t>Módosítás</w:t>
            </w:r>
          </w:p>
        </w:tc>
      </w:tr>
      <w:tr w:rsidR="00346723" w:rsidRPr="008F7511" w14:paraId="23F142AA" w14:textId="77777777" w:rsidTr="00EC50CA">
        <w:trPr>
          <w:jc w:val="center"/>
        </w:trPr>
        <w:tc>
          <w:tcPr>
            <w:tcW w:w="4876" w:type="dxa"/>
            <w:hideMark/>
          </w:tcPr>
          <w:p w14:paraId="3B2C1DA2" w14:textId="77777777" w:rsidR="00346723" w:rsidRPr="008F7511" w:rsidRDefault="00346723" w:rsidP="00EC50CA">
            <w:pPr>
              <w:pStyle w:val="Normal6a"/>
            </w:pPr>
            <w:r w:rsidRPr="008F7511">
              <w:t>(7)</w:t>
            </w:r>
            <w:r w:rsidRPr="008F7511">
              <w:tab/>
            </w:r>
            <w:r w:rsidRPr="008F7511">
              <w:rPr>
                <w:b/>
                <w:i/>
                <w:szCs w:val="24"/>
              </w:rPr>
              <w:t xml:space="preserve">Első lépésként be kell vezetni a saját források egy olyan új </w:t>
            </w:r>
            <w:proofErr w:type="gramStart"/>
            <w:r w:rsidRPr="008F7511">
              <w:rPr>
                <w:b/>
                <w:i/>
                <w:szCs w:val="24"/>
              </w:rPr>
              <w:t>kategóriáját</w:t>
            </w:r>
            <w:proofErr w:type="gramEnd"/>
            <w:r w:rsidRPr="008F7511">
              <w:rPr>
                <w:b/>
                <w:i/>
                <w:szCs w:val="24"/>
              </w:rPr>
              <w:t xml:space="preserve">, amely a nem </w:t>
            </w:r>
            <w:proofErr w:type="spellStart"/>
            <w:r w:rsidRPr="008F7511">
              <w:rPr>
                <w:b/>
                <w:i/>
                <w:szCs w:val="24"/>
              </w:rPr>
              <w:t>újrafeldolgozott</w:t>
            </w:r>
            <w:proofErr w:type="spellEnd"/>
            <w:r w:rsidRPr="008F7511">
              <w:rPr>
                <w:b/>
                <w:i/>
                <w:szCs w:val="24"/>
              </w:rPr>
              <w:t xml:space="preserve"> műanyag csomagolási hulladék mennyisége alapján kiszámított nemzeti hozzájáruláson alapul. A</w:t>
            </w:r>
            <w:r w:rsidRPr="008F7511">
              <w:rPr>
                <w:szCs w:val="24"/>
              </w:rPr>
              <w:t xml:space="preserve"> műanyagokkal kapcsolatos uniós stratégiával összhangban az uniós költségvetés hozzájárulhat a műanyag csomagolási hulladék okozta szennyezés csökkentéséhez.</w:t>
            </w:r>
            <w:r w:rsidRPr="008F7511">
              <w:rPr>
                <w:b/>
                <w:i/>
                <w:szCs w:val="24"/>
              </w:rPr>
              <w:t xml:space="preserve"> </w:t>
            </w:r>
            <w:r w:rsidRPr="008F7511">
              <w:rPr>
                <w:szCs w:val="24"/>
              </w:rPr>
              <w:t xml:space="preserve">Egy olyan saját forrás, amely az egyes tagállamokban nem </w:t>
            </w:r>
            <w:proofErr w:type="spellStart"/>
            <w:r w:rsidRPr="008F7511">
              <w:rPr>
                <w:szCs w:val="24"/>
              </w:rPr>
              <w:t>újrafeldolgozott</w:t>
            </w:r>
            <w:proofErr w:type="spellEnd"/>
            <w:r w:rsidRPr="008F7511">
              <w:rPr>
                <w:szCs w:val="24"/>
              </w:rPr>
              <w:t xml:space="preserve"> műanyag csomagolási hulladék mennyiségével arányos nemzeti hozzájáruláson alapul, </w:t>
            </w:r>
            <w:proofErr w:type="spellStart"/>
            <w:r w:rsidRPr="008F7511">
              <w:rPr>
                <w:szCs w:val="24"/>
              </w:rPr>
              <w:t>ösztönzi</w:t>
            </w:r>
            <w:proofErr w:type="spellEnd"/>
            <w:r w:rsidRPr="008F7511">
              <w:rPr>
                <w:szCs w:val="24"/>
              </w:rPr>
              <w:t xml:space="preserve"> az egyszer használatos műanyagtermékek fogyasztásának csökkentését, az újrafeldolgozást és a körforgásos gazdaság térnyerését.</w:t>
            </w:r>
            <w:r w:rsidRPr="008F7511">
              <w:rPr>
                <w:b/>
                <w:i/>
                <w:szCs w:val="24"/>
              </w:rPr>
              <w:t xml:space="preserve"> </w:t>
            </w:r>
            <w:r w:rsidRPr="008F7511">
              <w:rPr>
                <w:szCs w:val="24"/>
              </w:rPr>
              <w:t xml:space="preserve">Ugyanakkor a tagállamok a </w:t>
            </w:r>
            <w:r w:rsidRPr="008F7511">
              <w:rPr>
                <w:szCs w:val="24"/>
              </w:rPr>
              <w:lastRenderedPageBreak/>
              <w:t>szubszidiaritás elvével összhangban szabadon választhatják meg a legmegfelelőbb intézkedéseket e célok eléréséhez.</w:t>
            </w:r>
            <w:r w:rsidRPr="008F7511">
              <w:rPr>
                <w:b/>
                <w:i/>
                <w:szCs w:val="24"/>
              </w:rPr>
              <w:t xml:space="preserve"> A nemzeti hozzájárulásokat érintő túlzottan regresszív hatás elkerülése érdekében éves egyösszegű csökkentést kell alkalmazni azon tagállamok hozzájárulásaira, amelyek egy főre jutó bruttó nemzeti jövedelme 2017-ben az uniós átlag alatt maradt. A csökkentés mértéke 3,8 kg szorozva az érintett tagállamok 2017. évi népességével.</w:t>
            </w:r>
          </w:p>
        </w:tc>
        <w:tc>
          <w:tcPr>
            <w:tcW w:w="4876" w:type="dxa"/>
            <w:hideMark/>
          </w:tcPr>
          <w:p w14:paraId="2679A665" w14:textId="0F089602" w:rsidR="00346723" w:rsidRPr="008F7511" w:rsidRDefault="00346723" w:rsidP="00EC50CA">
            <w:pPr>
              <w:pStyle w:val="Normal6a"/>
              <w:rPr>
                <w:b/>
                <w:i/>
                <w:szCs w:val="24"/>
              </w:rPr>
            </w:pPr>
            <w:r w:rsidRPr="008F7511">
              <w:lastRenderedPageBreak/>
              <w:t>(7)</w:t>
            </w:r>
            <w:r w:rsidRPr="008F7511">
              <w:tab/>
            </w:r>
            <w:r w:rsidRPr="008F7511">
              <w:rPr>
                <w:b/>
                <w:i/>
              </w:rPr>
              <w:t>A</w:t>
            </w:r>
            <w:r w:rsidRPr="008F7511">
              <w:t xml:space="preserve"> műanyagokkal kapcsolatos uniós stratégiával összhangban az uniós költségvetés hozzájárulhat a műanyag csomagolási hulladék okozta szennyezés csökkentéséhez</w:t>
            </w:r>
            <w:r w:rsidRPr="008F7511">
              <w:rPr>
                <w:b/>
                <w:i/>
              </w:rPr>
              <w:t xml:space="preserve"> és a csomagolási hulladékok újrafeldolgozásával kapcsolatos célértékek eléréséhez</w:t>
            </w:r>
            <w:r w:rsidRPr="008F7511">
              <w:t>.</w:t>
            </w:r>
            <w:r w:rsidRPr="008F7511">
              <w:rPr>
                <w:b/>
                <w:i/>
              </w:rPr>
              <w:t xml:space="preserve"> </w:t>
            </w:r>
            <w:r w:rsidRPr="008F7511">
              <w:t xml:space="preserve">Egy olyan saját forrás, amely az egyes tagállamokban nem </w:t>
            </w:r>
            <w:proofErr w:type="spellStart"/>
            <w:r w:rsidRPr="008F7511">
              <w:t>újrafeldolgozott</w:t>
            </w:r>
            <w:proofErr w:type="spellEnd"/>
            <w:r w:rsidRPr="008F7511">
              <w:t xml:space="preserve"> műanyag csomagolási hulladék mennyiségével arányos nemzeti hozzájáruláson alapul, ösztön</w:t>
            </w:r>
            <w:r w:rsidR="00D82513" w:rsidRPr="008F7511">
              <w:t>ö</w:t>
            </w:r>
            <w:r w:rsidRPr="008F7511">
              <w:t>z</w:t>
            </w:r>
            <w:r w:rsidR="00D82513" w:rsidRPr="008F7511">
              <w:t>n</w:t>
            </w:r>
            <w:r w:rsidRPr="008F7511">
              <w:t>i</w:t>
            </w:r>
            <w:r w:rsidR="00D82513" w:rsidRPr="008F7511">
              <w:t xml:space="preserve"> fogja</w:t>
            </w:r>
            <w:r w:rsidRPr="008F7511">
              <w:t xml:space="preserve"> az egyszer használatos műanyagtermékek fogyasztásának csökkentését, az újrafeldolgozást és a körforgásos gazdaság térnyerését.</w:t>
            </w:r>
            <w:r w:rsidRPr="008F7511">
              <w:rPr>
                <w:b/>
                <w:i/>
              </w:rPr>
              <w:t xml:space="preserve"> A Bizottságnak egyszerűsített számítási módszert, illetve hatékony regisztrációs és ellenőrzési </w:t>
            </w:r>
            <w:r w:rsidRPr="008F7511">
              <w:rPr>
                <w:b/>
                <w:i/>
              </w:rPr>
              <w:lastRenderedPageBreak/>
              <w:t xml:space="preserve">mechanizmusokat kell kialakítania. </w:t>
            </w:r>
            <w:r w:rsidRPr="008F7511">
              <w:t>Ugyanakkor a tagállamok a szubszidiaritás elvével összhangban szabadon választhatják meg a legmegfelelőbb intézkedéseket e célok eléréséhez.</w:t>
            </w:r>
            <w:r w:rsidRPr="008F7511">
              <w:rPr>
                <w:b/>
                <w:i/>
              </w:rPr>
              <w:t xml:space="preserve"> </w:t>
            </w:r>
            <w:r w:rsidRPr="008F7511">
              <w:rPr>
                <w:b/>
                <w:bCs/>
                <w:i/>
                <w:iCs/>
              </w:rPr>
              <w:t xml:space="preserve">Mivel e hozzájárulás az elképzelések szerint a „szennyező fizet” elven alapuló saját forrás, ezért nem képezheti </w:t>
            </w:r>
            <w:proofErr w:type="gramStart"/>
            <w:r w:rsidRPr="008F7511">
              <w:rPr>
                <w:b/>
                <w:bCs/>
                <w:i/>
                <w:iCs/>
              </w:rPr>
              <w:t>korrekciós</w:t>
            </w:r>
            <w:proofErr w:type="gramEnd"/>
            <w:r w:rsidRPr="008F7511">
              <w:rPr>
                <w:b/>
                <w:bCs/>
                <w:i/>
                <w:iCs/>
              </w:rPr>
              <w:t xml:space="preserve"> mechanizmus tárgyát.</w:t>
            </w:r>
          </w:p>
        </w:tc>
      </w:tr>
    </w:tbl>
    <w:p w14:paraId="799742A7" w14:textId="77777777" w:rsidR="00346723" w:rsidRPr="008F7511" w:rsidRDefault="00346723" w:rsidP="00346723">
      <w:pPr>
        <w:pStyle w:val="AmNumberTabs"/>
      </w:pPr>
      <w:r w:rsidRPr="008F7511">
        <w:lastRenderedPageBreak/>
        <w:t>Módosítás</w:t>
      </w:r>
      <w:r w:rsidRPr="008F7511">
        <w:tab/>
      </w:r>
      <w:r w:rsidRPr="008F7511">
        <w:tab/>
        <w:t>7</w:t>
      </w:r>
    </w:p>
    <w:p w14:paraId="3AE50B23" w14:textId="77777777" w:rsidR="00346723" w:rsidRPr="008F7511" w:rsidRDefault="00346723" w:rsidP="00346723">
      <w:pPr>
        <w:pStyle w:val="NormalBold12b"/>
      </w:pPr>
      <w:r w:rsidRPr="008F7511">
        <w:t>Határozatra irányuló tervezet</w:t>
      </w:r>
    </w:p>
    <w:p w14:paraId="7FE90AF6" w14:textId="77777777" w:rsidR="00346723" w:rsidRPr="008F7511" w:rsidRDefault="00346723" w:rsidP="00346723">
      <w:pPr>
        <w:pStyle w:val="NormalBold"/>
      </w:pPr>
      <w:r w:rsidRPr="008F7511">
        <w:t>7 a preambulumbekezdés (új)</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46723" w:rsidRPr="008F7511" w14:paraId="54F863E2" w14:textId="77777777" w:rsidTr="00EC50CA">
        <w:trPr>
          <w:jc w:val="center"/>
        </w:trPr>
        <w:tc>
          <w:tcPr>
            <w:tcW w:w="9752" w:type="dxa"/>
            <w:gridSpan w:val="2"/>
          </w:tcPr>
          <w:p w14:paraId="2A5689FC" w14:textId="77777777" w:rsidR="00346723" w:rsidRPr="008F7511" w:rsidRDefault="00346723" w:rsidP="00EC50CA">
            <w:pPr>
              <w:keepNext/>
              <w:widowControl/>
              <w:rPr>
                <w:szCs w:val="24"/>
              </w:rPr>
            </w:pPr>
          </w:p>
        </w:tc>
      </w:tr>
      <w:tr w:rsidR="00346723" w:rsidRPr="008F7511" w14:paraId="0973C398" w14:textId="77777777" w:rsidTr="00EC50CA">
        <w:tblPrEx>
          <w:tblLook w:val="0000" w:firstRow="0" w:lastRow="0" w:firstColumn="0" w:lastColumn="0" w:noHBand="0" w:noVBand="0"/>
        </w:tblPrEx>
        <w:trPr>
          <w:jc w:val="center"/>
        </w:trPr>
        <w:tc>
          <w:tcPr>
            <w:tcW w:w="4876" w:type="dxa"/>
          </w:tcPr>
          <w:p w14:paraId="581CBF0D" w14:textId="77777777" w:rsidR="00346723" w:rsidRPr="008F7511" w:rsidRDefault="00346723" w:rsidP="00EC50CA">
            <w:pPr>
              <w:pStyle w:val="AmColumnHeading"/>
            </w:pPr>
            <w:r w:rsidRPr="008F7511">
              <w:t>A Tanács tervezete</w:t>
            </w:r>
          </w:p>
        </w:tc>
        <w:tc>
          <w:tcPr>
            <w:tcW w:w="4876" w:type="dxa"/>
          </w:tcPr>
          <w:p w14:paraId="61DA296A" w14:textId="77777777" w:rsidR="00346723" w:rsidRPr="008F7511" w:rsidRDefault="00346723" w:rsidP="00EC50CA">
            <w:pPr>
              <w:pStyle w:val="AmColumnHeading"/>
            </w:pPr>
            <w:r w:rsidRPr="008F7511">
              <w:t>Módosítás</w:t>
            </w:r>
          </w:p>
        </w:tc>
      </w:tr>
      <w:tr w:rsidR="00346723" w:rsidRPr="008F7511" w14:paraId="67131700" w14:textId="77777777" w:rsidTr="00EC50CA">
        <w:trPr>
          <w:jc w:val="center"/>
        </w:trPr>
        <w:tc>
          <w:tcPr>
            <w:tcW w:w="4876" w:type="dxa"/>
            <w:hideMark/>
          </w:tcPr>
          <w:p w14:paraId="392349E7" w14:textId="77777777" w:rsidR="00346723" w:rsidRPr="008F7511" w:rsidRDefault="00346723" w:rsidP="00EC50CA">
            <w:pPr>
              <w:pStyle w:val="Normal6a"/>
            </w:pPr>
          </w:p>
        </w:tc>
        <w:tc>
          <w:tcPr>
            <w:tcW w:w="4876" w:type="dxa"/>
            <w:hideMark/>
          </w:tcPr>
          <w:p w14:paraId="19D6F8CA" w14:textId="6FB7D320" w:rsidR="00346723" w:rsidRPr="008F7511" w:rsidRDefault="00346723" w:rsidP="00C00F1D">
            <w:pPr>
              <w:pStyle w:val="Normal6a"/>
              <w:rPr>
                <w:szCs w:val="24"/>
              </w:rPr>
            </w:pPr>
            <w:r w:rsidRPr="008F7511">
              <w:rPr>
                <w:b/>
                <w:i/>
              </w:rPr>
              <w:t>(7a)</w:t>
            </w:r>
            <w:r w:rsidRPr="008F7511">
              <w:rPr>
                <w:b/>
                <w:i/>
              </w:rPr>
              <w:tab/>
              <w:t>Az Unió prioritásnak tekinti, hogy a Párizsi Megállapodás keretében vállalt kötelezettségeinek megfelelően megvalósítsa az 1990 és 2030 közötti 40%-</w:t>
            </w:r>
            <w:proofErr w:type="spellStart"/>
            <w:r w:rsidRPr="008F7511">
              <w:rPr>
                <w:b/>
                <w:i/>
              </w:rPr>
              <w:t>os</w:t>
            </w:r>
            <w:proofErr w:type="spellEnd"/>
            <w:r w:rsidRPr="008F7511">
              <w:rPr>
                <w:b/>
                <w:i/>
              </w:rPr>
              <w:t xml:space="preserve"> kibocsátáscsökkentésre vonatkozó célkitűzést. Az Európai Unió kibocsátáskereskedelmi rendszere </w:t>
            </w:r>
            <w:r w:rsidR="00C00F1D" w:rsidRPr="008F7511">
              <w:rPr>
                <w:b/>
                <w:i/>
              </w:rPr>
              <w:t xml:space="preserve">(ETS) </w:t>
            </w:r>
            <w:r w:rsidRPr="008F7511">
              <w:rPr>
                <w:b/>
                <w:i/>
              </w:rPr>
              <w:t xml:space="preserve">az e célkitűzés megvalósítását szolgáló egyik fő eszköz, amely a kibocsátási egységek árverés útján történő </w:t>
            </w:r>
            <w:r w:rsidR="00EB4D87" w:rsidRPr="008F7511">
              <w:rPr>
                <w:b/>
                <w:i/>
              </w:rPr>
              <w:t xml:space="preserve">értékesítése révén </w:t>
            </w:r>
            <w:r w:rsidRPr="008F7511">
              <w:rPr>
                <w:b/>
                <w:i/>
              </w:rPr>
              <w:t>bevétel</w:t>
            </w:r>
            <w:r w:rsidR="00EB4D87" w:rsidRPr="008F7511">
              <w:rPr>
                <w:b/>
                <w:i/>
              </w:rPr>
              <w:t>t eredményez</w:t>
            </w:r>
            <w:r w:rsidRPr="008F7511">
              <w:rPr>
                <w:b/>
                <w:i/>
              </w:rPr>
              <w:t xml:space="preserve">. Figyelembe véve az </w:t>
            </w:r>
            <w:r w:rsidR="00C00F1D" w:rsidRPr="008F7511">
              <w:rPr>
                <w:b/>
                <w:i/>
              </w:rPr>
              <w:t>ETS</w:t>
            </w:r>
            <w:r w:rsidRPr="008F7511">
              <w:rPr>
                <w:b/>
                <w:i/>
              </w:rPr>
              <w:t xml:space="preserve"> harmonizált jellegét, valamint az éghajlatváltozás mérséklését és az éghajlatváltozáshoz való alkalmazkodást célzó tagállami erőfeszítések előmozdítása érdekében </w:t>
            </w:r>
            <w:r w:rsidR="00EB4D87" w:rsidRPr="008F7511">
              <w:rPr>
                <w:b/>
                <w:i/>
              </w:rPr>
              <w:t xml:space="preserve">az Unió által nyújtott </w:t>
            </w:r>
            <w:proofErr w:type="gramStart"/>
            <w:r w:rsidRPr="008F7511">
              <w:rPr>
                <w:b/>
                <w:i/>
              </w:rPr>
              <w:t>finanszírozást</w:t>
            </w:r>
            <w:proofErr w:type="gramEnd"/>
            <w:r w:rsidRPr="008F7511">
              <w:rPr>
                <w:b/>
                <w:i/>
              </w:rPr>
              <w:t>, helyénvaló az uniós költségvetést finanszírozó új saját forrást bevezetni ebben az összefüggésben. E saját forrásnak a tagállamok által árverésre bocsátandó kibocsátási egységeken kell alapulnia, beleértve az energiaszektor számára átmenetileg ingyenesen kiosztható kibocsátási egységeket is. A 2003/87/EK európai parlamenti és tanácsi irányelv</w:t>
            </w:r>
            <w:r w:rsidR="00EB4D87" w:rsidRPr="008F7511">
              <w:rPr>
                <w:b/>
                <w:i/>
                <w:vertAlign w:val="superscript"/>
              </w:rPr>
              <w:t>1a</w:t>
            </w:r>
            <w:r w:rsidRPr="008F7511">
              <w:rPr>
                <w:b/>
                <w:i/>
              </w:rPr>
              <w:t xml:space="preserve"> egyes tagállamokra vonatkozó egyedi rendelkezéseinek figyelembevétele érdekében a sajátforrás-hozzájárulás </w:t>
            </w:r>
            <w:r w:rsidRPr="008F7511">
              <w:rPr>
                <w:b/>
                <w:i/>
              </w:rPr>
              <w:lastRenderedPageBreak/>
              <w:t xml:space="preserve">meghatározásakor nem kell figyelembe venni a szolidaritás, a növekedés és az energiahálózatok összekapcsolása céljából </w:t>
            </w:r>
            <w:proofErr w:type="spellStart"/>
            <w:r w:rsidRPr="008F7511">
              <w:rPr>
                <w:b/>
                <w:i/>
              </w:rPr>
              <w:t>újraelosztott</w:t>
            </w:r>
            <w:proofErr w:type="spellEnd"/>
            <w:r w:rsidRPr="008F7511">
              <w:rPr>
                <w:b/>
                <w:i/>
              </w:rPr>
              <w:t xml:space="preserve"> kibocsátási egységeket, valamint az </w:t>
            </w:r>
            <w:r w:rsidR="00EB4D87" w:rsidRPr="008F7511">
              <w:rPr>
                <w:b/>
                <w:i/>
              </w:rPr>
              <w:t>I</w:t>
            </w:r>
            <w:r w:rsidRPr="008F7511">
              <w:rPr>
                <w:b/>
                <w:i/>
              </w:rPr>
              <w:t xml:space="preserve">nnovációs </w:t>
            </w:r>
            <w:r w:rsidR="00EB4D87" w:rsidRPr="008F7511">
              <w:rPr>
                <w:b/>
                <w:i/>
              </w:rPr>
              <w:t>A</w:t>
            </w:r>
            <w:r w:rsidRPr="008F7511">
              <w:rPr>
                <w:b/>
                <w:i/>
              </w:rPr>
              <w:t xml:space="preserve">lap és a </w:t>
            </w:r>
            <w:r w:rsidR="00EB4D87" w:rsidRPr="008F7511">
              <w:rPr>
                <w:b/>
                <w:i/>
              </w:rPr>
              <w:t>M</w:t>
            </w:r>
            <w:r w:rsidRPr="008F7511">
              <w:rPr>
                <w:b/>
                <w:i/>
              </w:rPr>
              <w:t xml:space="preserve">odernizációs </w:t>
            </w:r>
            <w:r w:rsidR="00EB4D87" w:rsidRPr="008F7511">
              <w:rPr>
                <w:b/>
                <w:i/>
              </w:rPr>
              <w:t>A</w:t>
            </w:r>
            <w:r w:rsidRPr="008F7511">
              <w:rPr>
                <w:b/>
                <w:i/>
              </w:rPr>
              <w:t>lap számára elkülönített juttatásokat.</w:t>
            </w:r>
            <w:r w:rsidRPr="008F7511">
              <w:rPr>
                <w:b/>
                <w:bCs/>
                <w:i/>
                <w:iCs/>
              </w:rPr>
              <w:t xml:space="preserve"> Az </w:t>
            </w:r>
            <w:r w:rsidR="00C00F1D" w:rsidRPr="008F7511">
              <w:rPr>
                <w:b/>
                <w:bCs/>
                <w:i/>
                <w:iCs/>
              </w:rPr>
              <w:t>ETS-n</w:t>
            </w:r>
            <w:r w:rsidRPr="008F7511">
              <w:rPr>
                <w:b/>
                <w:bCs/>
                <w:i/>
                <w:iCs/>
              </w:rPr>
              <w:t xml:space="preserve"> alapuló saját forrást is oly módon kell meghatározni, hogy </w:t>
            </w:r>
            <w:r w:rsidR="00EB4D87" w:rsidRPr="008F7511">
              <w:rPr>
                <w:b/>
                <w:bCs/>
                <w:i/>
                <w:iCs/>
              </w:rPr>
              <w:t xml:space="preserve">az </w:t>
            </w:r>
            <w:r w:rsidRPr="008F7511">
              <w:rPr>
                <w:b/>
                <w:bCs/>
                <w:i/>
                <w:iCs/>
              </w:rPr>
              <w:t xml:space="preserve">magában foglalja az ETS-irányelv hatályának új ágazatokra vagy földrajzi régiókra való jövőbeli kiterjesztéséből származó </w:t>
            </w:r>
            <w:proofErr w:type="gramStart"/>
            <w:r w:rsidRPr="008F7511">
              <w:rPr>
                <w:b/>
                <w:bCs/>
                <w:i/>
                <w:iCs/>
              </w:rPr>
              <w:t>potenciális</w:t>
            </w:r>
            <w:proofErr w:type="gramEnd"/>
            <w:r w:rsidRPr="008F7511">
              <w:rPr>
                <w:b/>
                <w:bCs/>
                <w:i/>
                <w:iCs/>
              </w:rPr>
              <w:t xml:space="preserve"> többletbevételt, biztosítva egyúttal az Unió versenyképességét.</w:t>
            </w:r>
          </w:p>
        </w:tc>
      </w:tr>
      <w:tr w:rsidR="00346723" w:rsidRPr="008F7511" w14:paraId="027E2087" w14:textId="77777777" w:rsidTr="00EC50CA">
        <w:trPr>
          <w:jc w:val="center"/>
        </w:trPr>
        <w:tc>
          <w:tcPr>
            <w:tcW w:w="4876" w:type="dxa"/>
          </w:tcPr>
          <w:p w14:paraId="62664EFD" w14:textId="77777777" w:rsidR="00346723" w:rsidRPr="008F7511" w:rsidRDefault="00346723" w:rsidP="00EC50CA">
            <w:pPr>
              <w:pStyle w:val="Normal6a"/>
            </w:pPr>
          </w:p>
        </w:tc>
        <w:tc>
          <w:tcPr>
            <w:tcW w:w="4876" w:type="dxa"/>
            <w:hideMark/>
          </w:tcPr>
          <w:p w14:paraId="09F120A5" w14:textId="77777777" w:rsidR="00346723" w:rsidRPr="008F7511" w:rsidRDefault="00346723" w:rsidP="00EC50CA">
            <w:pPr>
              <w:pStyle w:val="Normal6a"/>
              <w:rPr>
                <w:szCs w:val="24"/>
              </w:rPr>
            </w:pPr>
            <w:r w:rsidRPr="008F7511">
              <w:t>__________________</w:t>
            </w:r>
          </w:p>
        </w:tc>
      </w:tr>
      <w:tr w:rsidR="00346723" w:rsidRPr="008F7511" w14:paraId="39541166" w14:textId="77777777" w:rsidTr="00EC50CA">
        <w:trPr>
          <w:jc w:val="center"/>
        </w:trPr>
        <w:tc>
          <w:tcPr>
            <w:tcW w:w="4876" w:type="dxa"/>
          </w:tcPr>
          <w:p w14:paraId="3BB29291" w14:textId="77777777" w:rsidR="00346723" w:rsidRPr="008F7511" w:rsidRDefault="00346723" w:rsidP="00EC50CA">
            <w:pPr>
              <w:pStyle w:val="Normal6a"/>
            </w:pPr>
          </w:p>
        </w:tc>
        <w:tc>
          <w:tcPr>
            <w:tcW w:w="4876" w:type="dxa"/>
            <w:hideMark/>
          </w:tcPr>
          <w:p w14:paraId="4CAD8F02" w14:textId="7A2B70BA" w:rsidR="00346723" w:rsidRPr="008F7511" w:rsidRDefault="00346723" w:rsidP="00C00F1D">
            <w:pPr>
              <w:pStyle w:val="Normal6a"/>
              <w:rPr>
                <w:b/>
                <w:i/>
                <w:szCs w:val="24"/>
              </w:rPr>
            </w:pPr>
            <w:r w:rsidRPr="008F7511">
              <w:rPr>
                <w:b/>
                <w:i/>
                <w:vertAlign w:val="superscript"/>
              </w:rPr>
              <w:t>1a</w:t>
            </w:r>
            <w:r w:rsidRPr="008F7511">
              <w:rPr>
                <w:b/>
                <w:i/>
              </w:rPr>
              <w:t xml:space="preserve"> Az Európai Parlament és a Tanács 2003/87/EK irányelve (2003. október 13.) az üvegházhatást okozó gázok kibocsátási egységei </w:t>
            </w:r>
            <w:r w:rsidR="00C00F1D" w:rsidRPr="008F7511">
              <w:rPr>
                <w:b/>
                <w:i/>
              </w:rPr>
              <w:t xml:space="preserve">Unión </w:t>
            </w:r>
            <w:r w:rsidRPr="008F7511">
              <w:rPr>
                <w:b/>
                <w:i/>
              </w:rPr>
              <w:t>belüli kereskedelmi rendszerének létrehozásáról és a 96/61/EK tanácsi irányelv módosításáról (HL L 275., 2003.10.25</w:t>
            </w:r>
            <w:proofErr w:type="gramStart"/>
            <w:r w:rsidRPr="008F7511">
              <w:rPr>
                <w:b/>
                <w:i/>
              </w:rPr>
              <w:t>.,</w:t>
            </w:r>
            <w:proofErr w:type="gramEnd"/>
            <w:r w:rsidRPr="008F7511">
              <w:rPr>
                <w:b/>
                <w:i/>
              </w:rPr>
              <w:t xml:space="preserve"> 32. o.).</w:t>
            </w:r>
          </w:p>
        </w:tc>
      </w:tr>
    </w:tbl>
    <w:p w14:paraId="692C4F71" w14:textId="77777777" w:rsidR="00346723" w:rsidRPr="008F7511" w:rsidRDefault="00346723" w:rsidP="00346723">
      <w:pPr>
        <w:pStyle w:val="AmNumberTabs"/>
      </w:pPr>
      <w:r w:rsidRPr="008F7511">
        <w:t>Módosítás</w:t>
      </w:r>
      <w:r w:rsidRPr="008F7511">
        <w:tab/>
      </w:r>
      <w:r w:rsidRPr="008F7511">
        <w:tab/>
        <w:t>8</w:t>
      </w:r>
    </w:p>
    <w:p w14:paraId="63F096A3" w14:textId="77777777" w:rsidR="00346723" w:rsidRPr="008F7511" w:rsidRDefault="00346723" w:rsidP="00346723">
      <w:pPr>
        <w:pStyle w:val="NormalBold12b"/>
      </w:pPr>
      <w:r w:rsidRPr="008F7511">
        <w:t>Határozatra irányuló tervezet</w:t>
      </w:r>
    </w:p>
    <w:p w14:paraId="1FCFDD55" w14:textId="77777777" w:rsidR="00346723" w:rsidRPr="008F7511" w:rsidRDefault="00346723" w:rsidP="00346723">
      <w:pPr>
        <w:pStyle w:val="NormalBold"/>
      </w:pPr>
      <w:r w:rsidRPr="008F7511">
        <w:t>8 preambulumbekezdés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46723" w:rsidRPr="008F7511" w14:paraId="11019F72" w14:textId="77777777" w:rsidTr="00EC50CA">
        <w:trPr>
          <w:jc w:val="center"/>
        </w:trPr>
        <w:tc>
          <w:tcPr>
            <w:tcW w:w="9752" w:type="dxa"/>
            <w:gridSpan w:val="2"/>
          </w:tcPr>
          <w:p w14:paraId="046AD1DC" w14:textId="77777777" w:rsidR="00346723" w:rsidRPr="008F7511" w:rsidRDefault="00346723" w:rsidP="00EC50CA">
            <w:pPr>
              <w:keepNext/>
              <w:widowControl/>
              <w:rPr>
                <w:szCs w:val="24"/>
              </w:rPr>
            </w:pPr>
          </w:p>
        </w:tc>
      </w:tr>
      <w:tr w:rsidR="00346723" w:rsidRPr="008F7511" w14:paraId="045C58A8" w14:textId="77777777" w:rsidTr="00EC50CA">
        <w:tblPrEx>
          <w:tblLook w:val="0000" w:firstRow="0" w:lastRow="0" w:firstColumn="0" w:lastColumn="0" w:noHBand="0" w:noVBand="0"/>
        </w:tblPrEx>
        <w:trPr>
          <w:jc w:val="center"/>
        </w:trPr>
        <w:tc>
          <w:tcPr>
            <w:tcW w:w="4876" w:type="dxa"/>
          </w:tcPr>
          <w:p w14:paraId="064E8693" w14:textId="77777777" w:rsidR="00346723" w:rsidRPr="008F7511" w:rsidRDefault="00346723" w:rsidP="00EC50CA">
            <w:pPr>
              <w:pStyle w:val="AmColumnHeading"/>
            </w:pPr>
            <w:r w:rsidRPr="008F7511">
              <w:t>A Tanács tervezete</w:t>
            </w:r>
          </w:p>
        </w:tc>
        <w:tc>
          <w:tcPr>
            <w:tcW w:w="4876" w:type="dxa"/>
          </w:tcPr>
          <w:p w14:paraId="0D8D64AF" w14:textId="77777777" w:rsidR="00346723" w:rsidRPr="008F7511" w:rsidRDefault="00346723" w:rsidP="00EC50CA">
            <w:pPr>
              <w:pStyle w:val="AmColumnHeading"/>
            </w:pPr>
            <w:r w:rsidRPr="008F7511">
              <w:t>Módosítás</w:t>
            </w:r>
          </w:p>
        </w:tc>
      </w:tr>
      <w:tr w:rsidR="00346723" w:rsidRPr="008F7511" w14:paraId="476A58BA" w14:textId="77777777" w:rsidTr="00EC50CA">
        <w:trPr>
          <w:jc w:val="center"/>
        </w:trPr>
        <w:tc>
          <w:tcPr>
            <w:tcW w:w="4876" w:type="dxa"/>
          </w:tcPr>
          <w:p w14:paraId="65C1D8A8" w14:textId="77777777" w:rsidR="00346723" w:rsidRPr="008F7511" w:rsidRDefault="00346723" w:rsidP="00EC50CA">
            <w:pPr>
              <w:pStyle w:val="Normal6a"/>
              <w:tabs>
                <w:tab w:val="left" w:pos="720"/>
                <w:tab w:val="left" w:pos="1320"/>
              </w:tabs>
            </w:pPr>
            <w:r w:rsidRPr="008F7511">
              <w:t>(8)</w:t>
            </w:r>
            <w:r w:rsidRPr="008F7511">
              <w:rPr>
                <w:b/>
                <w:i/>
              </w:rPr>
              <w:t xml:space="preserve"> </w:t>
            </w:r>
            <w:r w:rsidRPr="008F7511">
              <w:rPr>
                <w:b/>
                <w:i/>
              </w:rPr>
              <w:tab/>
              <w:t xml:space="preserve">Az Európai Tanács a 2020. július 17–21-i ülésén nyugtázta, hogy a Bizottság 2021 első félévében javaslatokat fog előterjeszteni a kiegészítő saját források alapjaként az </w:t>
            </w:r>
            <w:proofErr w:type="gramStart"/>
            <w:r w:rsidRPr="008F7511">
              <w:rPr>
                <w:b/>
                <w:i/>
              </w:rPr>
              <w:t>importált</w:t>
            </w:r>
            <w:proofErr w:type="gramEnd"/>
            <w:r w:rsidRPr="008F7511">
              <w:rPr>
                <w:b/>
                <w:i/>
              </w:rPr>
              <w:t xml:space="preserve"> fogyasztási cikkek karbonintenzitását ellensúlyozó mechanizmusról és egy digitális illetékről annak érdekében, hogy legkésőbb 2023. január 1-jéig bevezessék azokat. Az Európai Tanács felkérte a Bizottságot, hogy terjesszen elő módosított javaslatot a kibocsátáskereskedelmi rendszerre vonatkozóan, esetleg kiterjesztve azt a légi és a tengeri ágazatra. Az Európai Tanács </w:t>
            </w:r>
            <w:proofErr w:type="gramStart"/>
            <w:r w:rsidRPr="008F7511">
              <w:rPr>
                <w:b/>
                <w:i/>
              </w:rPr>
              <w:t>ezenkívül</w:t>
            </w:r>
            <w:proofErr w:type="gramEnd"/>
            <w:r w:rsidRPr="008F7511">
              <w:rPr>
                <w:b/>
                <w:i/>
              </w:rPr>
              <w:t xml:space="preserve"> úgy határozott, hogy az Unió a 2021–2027-es időszakra szóló többéves pénzügyi keret ideje alatt egyéb saját források bevezetésére is törekedni fog, amelyek </w:t>
            </w:r>
            <w:r w:rsidRPr="008F7511">
              <w:rPr>
                <w:b/>
                <w:i/>
              </w:rPr>
              <w:lastRenderedPageBreak/>
              <w:t>magukban foglalhatják a pénzügyi tranzakciós adót is.</w:t>
            </w:r>
          </w:p>
        </w:tc>
        <w:tc>
          <w:tcPr>
            <w:tcW w:w="4876" w:type="dxa"/>
            <w:hideMark/>
          </w:tcPr>
          <w:p w14:paraId="58A184A3" w14:textId="16338456" w:rsidR="00346723" w:rsidRPr="008F7511" w:rsidRDefault="00346723" w:rsidP="00931AA3">
            <w:pPr>
              <w:pStyle w:val="Normal6a"/>
              <w:rPr>
                <w:b/>
                <w:bCs/>
                <w:i/>
                <w:iCs/>
                <w:szCs w:val="24"/>
              </w:rPr>
            </w:pPr>
            <w:r w:rsidRPr="008F7511">
              <w:lastRenderedPageBreak/>
              <w:t>(8)</w:t>
            </w:r>
            <w:r w:rsidRPr="008F7511">
              <w:rPr>
                <w:b/>
                <w:bCs/>
                <w:i/>
                <w:iCs/>
              </w:rPr>
              <w:tab/>
              <w:t xml:space="preserve">A szükséges kiegészítő saját forrásokat legkésőbb 2028-ig be kell vezetni az e határozatban foglalt, jogilag kötelező erejű ütemtervvel összhangban, </w:t>
            </w:r>
            <w:r w:rsidR="00931AA3" w:rsidRPr="008F7511">
              <w:rPr>
                <w:b/>
                <w:bCs/>
                <w:i/>
                <w:iCs/>
              </w:rPr>
              <w:t>amely ütemtervnek biztosítania kell</w:t>
            </w:r>
            <w:r w:rsidRPr="008F7511">
              <w:rPr>
                <w:b/>
                <w:bCs/>
                <w:i/>
                <w:iCs/>
              </w:rPr>
              <w:t xml:space="preserve">, hogy az alapul szolgáló jogszabályokat időben el lehessen fogadni és működőképessé lehessen tenni annak érdekében, hogy a bevételek a költségek felmerülésekor rendelkezésre álljanak. A Bizottságnak e célból jogalkotási javaslatokat kell </w:t>
            </w:r>
            <w:r w:rsidR="00931AA3" w:rsidRPr="008F7511">
              <w:rPr>
                <w:b/>
                <w:bCs/>
                <w:i/>
                <w:iCs/>
              </w:rPr>
              <w:t>előterjesztenie</w:t>
            </w:r>
            <w:r w:rsidRPr="008F7511">
              <w:rPr>
                <w:b/>
                <w:bCs/>
                <w:i/>
                <w:iCs/>
              </w:rPr>
              <w:t xml:space="preserve">. </w:t>
            </w:r>
            <w:r w:rsidRPr="008F7511">
              <w:rPr>
                <w:b/>
                <w:i/>
              </w:rPr>
              <w:t xml:space="preserve">Az Európai Parlament, a Tanács és az Európai Bizottság között létrehozandó intézményközi megállapodásnak kell részletesebben meghatároznia az említett jogilag kötelező ütemtervre vonatkozó rendelkezéseket és egyéb rendelkezéseket, például egyes új saját források hatálybalépésének vagy </w:t>
            </w:r>
            <w:r w:rsidRPr="008F7511">
              <w:rPr>
                <w:b/>
                <w:i/>
              </w:rPr>
              <w:lastRenderedPageBreak/>
              <w:t>esetleges visszaható hatályú alkalmazásának időpontját.</w:t>
            </w:r>
          </w:p>
        </w:tc>
      </w:tr>
    </w:tbl>
    <w:p w14:paraId="55DAA68B" w14:textId="77777777" w:rsidR="00346723" w:rsidRPr="008F7511" w:rsidRDefault="00346723" w:rsidP="00346723">
      <w:pPr>
        <w:pStyle w:val="AmNumberTabs"/>
      </w:pPr>
      <w:r w:rsidRPr="008F7511">
        <w:lastRenderedPageBreak/>
        <w:t>Módosítás</w:t>
      </w:r>
      <w:r w:rsidRPr="008F7511">
        <w:tab/>
      </w:r>
      <w:r w:rsidRPr="008F7511">
        <w:tab/>
        <w:t>9</w:t>
      </w:r>
    </w:p>
    <w:p w14:paraId="40340D92" w14:textId="77777777" w:rsidR="00346723" w:rsidRPr="008F7511" w:rsidRDefault="00346723" w:rsidP="00346723">
      <w:pPr>
        <w:pStyle w:val="NormalBold12b"/>
      </w:pPr>
      <w:r w:rsidRPr="008F7511">
        <w:t>Határozatra irányuló tervezet</w:t>
      </w:r>
    </w:p>
    <w:p w14:paraId="27F9632C" w14:textId="77777777" w:rsidR="00346723" w:rsidRPr="008F7511" w:rsidRDefault="00346723" w:rsidP="00346723">
      <w:pPr>
        <w:pStyle w:val="NormalBold"/>
      </w:pPr>
      <w:r w:rsidRPr="008F7511">
        <w:t>8 a preambulumbekezdés (új)</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46723" w:rsidRPr="008F7511" w14:paraId="2DC667EB" w14:textId="77777777" w:rsidTr="00EC50CA">
        <w:trPr>
          <w:jc w:val="center"/>
        </w:trPr>
        <w:tc>
          <w:tcPr>
            <w:tcW w:w="9752" w:type="dxa"/>
            <w:gridSpan w:val="2"/>
          </w:tcPr>
          <w:p w14:paraId="255E4D40" w14:textId="77777777" w:rsidR="00346723" w:rsidRPr="008F7511" w:rsidRDefault="00346723" w:rsidP="00EC50CA">
            <w:pPr>
              <w:keepNext/>
              <w:widowControl/>
              <w:rPr>
                <w:szCs w:val="24"/>
              </w:rPr>
            </w:pPr>
          </w:p>
        </w:tc>
      </w:tr>
      <w:tr w:rsidR="00346723" w:rsidRPr="008F7511" w14:paraId="633F302B" w14:textId="77777777" w:rsidTr="00EC50CA">
        <w:tblPrEx>
          <w:tblLook w:val="0000" w:firstRow="0" w:lastRow="0" w:firstColumn="0" w:lastColumn="0" w:noHBand="0" w:noVBand="0"/>
        </w:tblPrEx>
        <w:trPr>
          <w:jc w:val="center"/>
        </w:trPr>
        <w:tc>
          <w:tcPr>
            <w:tcW w:w="4876" w:type="dxa"/>
          </w:tcPr>
          <w:p w14:paraId="2F8D69C7" w14:textId="77777777" w:rsidR="00346723" w:rsidRPr="008F7511" w:rsidRDefault="00346723" w:rsidP="00EC50CA">
            <w:pPr>
              <w:pStyle w:val="AmColumnHeading"/>
            </w:pPr>
            <w:r w:rsidRPr="008F7511">
              <w:t>A Tanács tervezete</w:t>
            </w:r>
          </w:p>
        </w:tc>
        <w:tc>
          <w:tcPr>
            <w:tcW w:w="4876" w:type="dxa"/>
          </w:tcPr>
          <w:p w14:paraId="5F1FD51A" w14:textId="77777777" w:rsidR="00346723" w:rsidRPr="008F7511" w:rsidRDefault="00346723" w:rsidP="00EC50CA">
            <w:pPr>
              <w:pStyle w:val="AmColumnHeading"/>
            </w:pPr>
            <w:r w:rsidRPr="008F7511">
              <w:t>Módosítás</w:t>
            </w:r>
          </w:p>
        </w:tc>
      </w:tr>
      <w:tr w:rsidR="00346723" w:rsidRPr="008F7511" w14:paraId="5AFF5003" w14:textId="77777777" w:rsidTr="00EC50CA">
        <w:trPr>
          <w:jc w:val="center"/>
        </w:trPr>
        <w:tc>
          <w:tcPr>
            <w:tcW w:w="4876" w:type="dxa"/>
          </w:tcPr>
          <w:p w14:paraId="0A27C6C7" w14:textId="77777777" w:rsidR="00346723" w:rsidRPr="008F7511" w:rsidRDefault="00346723" w:rsidP="00EC50CA">
            <w:pPr>
              <w:pStyle w:val="Normal6a"/>
            </w:pPr>
          </w:p>
        </w:tc>
        <w:tc>
          <w:tcPr>
            <w:tcW w:w="4876" w:type="dxa"/>
            <w:hideMark/>
          </w:tcPr>
          <w:p w14:paraId="33017C03" w14:textId="3A54F561" w:rsidR="00346723" w:rsidRPr="008F7511" w:rsidRDefault="00346723" w:rsidP="00497E33">
            <w:pPr>
              <w:pStyle w:val="Normal6a"/>
              <w:rPr>
                <w:b/>
                <w:bCs/>
                <w:i/>
                <w:iCs/>
                <w:szCs w:val="24"/>
              </w:rPr>
            </w:pPr>
            <w:r w:rsidRPr="008F7511">
              <w:rPr>
                <w:b/>
                <w:bCs/>
                <w:i/>
                <w:iCs/>
              </w:rPr>
              <w:t>(8a)</w:t>
            </w:r>
            <w:r w:rsidRPr="008F7511">
              <w:rPr>
                <w:b/>
                <w:bCs/>
                <w:i/>
                <w:iCs/>
              </w:rPr>
              <w:tab/>
              <w:t>Első lépésként a</w:t>
            </w:r>
            <w:r w:rsidR="00497E33" w:rsidRPr="008F7511">
              <w:rPr>
                <w:b/>
                <w:bCs/>
                <w:i/>
                <w:iCs/>
              </w:rPr>
              <w:t xml:space="preserve"> nem</w:t>
            </w:r>
            <w:r w:rsidRPr="008F7511">
              <w:rPr>
                <w:b/>
                <w:bCs/>
                <w:i/>
                <w:iCs/>
              </w:rPr>
              <w:t xml:space="preserve"> </w:t>
            </w:r>
            <w:proofErr w:type="spellStart"/>
            <w:r w:rsidRPr="008F7511">
              <w:rPr>
                <w:b/>
                <w:bCs/>
                <w:i/>
                <w:iCs/>
              </w:rPr>
              <w:t>újrafeldolgoz</w:t>
            </w:r>
            <w:r w:rsidR="00497E33" w:rsidRPr="008F7511">
              <w:rPr>
                <w:b/>
                <w:bCs/>
                <w:i/>
                <w:iCs/>
              </w:rPr>
              <w:t>ott</w:t>
            </w:r>
            <w:proofErr w:type="spellEnd"/>
            <w:r w:rsidRPr="008F7511">
              <w:rPr>
                <w:b/>
                <w:bCs/>
                <w:i/>
                <w:iCs/>
              </w:rPr>
              <w:t xml:space="preserve"> műanyag csomagolási hulladékon alapuló hozzájárulás 2021 januárjától egészíti ki a meglévő saját forrásokat. Emellett a</w:t>
            </w:r>
            <w:r w:rsidR="00C00F1D" w:rsidRPr="008F7511">
              <w:rPr>
                <w:b/>
                <w:bCs/>
                <w:i/>
                <w:iCs/>
              </w:rPr>
              <w:t>z</w:t>
            </w:r>
            <w:r w:rsidRPr="008F7511">
              <w:rPr>
                <w:b/>
                <w:bCs/>
                <w:i/>
                <w:iCs/>
              </w:rPr>
              <w:t xml:space="preserve"> </w:t>
            </w:r>
            <w:r w:rsidR="00C00F1D" w:rsidRPr="008F7511">
              <w:rPr>
                <w:b/>
                <w:bCs/>
                <w:i/>
                <w:iCs/>
              </w:rPr>
              <w:t>ETS-</w:t>
            </w:r>
            <w:proofErr w:type="spellStart"/>
            <w:r w:rsidRPr="008F7511">
              <w:rPr>
                <w:b/>
                <w:bCs/>
                <w:i/>
                <w:iCs/>
              </w:rPr>
              <w:t>ből</w:t>
            </w:r>
            <w:proofErr w:type="spellEnd"/>
            <w:r w:rsidRPr="008F7511">
              <w:rPr>
                <w:b/>
                <w:bCs/>
                <w:i/>
                <w:iCs/>
              </w:rPr>
              <w:t xml:space="preserve"> származó árverési bevételek 30%-a 2021-től az uniós költségvetés általános bevételének részét fogja képezni. Második lépésként a Bizottság </w:t>
            </w:r>
            <w:r w:rsidR="00497E33" w:rsidRPr="008F7511">
              <w:rPr>
                <w:b/>
                <w:bCs/>
                <w:i/>
                <w:iCs/>
              </w:rPr>
              <w:t xml:space="preserve">előterjeszti </w:t>
            </w:r>
            <w:r w:rsidRPr="008F7511">
              <w:rPr>
                <w:b/>
                <w:bCs/>
                <w:i/>
                <w:iCs/>
              </w:rPr>
              <w:t xml:space="preserve">a szükséges javaslatokat annak érdekében, hogy a pénzügyi </w:t>
            </w:r>
            <w:proofErr w:type="gramStart"/>
            <w:r w:rsidRPr="008F7511">
              <w:rPr>
                <w:b/>
                <w:bCs/>
                <w:i/>
                <w:iCs/>
              </w:rPr>
              <w:t>tranzakciós</w:t>
            </w:r>
            <w:proofErr w:type="gramEnd"/>
            <w:r w:rsidRPr="008F7511">
              <w:rPr>
                <w:b/>
                <w:bCs/>
                <w:i/>
                <w:iCs/>
              </w:rPr>
              <w:t xml:space="preserve"> adó 2024-től saját forrás alapjául szolgáljon. A Bizottság </w:t>
            </w:r>
            <w:r w:rsidR="00497E33" w:rsidRPr="008F7511">
              <w:rPr>
                <w:b/>
                <w:bCs/>
                <w:i/>
                <w:iCs/>
              </w:rPr>
              <w:t xml:space="preserve">emellett </w:t>
            </w:r>
            <w:r w:rsidRPr="008F7511">
              <w:rPr>
                <w:b/>
                <w:bCs/>
                <w:i/>
                <w:iCs/>
              </w:rPr>
              <w:t>2021 első félévében jogalkotási javaslatokat terjeszt elő az importáruk karbonintenzitását ellensúlyozó mechanizmuson és a digitális illetéken alapuló új saját források bevezetése céljából. A bevételek 2023-tól állnak majd rendelkezésre. Ha az importáruk karbonintenzitását ellensúlyozó mechanizmus kiegészítő importvám formájában valósul meg, akkor a hagyományos saját forrásokra vonatkozó jogszabályok hatálya alá tartozik, és nem lenne szükség saját forrásokról szóló külön határozatra. Ha az importáruk karbonintenzitását ellensúlyozó mechanizmus a</w:t>
            </w:r>
            <w:r w:rsidR="00497E33" w:rsidRPr="008F7511">
              <w:rPr>
                <w:b/>
                <w:bCs/>
                <w:i/>
                <w:iCs/>
              </w:rPr>
              <w:t>z</w:t>
            </w:r>
            <w:r w:rsidRPr="008F7511">
              <w:rPr>
                <w:b/>
                <w:bCs/>
                <w:i/>
                <w:iCs/>
              </w:rPr>
              <w:t xml:space="preserve"> </w:t>
            </w:r>
            <w:r w:rsidR="00497E33" w:rsidRPr="008F7511">
              <w:rPr>
                <w:b/>
                <w:bCs/>
                <w:i/>
                <w:iCs/>
              </w:rPr>
              <w:t xml:space="preserve">ETS </w:t>
            </w:r>
            <w:r w:rsidRPr="008F7511">
              <w:rPr>
                <w:b/>
                <w:bCs/>
                <w:i/>
                <w:iCs/>
              </w:rPr>
              <w:t xml:space="preserve">hatályának kiterjesztésével valósul meg, akkor annak teljes mértékben az ETS-alapú saját forrás hatálya alá kell tartoznia. Harmadik lépésként és a többéves pénzügyi keret 2024 első félévében esedékes félidős értékelésének/felülvizsgálatának részeként a Bizottság további új – vagy átdolgozott korábbi – javaslatokat terjeszt elő a közös összevont társaságiadó-alap (KÖTA) saját forrás alapjává alakítása érdekében. A jogszabálynak időben hatályba kell lépnie </w:t>
            </w:r>
            <w:r w:rsidRPr="008F7511">
              <w:rPr>
                <w:b/>
                <w:bCs/>
                <w:i/>
                <w:iCs/>
              </w:rPr>
              <w:lastRenderedPageBreak/>
              <w:t>ahhoz, hogy az</w:t>
            </w:r>
            <w:r w:rsidR="00497E33" w:rsidRPr="008F7511">
              <w:rPr>
                <w:b/>
                <w:bCs/>
                <w:i/>
                <w:iCs/>
              </w:rPr>
              <w:t xml:space="preserve"> ezen</w:t>
            </w:r>
            <w:r w:rsidRPr="008F7511">
              <w:rPr>
                <w:b/>
                <w:bCs/>
                <w:i/>
                <w:iCs/>
              </w:rPr>
              <w:t xml:space="preserve"> új saját forrásokból származó bevételek 2026-tól rendelkezésre álljanak. Az adóalapú saját forrásokat nem kell majd visszamenőlegesen alkalmazni.</w:t>
            </w:r>
          </w:p>
        </w:tc>
      </w:tr>
    </w:tbl>
    <w:p w14:paraId="0FAD6387" w14:textId="77777777" w:rsidR="00346723" w:rsidRPr="008F7511" w:rsidRDefault="00346723" w:rsidP="00346723">
      <w:pPr>
        <w:pStyle w:val="AmNumberTabs"/>
      </w:pPr>
      <w:r w:rsidRPr="008F7511">
        <w:lastRenderedPageBreak/>
        <w:t>Módosítás</w:t>
      </w:r>
      <w:r w:rsidRPr="008F7511">
        <w:tab/>
      </w:r>
      <w:r w:rsidRPr="008F7511">
        <w:tab/>
        <w:t>10</w:t>
      </w:r>
    </w:p>
    <w:p w14:paraId="09CFDCC1" w14:textId="77777777" w:rsidR="00346723" w:rsidRPr="008F7511" w:rsidRDefault="00346723" w:rsidP="00346723">
      <w:pPr>
        <w:pStyle w:val="NormalBold12b"/>
      </w:pPr>
      <w:r w:rsidRPr="008F7511">
        <w:t>Határozatra irányuló tervezet</w:t>
      </w:r>
    </w:p>
    <w:p w14:paraId="0654A020" w14:textId="77777777" w:rsidR="00346723" w:rsidRPr="008F7511" w:rsidRDefault="00346723" w:rsidP="00346723">
      <w:pPr>
        <w:pStyle w:val="NormalBold"/>
      </w:pPr>
      <w:r w:rsidRPr="008F7511">
        <w:t xml:space="preserve">9 preambulumbekezdés </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46723" w:rsidRPr="008F7511" w14:paraId="594AF779" w14:textId="77777777" w:rsidTr="00EC50CA">
        <w:trPr>
          <w:jc w:val="center"/>
        </w:trPr>
        <w:tc>
          <w:tcPr>
            <w:tcW w:w="9752" w:type="dxa"/>
            <w:gridSpan w:val="2"/>
          </w:tcPr>
          <w:p w14:paraId="778F8E17" w14:textId="77777777" w:rsidR="00346723" w:rsidRPr="008F7511" w:rsidRDefault="00346723" w:rsidP="00EC50CA">
            <w:pPr>
              <w:keepNext/>
              <w:widowControl/>
              <w:rPr>
                <w:szCs w:val="24"/>
              </w:rPr>
            </w:pPr>
          </w:p>
        </w:tc>
      </w:tr>
      <w:tr w:rsidR="00346723" w:rsidRPr="008F7511" w14:paraId="73801A0D" w14:textId="77777777" w:rsidTr="00EC50CA">
        <w:trPr>
          <w:jc w:val="center"/>
        </w:trPr>
        <w:tc>
          <w:tcPr>
            <w:tcW w:w="4876" w:type="dxa"/>
            <w:hideMark/>
          </w:tcPr>
          <w:p w14:paraId="2C04C52F" w14:textId="77777777" w:rsidR="00346723" w:rsidRPr="008F7511" w:rsidRDefault="00346723" w:rsidP="00EC50CA">
            <w:pPr>
              <w:pStyle w:val="AmColumnHeading"/>
            </w:pPr>
            <w:r w:rsidRPr="008F7511">
              <w:t>A Tanács tervezete</w:t>
            </w:r>
          </w:p>
        </w:tc>
        <w:tc>
          <w:tcPr>
            <w:tcW w:w="4876" w:type="dxa"/>
            <w:hideMark/>
          </w:tcPr>
          <w:p w14:paraId="4E0D68F3" w14:textId="77777777" w:rsidR="00346723" w:rsidRPr="008F7511" w:rsidRDefault="00346723" w:rsidP="00EC50CA">
            <w:pPr>
              <w:pStyle w:val="AmColumnHeading"/>
            </w:pPr>
            <w:r w:rsidRPr="008F7511">
              <w:t>Módosítás</w:t>
            </w:r>
          </w:p>
        </w:tc>
      </w:tr>
      <w:tr w:rsidR="00346723" w:rsidRPr="008F7511" w14:paraId="6B512DE6" w14:textId="77777777" w:rsidTr="00EC50CA">
        <w:trPr>
          <w:jc w:val="center"/>
        </w:trPr>
        <w:tc>
          <w:tcPr>
            <w:tcW w:w="4876" w:type="dxa"/>
          </w:tcPr>
          <w:p w14:paraId="14745485" w14:textId="77777777" w:rsidR="00346723" w:rsidRPr="008F7511" w:rsidRDefault="00346723" w:rsidP="00EC50CA">
            <w:pPr>
              <w:pStyle w:val="Normal6a"/>
              <w:rPr>
                <w:b/>
                <w:bCs/>
                <w:i/>
                <w:iCs/>
              </w:rPr>
            </w:pPr>
            <w:r w:rsidRPr="008F7511">
              <w:t>(9)</w:t>
            </w:r>
            <w:r w:rsidRPr="008F7511">
              <w:rPr>
                <w:b/>
                <w:bCs/>
                <w:i/>
                <w:iCs/>
              </w:rPr>
              <w:t xml:space="preserve"> </w:t>
            </w:r>
            <w:r w:rsidRPr="008F7511">
              <w:rPr>
                <w:b/>
                <w:bCs/>
                <w:i/>
                <w:iCs/>
              </w:rPr>
              <w:tab/>
              <w:t xml:space="preserve">Az Európai Tanács a 2020. július 17–21-i ülésén arra a következtetésre jutott, hogy a saját forrásokról szóló szabályokat az egyszerűség, az átláthatóság és a méltányosság – többek között a tisztességes tehermegosztás – általános céljainak figyelembevételével kell megállapítani. </w:t>
            </w:r>
            <w:proofErr w:type="gramStart"/>
            <w:r w:rsidRPr="008F7511">
              <w:rPr>
                <w:b/>
                <w:bCs/>
                <w:i/>
                <w:iCs/>
              </w:rPr>
              <w:t>Ezenkívül</w:t>
            </w:r>
            <w:proofErr w:type="gramEnd"/>
            <w:r w:rsidRPr="008F7511">
              <w:rPr>
                <w:b/>
                <w:bCs/>
                <w:i/>
                <w:iCs/>
              </w:rPr>
              <w:t xml:space="preserve"> megállapította, hogy Dánia, Hollandia, Ausztria és Svédország, továbbá a helyreállítási és </w:t>
            </w:r>
            <w:proofErr w:type="spellStart"/>
            <w:r w:rsidRPr="008F7511">
              <w:rPr>
                <w:b/>
                <w:bCs/>
                <w:i/>
                <w:iCs/>
              </w:rPr>
              <w:t>rezilienciaépítési</w:t>
            </w:r>
            <w:proofErr w:type="spellEnd"/>
            <w:r w:rsidRPr="008F7511">
              <w:rPr>
                <w:b/>
                <w:bCs/>
                <w:i/>
                <w:iCs/>
              </w:rPr>
              <w:t xml:space="preserve"> támogatás keretében Németország 2021–2027-es időszakra vonatkozó GNI-alapú hozzájárulására egyösszegű korrekciót kell alkalmazni.</w:t>
            </w:r>
          </w:p>
        </w:tc>
        <w:tc>
          <w:tcPr>
            <w:tcW w:w="4876" w:type="dxa"/>
            <w:hideMark/>
          </w:tcPr>
          <w:p w14:paraId="4DDB2617" w14:textId="77777777" w:rsidR="00346723" w:rsidRPr="008F7511" w:rsidRDefault="00346723" w:rsidP="00EC50CA">
            <w:pPr>
              <w:pStyle w:val="Normal6a"/>
              <w:rPr>
                <w:b/>
                <w:bCs/>
                <w:i/>
                <w:iCs/>
              </w:rPr>
            </w:pPr>
            <w:r w:rsidRPr="008F7511">
              <w:t>(9)</w:t>
            </w:r>
            <w:r w:rsidRPr="008F7511">
              <w:tab/>
            </w:r>
            <w:r w:rsidRPr="008F7511">
              <w:rPr>
                <w:b/>
                <w:bCs/>
                <w:i/>
                <w:iCs/>
              </w:rPr>
              <w:t xml:space="preserve">A visszatérítéseket és egyéb </w:t>
            </w:r>
            <w:proofErr w:type="gramStart"/>
            <w:r w:rsidRPr="008F7511">
              <w:rPr>
                <w:b/>
                <w:bCs/>
                <w:i/>
                <w:iCs/>
              </w:rPr>
              <w:t>korrekciós</w:t>
            </w:r>
            <w:proofErr w:type="gramEnd"/>
            <w:r w:rsidRPr="008F7511">
              <w:rPr>
                <w:b/>
                <w:bCs/>
                <w:i/>
                <w:iCs/>
              </w:rPr>
              <w:t xml:space="preserve"> mechanizmusokat el kell törölni. </w:t>
            </w:r>
          </w:p>
        </w:tc>
      </w:tr>
    </w:tbl>
    <w:p w14:paraId="245ABFD3" w14:textId="77777777" w:rsidR="00346723" w:rsidRPr="008F7511" w:rsidRDefault="00346723" w:rsidP="00346723">
      <w:pPr>
        <w:pStyle w:val="AmNumberTabs"/>
      </w:pPr>
      <w:r w:rsidRPr="008F7511">
        <w:t>Módosítás</w:t>
      </w:r>
      <w:r w:rsidRPr="008F7511">
        <w:tab/>
      </w:r>
      <w:r w:rsidRPr="008F7511">
        <w:tab/>
        <w:t>11</w:t>
      </w:r>
    </w:p>
    <w:p w14:paraId="487DD173" w14:textId="77777777" w:rsidR="00346723" w:rsidRPr="008F7511" w:rsidRDefault="00346723" w:rsidP="00346723">
      <w:pPr>
        <w:pStyle w:val="NormalBold12b"/>
      </w:pPr>
      <w:r w:rsidRPr="008F7511">
        <w:t>Határozatra irányuló tervezet</w:t>
      </w:r>
    </w:p>
    <w:p w14:paraId="1DD913C7" w14:textId="77777777" w:rsidR="00346723" w:rsidRPr="008F7511" w:rsidRDefault="00346723" w:rsidP="00346723">
      <w:pPr>
        <w:pStyle w:val="NormalBold"/>
      </w:pPr>
      <w:r w:rsidRPr="008F7511">
        <w:t>9 a preambulumbekezdés (új)</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46723" w:rsidRPr="008F7511" w14:paraId="2B04F9E4" w14:textId="77777777" w:rsidTr="00EC50CA">
        <w:trPr>
          <w:trHeight w:val="240"/>
          <w:jc w:val="center"/>
        </w:trPr>
        <w:tc>
          <w:tcPr>
            <w:tcW w:w="9752" w:type="dxa"/>
            <w:gridSpan w:val="2"/>
          </w:tcPr>
          <w:p w14:paraId="2BD87B75" w14:textId="77777777" w:rsidR="00346723" w:rsidRPr="008F7511" w:rsidRDefault="00346723" w:rsidP="00EC50CA"/>
        </w:tc>
      </w:tr>
      <w:tr w:rsidR="00346723" w:rsidRPr="008F7511" w14:paraId="060D42DB" w14:textId="77777777" w:rsidTr="00EC50CA">
        <w:trPr>
          <w:trHeight w:val="240"/>
          <w:jc w:val="center"/>
        </w:trPr>
        <w:tc>
          <w:tcPr>
            <w:tcW w:w="4876" w:type="dxa"/>
            <w:hideMark/>
          </w:tcPr>
          <w:p w14:paraId="78F3771E" w14:textId="77777777" w:rsidR="00346723" w:rsidRPr="008F7511" w:rsidRDefault="00346723" w:rsidP="00EC50CA">
            <w:pPr>
              <w:pStyle w:val="AmColumnHeading"/>
            </w:pPr>
            <w:r w:rsidRPr="008F7511">
              <w:t>A Tanács tervezete</w:t>
            </w:r>
          </w:p>
        </w:tc>
        <w:tc>
          <w:tcPr>
            <w:tcW w:w="4876" w:type="dxa"/>
            <w:hideMark/>
          </w:tcPr>
          <w:p w14:paraId="2F2DAB31" w14:textId="77777777" w:rsidR="00346723" w:rsidRPr="008F7511" w:rsidRDefault="00346723" w:rsidP="00EC50CA">
            <w:pPr>
              <w:pStyle w:val="AmColumnHeading"/>
            </w:pPr>
            <w:r w:rsidRPr="008F7511">
              <w:t>Módosítás</w:t>
            </w:r>
          </w:p>
        </w:tc>
      </w:tr>
      <w:tr w:rsidR="00346723" w:rsidRPr="008F7511" w14:paraId="23C2497F" w14:textId="77777777" w:rsidTr="00EC50CA">
        <w:trPr>
          <w:jc w:val="center"/>
        </w:trPr>
        <w:tc>
          <w:tcPr>
            <w:tcW w:w="4876" w:type="dxa"/>
          </w:tcPr>
          <w:p w14:paraId="45CA8D0C" w14:textId="77777777" w:rsidR="00346723" w:rsidRPr="008F7511" w:rsidRDefault="00346723" w:rsidP="00EC50CA">
            <w:pPr>
              <w:pStyle w:val="Normal6"/>
              <w:rPr>
                <w:noProof w:val="0"/>
                <w:lang w:val="hu-HU"/>
              </w:rPr>
            </w:pPr>
          </w:p>
        </w:tc>
        <w:tc>
          <w:tcPr>
            <w:tcW w:w="4876" w:type="dxa"/>
            <w:hideMark/>
          </w:tcPr>
          <w:p w14:paraId="0691D5C3" w14:textId="77777777" w:rsidR="00346723" w:rsidRPr="008F7511" w:rsidRDefault="00346723" w:rsidP="00EC50CA">
            <w:pPr>
              <w:pStyle w:val="Normal6"/>
              <w:rPr>
                <w:b/>
                <w:bCs/>
                <w:i/>
                <w:iCs/>
                <w:noProof w:val="0"/>
                <w:lang w:val="hu-HU"/>
              </w:rPr>
            </w:pPr>
            <w:r w:rsidRPr="008F7511">
              <w:rPr>
                <w:b/>
                <w:bCs/>
                <w:i/>
                <w:iCs/>
                <w:noProof w:val="0"/>
                <w:lang w:val="hu-HU"/>
              </w:rPr>
              <w:t>(9a)</w:t>
            </w:r>
            <w:r w:rsidRPr="008F7511">
              <w:rPr>
                <w:b/>
                <w:bCs/>
                <w:i/>
                <w:iCs/>
                <w:noProof w:val="0"/>
                <w:lang w:val="hu-HU"/>
              </w:rPr>
              <w:tab/>
            </w:r>
            <w:r w:rsidRPr="008F7511">
              <w:rPr>
                <w:b/>
                <w:i/>
                <w:noProof w:val="0"/>
                <w:lang w:val="hu-HU"/>
              </w:rPr>
              <w:t xml:space="preserve">Az Unió az elkövetkező években és 2028 előtt további új </w:t>
            </w:r>
            <w:proofErr w:type="gramStart"/>
            <w:r w:rsidRPr="008F7511">
              <w:rPr>
                <w:b/>
                <w:i/>
                <w:noProof w:val="0"/>
                <w:lang w:val="hu-HU"/>
              </w:rPr>
              <w:t>potenciális</w:t>
            </w:r>
            <w:proofErr w:type="gramEnd"/>
            <w:r w:rsidRPr="008F7511">
              <w:rPr>
                <w:b/>
                <w:i/>
                <w:noProof w:val="0"/>
                <w:lang w:val="hu-HU"/>
              </w:rPr>
              <w:t xml:space="preserve"> saját források bevezetésére fog törekedni. Ha az Európai Parlament vagy a Tanács új saját forrást javasol, a Bizottság elvégzi annak értékelését.</w:t>
            </w:r>
          </w:p>
        </w:tc>
      </w:tr>
    </w:tbl>
    <w:p w14:paraId="6F8A54B1" w14:textId="77777777" w:rsidR="00346723" w:rsidRPr="008F7511" w:rsidRDefault="00346723" w:rsidP="00346723"/>
    <w:p w14:paraId="28DFF60D" w14:textId="77777777" w:rsidR="00346723" w:rsidRPr="008F7511" w:rsidRDefault="00346723" w:rsidP="00346723">
      <w:pPr>
        <w:pStyle w:val="AmNumberTabs"/>
      </w:pPr>
      <w:r w:rsidRPr="008F7511">
        <w:t>Módosítás</w:t>
      </w:r>
      <w:r w:rsidRPr="008F7511">
        <w:tab/>
      </w:r>
      <w:r w:rsidRPr="008F7511">
        <w:tab/>
        <w:t>12</w:t>
      </w:r>
    </w:p>
    <w:p w14:paraId="32EF0BFE" w14:textId="77777777" w:rsidR="00346723" w:rsidRPr="008F7511" w:rsidRDefault="00346723" w:rsidP="00346723">
      <w:pPr>
        <w:pStyle w:val="NormalBold12b"/>
      </w:pPr>
      <w:r w:rsidRPr="008F7511">
        <w:t>Határozatra irányuló tervezet</w:t>
      </w:r>
    </w:p>
    <w:p w14:paraId="17ABDCC1" w14:textId="77777777" w:rsidR="00346723" w:rsidRPr="008F7511" w:rsidRDefault="00346723" w:rsidP="00346723">
      <w:pPr>
        <w:pStyle w:val="NormalBold"/>
        <w:rPr>
          <w:b w:val="0"/>
        </w:rPr>
      </w:pPr>
      <w:r w:rsidRPr="008F7511">
        <w:t>9 b preambulumbekezdés (új)</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46723" w:rsidRPr="008F7511" w14:paraId="4129BDAF" w14:textId="77777777" w:rsidTr="00EC50CA">
        <w:trPr>
          <w:trHeight w:val="240"/>
          <w:jc w:val="center"/>
        </w:trPr>
        <w:tc>
          <w:tcPr>
            <w:tcW w:w="9752" w:type="dxa"/>
            <w:gridSpan w:val="2"/>
          </w:tcPr>
          <w:p w14:paraId="3740848C" w14:textId="77777777" w:rsidR="00346723" w:rsidRPr="008F7511" w:rsidRDefault="00346723" w:rsidP="00EC50CA"/>
        </w:tc>
      </w:tr>
      <w:tr w:rsidR="00346723" w:rsidRPr="008F7511" w14:paraId="2B80F171" w14:textId="77777777" w:rsidTr="00EC50CA">
        <w:trPr>
          <w:trHeight w:val="240"/>
          <w:jc w:val="center"/>
        </w:trPr>
        <w:tc>
          <w:tcPr>
            <w:tcW w:w="4876" w:type="dxa"/>
            <w:hideMark/>
          </w:tcPr>
          <w:p w14:paraId="795EBFB5" w14:textId="77777777" w:rsidR="00346723" w:rsidRPr="008F7511" w:rsidRDefault="00346723" w:rsidP="00EC50CA">
            <w:pPr>
              <w:pStyle w:val="AmColumnHeading"/>
            </w:pPr>
            <w:r w:rsidRPr="008F7511">
              <w:lastRenderedPageBreak/>
              <w:t>A Tanács tervezete</w:t>
            </w:r>
          </w:p>
        </w:tc>
        <w:tc>
          <w:tcPr>
            <w:tcW w:w="4876" w:type="dxa"/>
            <w:hideMark/>
          </w:tcPr>
          <w:p w14:paraId="42ED7A7D" w14:textId="77777777" w:rsidR="00346723" w:rsidRPr="008F7511" w:rsidRDefault="00346723" w:rsidP="00EC50CA">
            <w:pPr>
              <w:pStyle w:val="AmColumnHeading"/>
            </w:pPr>
            <w:r w:rsidRPr="008F7511">
              <w:t>Módosítás</w:t>
            </w:r>
          </w:p>
        </w:tc>
      </w:tr>
      <w:tr w:rsidR="00346723" w:rsidRPr="008F7511" w14:paraId="3EA65B6D" w14:textId="77777777" w:rsidTr="00EC50CA">
        <w:trPr>
          <w:jc w:val="center"/>
        </w:trPr>
        <w:tc>
          <w:tcPr>
            <w:tcW w:w="4876" w:type="dxa"/>
          </w:tcPr>
          <w:p w14:paraId="0CBB4256" w14:textId="77777777" w:rsidR="00346723" w:rsidRPr="008F7511" w:rsidRDefault="00346723" w:rsidP="00EC50CA">
            <w:pPr>
              <w:pStyle w:val="Normal6"/>
              <w:rPr>
                <w:noProof w:val="0"/>
                <w:lang w:val="hu-HU"/>
              </w:rPr>
            </w:pPr>
          </w:p>
        </w:tc>
        <w:tc>
          <w:tcPr>
            <w:tcW w:w="4876" w:type="dxa"/>
            <w:hideMark/>
          </w:tcPr>
          <w:p w14:paraId="06EC9F42" w14:textId="77777777" w:rsidR="00346723" w:rsidRPr="008F7511" w:rsidRDefault="00346723" w:rsidP="00EC50CA">
            <w:pPr>
              <w:pStyle w:val="Normal6"/>
              <w:rPr>
                <w:b/>
                <w:bCs/>
                <w:i/>
                <w:iCs/>
                <w:noProof w:val="0"/>
                <w:lang w:val="hu-HU"/>
              </w:rPr>
            </w:pPr>
            <w:r w:rsidRPr="008F7511">
              <w:rPr>
                <w:b/>
                <w:bCs/>
                <w:i/>
                <w:iCs/>
                <w:noProof w:val="0"/>
                <w:lang w:val="hu-HU"/>
              </w:rPr>
              <w:t>(9b)</w:t>
            </w:r>
            <w:r w:rsidRPr="008F7511">
              <w:rPr>
                <w:b/>
                <w:bCs/>
                <w:i/>
                <w:iCs/>
                <w:noProof w:val="0"/>
                <w:lang w:val="hu-HU"/>
              </w:rPr>
              <w:tab/>
            </w:r>
            <w:r w:rsidRPr="008F7511">
              <w:rPr>
                <w:b/>
                <w:i/>
                <w:noProof w:val="0"/>
                <w:lang w:val="hu-HU"/>
              </w:rPr>
              <w:t xml:space="preserve">Tekintettel a szerződésmódosításokkal kapcsolatos jövőbeli tanácskozásokra és az Európa jövőjéről szóló </w:t>
            </w:r>
            <w:proofErr w:type="gramStart"/>
            <w:r w:rsidRPr="008F7511">
              <w:rPr>
                <w:b/>
                <w:i/>
                <w:noProof w:val="0"/>
                <w:lang w:val="hu-HU"/>
              </w:rPr>
              <w:t>konferencia</w:t>
            </w:r>
            <w:proofErr w:type="gramEnd"/>
            <w:r w:rsidRPr="008F7511">
              <w:rPr>
                <w:b/>
                <w:i/>
                <w:noProof w:val="0"/>
                <w:lang w:val="hu-HU"/>
              </w:rPr>
              <w:t xml:space="preserve"> lendületét felhasználva tovább kell erősíteni a demokratikus legitimitást, az </w:t>
            </w:r>
            <w:proofErr w:type="spellStart"/>
            <w:r w:rsidRPr="008F7511">
              <w:rPr>
                <w:b/>
                <w:i/>
                <w:noProof w:val="0"/>
                <w:lang w:val="hu-HU"/>
              </w:rPr>
              <w:t>elszámoltathatóságot</w:t>
            </w:r>
            <w:proofErr w:type="spellEnd"/>
            <w:r w:rsidRPr="008F7511">
              <w:rPr>
                <w:b/>
                <w:i/>
                <w:noProof w:val="0"/>
                <w:lang w:val="hu-HU"/>
              </w:rPr>
              <w:t>, az ellenálló képességet és az uniós költségvetés bevételi oldalának összehangolását a fő szakpolitikai célkitűzésekkel azáltal, hogy az Európai Parlament megerősített hatáskörökre tesz szert a jogalkotási döntéshozatalban, és aktívabb szerepet kap a saját források rendszere végrehajtásának nyomon követésében, valamint az alapul szolgáló ágazati jogszabályokban.</w:t>
            </w:r>
          </w:p>
        </w:tc>
      </w:tr>
    </w:tbl>
    <w:p w14:paraId="0F0E4422" w14:textId="77777777" w:rsidR="00346723" w:rsidRPr="008F7511" w:rsidRDefault="00346723" w:rsidP="00346723"/>
    <w:p w14:paraId="31589688" w14:textId="77777777" w:rsidR="00346723" w:rsidRPr="008F7511" w:rsidRDefault="00346723" w:rsidP="00346723">
      <w:pPr>
        <w:pStyle w:val="AmNumberTabs"/>
      </w:pPr>
      <w:r w:rsidRPr="008F7511">
        <w:t>Módosítás</w:t>
      </w:r>
      <w:r w:rsidRPr="008F7511">
        <w:tab/>
      </w:r>
      <w:r w:rsidRPr="008F7511">
        <w:tab/>
        <w:t>13</w:t>
      </w:r>
    </w:p>
    <w:p w14:paraId="2E93B281" w14:textId="77777777" w:rsidR="00346723" w:rsidRPr="008F7511" w:rsidRDefault="00346723" w:rsidP="00346723">
      <w:pPr>
        <w:pStyle w:val="NormalBold12b"/>
      </w:pPr>
      <w:r w:rsidRPr="008F7511">
        <w:t>Határozatra irányuló tervezet</w:t>
      </w:r>
    </w:p>
    <w:p w14:paraId="7333C332" w14:textId="77777777" w:rsidR="00346723" w:rsidRPr="008F7511" w:rsidRDefault="00346723" w:rsidP="00346723">
      <w:pPr>
        <w:pStyle w:val="NormalBold"/>
      </w:pPr>
      <w:r w:rsidRPr="008F7511">
        <w:t>10 preambulumbekezdés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46723" w:rsidRPr="008F7511" w14:paraId="21E1DFA9" w14:textId="77777777" w:rsidTr="00EC50CA">
        <w:trPr>
          <w:jc w:val="center"/>
        </w:trPr>
        <w:tc>
          <w:tcPr>
            <w:tcW w:w="9752" w:type="dxa"/>
            <w:gridSpan w:val="2"/>
          </w:tcPr>
          <w:p w14:paraId="23D4482E" w14:textId="77777777" w:rsidR="00346723" w:rsidRPr="008F7511" w:rsidRDefault="00346723" w:rsidP="00EC50CA">
            <w:pPr>
              <w:keepNext/>
              <w:widowControl/>
              <w:rPr>
                <w:szCs w:val="24"/>
              </w:rPr>
            </w:pPr>
          </w:p>
        </w:tc>
      </w:tr>
      <w:tr w:rsidR="00346723" w:rsidRPr="008F7511" w14:paraId="6E7F11C6" w14:textId="77777777" w:rsidTr="00EC50CA">
        <w:trPr>
          <w:jc w:val="center"/>
        </w:trPr>
        <w:tc>
          <w:tcPr>
            <w:tcW w:w="4876" w:type="dxa"/>
            <w:hideMark/>
          </w:tcPr>
          <w:p w14:paraId="714E0CCA" w14:textId="77777777" w:rsidR="00346723" w:rsidRPr="008F7511" w:rsidRDefault="00346723" w:rsidP="00EC50CA">
            <w:pPr>
              <w:pStyle w:val="AmColumnHeading"/>
            </w:pPr>
            <w:r w:rsidRPr="008F7511">
              <w:t>A Tanács tervezete</w:t>
            </w:r>
          </w:p>
        </w:tc>
        <w:tc>
          <w:tcPr>
            <w:tcW w:w="4876" w:type="dxa"/>
            <w:hideMark/>
          </w:tcPr>
          <w:p w14:paraId="5A4D9CA3" w14:textId="77777777" w:rsidR="00346723" w:rsidRPr="008F7511" w:rsidRDefault="00346723" w:rsidP="00EC50CA">
            <w:pPr>
              <w:pStyle w:val="AmColumnHeading"/>
            </w:pPr>
            <w:r w:rsidRPr="008F7511">
              <w:t>Módosítás</w:t>
            </w:r>
          </w:p>
        </w:tc>
      </w:tr>
      <w:tr w:rsidR="00346723" w:rsidRPr="008F7511" w14:paraId="714D5E01" w14:textId="77777777" w:rsidTr="00EC50CA">
        <w:trPr>
          <w:jc w:val="center"/>
        </w:trPr>
        <w:tc>
          <w:tcPr>
            <w:tcW w:w="4876" w:type="dxa"/>
            <w:hideMark/>
          </w:tcPr>
          <w:p w14:paraId="1BD9BCBD" w14:textId="77777777" w:rsidR="00346723" w:rsidRPr="008F7511" w:rsidRDefault="00346723" w:rsidP="00EC50CA">
            <w:pPr>
              <w:pStyle w:val="Normal6a"/>
            </w:pPr>
            <w:r w:rsidRPr="008F7511">
              <w:t>(10)</w:t>
            </w:r>
            <w:r w:rsidRPr="008F7511">
              <w:tab/>
            </w:r>
            <w:r w:rsidRPr="008F7511">
              <w:rPr>
                <w:szCs w:val="24"/>
              </w:rPr>
              <w:t xml:space="preserve">A </w:t>
            </w:r>
            <w:r w:rsidRPr="008F7511">
              <w:rPr>
                <w:b/>
                <w:i/>
                <w:szCs w:val="24"/>
              </w:rPr>
              <w:t>tagállamoknak</w:t>
            </w:r>
            <w:r w:rsidRPr="008F7511">
              <w:rPr>
                <w:szCs w:val="24"/>
              </w:rPr>
              <w:t xml:space="preserve"> beszedési költség címén </w:t>
            </w:r>
            <w:r w:rsidRPr="008F7511">
              <w:rPr>
                <w:b/>
                <w:i/>
                <w:szCs w:val="24"/>
              </w:rPr>
              <w:t>meg kell tartaniuk</w:t>
            </w:r>
            <w:r w:rsidRPr="008F7511">
              <w:rPr>
                <w:szCs w:val="24"/>
              </w:rPr>
              <w:t xml:space="preserve"> az </w:t>
            </w:r>
            <w:r w:rsidRPr="008F7511">
              <w:rPr>
                <w:b/>
                <w:i/>
                <w:szCs w:val="24"/>
              </w:rPr>
              <w:t>általuk beszedett</w:t>
            </w:r>
            <w:r w:rsidRPr="008F7511">
              <w:rPr>
                <w:szCs w:val="24"/>
              </w:rPr>
              <w:t xml:space="preserve"> tradicionális saját </w:t>
            </w:r>
            <w:r w:rsidRPr="008F7511">
              <w:rPr>
                <w:b/>
                <w:i/>
                <w:szCs w:val="24"/>
              </w:rPr>
              <w:t>források 25 %-át</w:t>
            </w:r>
            <w:r w:rsidRPr="008F7511">
              <w:rPr>
                <w:szCs w:val="24"/>
              </w:rPr>
              <w:t>.</w:t>
            </w:r>
          </w:p>
        </w:tc>
        <w:tc>
          <w:tcPr>
            <w:tcW w:w="4876" w:type="dxa"/>
            <w:hideMark/>
          </w:tcPr>
          <w:p w14:paraId="0B2A500B" w14:textId="77777777" w:rsidR="00346723" w:rsidRPr="008F7511" w:rsidRDefault="00346723" w:rsidP="00EC50CA">
            <w:pPr>
              <w:pStyle w:val="Normal6a"/>
              <w:rPr>
                <w:szCs w:val="24"/>
              </w:rPr>
            </w:pPr>
            <w:r w:rsidRPr="008F7511">
              <w:t>(10)</w:t>
            </w:r>
            <w:r w:rsidRPr="008F7511">
              <w:tab/>
              <w:t xml:space="preserve">A </w:t>
            </w:r>
            <w:r w:rsidRPr="008F7511">
              <w:rPr>
                <w:b/>
                <w:i/>
              </w:rPr>
              <w:t>tradicionális saját források céljára a tagállamok által beszedett összegek 20%-</w:t>
            </w:r>
            <w:proofErr w:type="spellStart"/>
            <w:r w:rsidRPr="008F7511">
              <w:rPr>
                <w:b/>
                <w:i/>
              </w:rPr>
              <w:t>ának</w:t>
            </w:r>
            <w:proofErr w:type="spellEnd"/>
            <w:r w:rsidRPr="008F7511">
              <w:t xml:space="preserve"> beszedési költség címén </w:t>
            </w:r>
            <w:r w:rsidRPr="008F7511">
              <w:rPr>
                <w:b/>
                <w:i/>
              </w:rPr>
              <w:t>történő visszatartása a saját források túlságosan magas arányát teszi ki, amely összegek nem állnak</w:t>
            </w:r>
            <w:r w:rsidRPr="008F7511">
              <w:t xml:space="preserve"> az </w:t>
            </w:r>
            <w:r w:rsidRPr="008F7511">
              <w:rPr>
                <w:b/>
                <w:i/>
              </w:rPr>
              <w:t>uniós költségvetés rendelkezésére. A vámügyi berendezések, személyzeti kiadások és informatikai fejlesztések céljára nyújtott pénzügyi támogatások és a tényleges költségek és igények megfelelőbb összhangját biztosítandó, a tagállamok által a tradicionális saját forrásokból visszatartott beszedési költségek arányát vissza kell állítani 20%-</w:t>
            </w:r>
            <w:proofErr w:type="spellStart"/>
            <w:r w:rsidRPr="008F7511">
              <w:rPr>
                <w:b/>
                <w:i/>
              </w:rPr>
              <w:t>ról</w:t>
            </w:r>
            <w:proofErr w:type="spellEnd"/>
            <w:r w:rsidRPr="008F7511">
              <w:rPr>
                <w:b/>
                <w:i/>
              </w:rPr>
              <w:t xml:space="preserve"> az eredeti 10%-</w:t>
            </w:r>
            <w:proofErr w:type="spellStart"/>
            <w:r w:rsidRPr="008F7511">
              <w:rPr>
                <w:b/>
                <w:i/>
              </w:rPr>
              <w:t>ra</w:t>
            </w:r>
            <w:proofErr w:type="spellEnd"/>
            <w:r w:rsidRPr="008F7511">
              <w:rPr>
                <w:b/>
                <w:i/>
              </w:rPr>
              <w:t>.</w:t>
            </w:r>
            <w:r w:rsidRPr="008F7511">
              <w:t xml:space="preserve"> </w:t>
            </w:r>
            <w:r w:rsidRPr="008F7511">
              <w:rPr>
                <w:b/>
                <w:i/>
              </w:rPr>
              <w:t>Ennek az aránynak minden tagállamra vonatkozóan azonosnak kell lennie.</w:t>
            </w:r>
          </w:p>
        </w:tc>
      </w:tr>
    </w:tbl>
    <w:p w14:paraId="401C4C6B" w14:textId="77777777" w:rsidR="00346723" w:rsidRPr="008F7511" w:rsidRDefault="00346723" w:rsidP="00346723">
      <w:pPr>
        <w:pStyle w:val="AmNumberTabs"/>
      </w:pPr>
      <w:r w:rsidRPr="008F7511">
        <w:t>Módosítás</w:t>
      </w:r>
      <w:r w:rsidRPr="008F7511">
        <w:tab/>
      </w:r>
      <w:r w:rsidRPr="008F7511">
        <w:tab/>
        <w:t>14</w:t>
      </w:r>
    </w:p>
    <w:p w14:paraId="18AC68AF" w14:textId="77777777" w:rsidR="00346723" w:rsidRPr="008F7511" w:rsidRDefault="00346723" w:rsidP="00346723">
      <w:pPr>
        <w:pStyle w:val="NormalBold12b"/>
      </w:pPr>
      <w:r w:rsidRPr="008F7511">
        <w:t>Határozatra irányuló tervezet</w:t>
      </w:r>
    </w:p>
    <w:p w14:paraId="2938C3D0" w14:textId="77777777" w:rsidR="00346723" w:rsidRPr="008F7511" w:rsidRDefault="00346723" w:rsidP="00346723">
      <w:pPr>
        <w:pStyle w:val="NormalBold"/>
      </w:pPr>
      <w:r w:rsidRPr="008F7511">
        <w:lastRenderedPageBreak/>
        <w:t>11 preambulumbekezdés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46723" w:rsidRPr="008F7511" w14:paraId="42E7C98B" w14:textId="77777777" w:rsidTr="00EC50CA">
        <w:trPr>
          <w:jc w:val="center"/>
        </w:trPr>
        <w:tc>
          <w:tcPr>
            <w:tcW w:w="9752" w:type="dxa"/>
            <w:gridSpan w:val="2"/>
          </w:tcPr>
          <w:p w14:paraId="01BCCBEC" w14:textId="77777777" w:rsidR="00346723" w:rsidRPr="008F7511" w:rsidRDefault="00346723" w:rsidP="00EC50CA">
            <w:pPr>
              <w:keepNext/>
              <w:widowControl/>
              <w:rPr>
                <w:szCs w:val="24"/>
              </w:rPr>
            </w:pPr>
          </w:p>
        </w:tc>
      </w:tr>
      <w:tr w:rsidR="00346723" w:rsidRPr="008F7511" w14:paraId="41CB12E8" w14:textId="77777777" w:rsidTr="00EC50CA">
        <w:trPr>
          <w:jc w:val="center"/>
        </w:trPr>
        <w:tc>
          <w:tcPr>
            <w:tcW w:w="4876" w:type="dxa"/>
            <w:hideMark/>
          </w:tcPr>
          <w:p w14:paraId="512BA4CD" w14:textId="77777777" w:rsidR="00346723" w:rsidRPr="008F7511" w:rsidRDefault="00346723" w:rsidP="00EC50CA">
            <w:pPr>
              <w:pStyle w:val="AmColumnHeading"/>
            </w:pPr>
            <w:r w:rsidRPr="008F7511">
              <w:t>A Tanács tervezete</w:t>
            </w:r>
          </w:p>
        </w:tc>
        <w:tc>
          <w:tcPr>
            <w:tcW w:w="4876" w:type="dxa"/>
            <w:hideMark/>
          </w:tcPr>
          <w:p w14:paraId="125E2C02" w14:textId="77777777" w:rsidR="00346723" w:rsidRPr="008F7511" w:rsidRDefault="00346723" w:rsidP="00EC50CA">
            <w:pPr>
              <w:pStyle w:val="AmColumnHeading"/>
            </w:pPr>
            <w:r w:rsidRPr="008F7511">
              <w:t>Módosítás</w:t>
            </w:r>
          </w:p>
        </w:tc>
      </w:tr>
      <w:tr w:rsidR="00346723" w:rsidRPr="008F7511" w14:paraId="6A5BB60D" w14:textId="77777777" w:rsidTr="00EC50CA">
        <w:trPr>
          <w:jc w:val="center"/>
        </w:trPr>
        <w:tc>
          <w:tcPr>
            <w:tcW w:w="4876" w:type="dxa"/>
            <w:hideMark/>
          </w:tcPr>
          <w:p w14:paraId="26A12161" w14:textId="77777777" w:rsidR="00346723" w:rsidRPr="008F7511" w:rsidRDefault="00346723" w:rsidP="00EC50CA">
            <w:pPr>
              <w:pStyle w:val="Normal6a"/>
            </w:pPr>
            <w:r w:rsidRPr="008F7511">
              <w:t>(11)</w:t>
            </w:r>
            <w:r w:rsidRPr="008F7511">
              <w:tab/>
              <w:t xml:space="preserve">Az Európai Unió működéséről szóló szerződés 311. cikkének negyedik </w:t>
            </w:r>
            <w:r w:rsidRPr="008F7511">
              <w:rPr>
                <w:b/>
                <w:i/>
              </w:rPr>
              <w:t>bekezdése értelmében</w:t>
            </w:r>
            <w:r w:rsidRPr="008F7511">
              <w:t xml:space="preserve"> a </w:t>
            </w:r>
            <w:r w:rsidRPr="008F7511">
              <w:rPr>
                <w:b/>
                <w:i/>
              </w:rPr>
              <w:t>Tanács</w:t>
            </w:r>
            <w:r w:rsidRPr="008F7511">
              <w:t xml:space="preserve"> </w:t>
            </w:r>
            <w:r w:rsidRPr="008F7511">
              <w:rPr>
                <w:b/>
                <w:i/>
              </w:rPr>
              <w:t>rendeletet fogad el</w:t>
            </w:r>
            <w:r w:rsidRPr="008F7511">
              <w:t xml:space="preserve"> az Unió saját forrásainak rendszerére vonatkozó végrehajtási </w:t>
            </w:r>
            <w:r w:rsidRPr="008F7511">
              <w:rPr>
                <w:b/>
                <w:i/>
              </w:rPr>
              <w:t>intézkedések megállapításáról</w:t>
            </w:r>
            <w:r w:rsidRPr="008F7511">
              <w:t xml:space="preserve">. Ezen intézkedések közé olyan általános és technikai </w:t>
            </w:r>
            <w:r w:rsidRPr="008F7511">
              <w:rPr>
                <w:b/>
                <w:i/>
              </w:rPr>
              <w:t xml:space="preserve">jellegű </w:t>
            </w:r>
            <w:r w:rsidRPr="008F7511">
              <w:t xml:space="preserve">rendelkezéseknek kell tartozniuk, amelyek a saját források összes </w:t>
            </w:r>
            <w:proofErr w:type="gramStart"/>
            <w:r w:rsidRPr="008F7511">
              <w:rPr>
                <w:b/>
                <w:i/>
              </w:rPr>
              <w:t>kategóriájára</w:t>
            </w:r>
            <w:proofErr w:type="gramEnd"/>
            <w:r w:rsidRPr="008F7511">
              <w:t xml:space="preserve"> alkalmazandók. Ezeknek az intézkedéseknek </w:t>
            </w:r>
            <w:r w:rsidRPr="008F7511">
              <w:rPr>
                <w:b/>
                <w:i/>
              </w:rPr>
              <w:t>az egyenleg kiszámítására és költségvetési elszámolására vonatkozó részletes szabályokat</w:t>
            </w:r>
            <w:r w:rsidRPr="008F7511">
              <w:t xml:space="preserve">, </w:t>
            </w:r>
            <w:r w:rsidRPr="008F7511">
              <w:rPr>
                <w:b/>
                <w:i/>
              </w:rPr>
              <w:t>továbbá</w:t>
            </w:r>
            <w:r w:rsidRPr="008F7511">
              <w:t xml:space="preserve"> a saját források beszedésének ellenőrzéséhez és felügyeletéhez szükséges rendelkezéseket és </w:t>
            </w:r>
            <w:r w:rsidRPr="008F7511">
              <w:rPr>
                <w:b/>
                <w:i/>
              </w:rPr>
              <w:t>megállapodásokat</w:t>
            </w:r>
            <w:r w:rsidRPr="008F7511">
              <w:t xml:space="preserve"> kell </w:t>
            </w:r>
            <w:r w:rsidRPr="008F7511">
              <w:rPr>
                <w:b/>
                <w:i/>
              </w:rPr>
              <w:t>tartalmazniuk</w:t>
            </w:r>
            <w:r w:rsidRPr="008F7511">
              <w:t>.</w:t>
            </w:r>
          </w:p>
        </w:tc>
        <w:tc>
          <w:tcPr>
            <w:tcW w:w="4876" w:type="dxa"/>
            <w:hideMark/>
          </w:tcPr>
          <w:p w14:paraId="0E8A4A94" w14:textId="14C9D9E1" w:rsidR="00346723" w:rsidRPr="008F7511" w:rsidRDefault="00346723" w:rsidP="00857D29">
            <w:pPr>
              <w:pStyle w:val="Normal6a"/>
              <w:rPr>
                <w:szCs w:val="24"/>
              </w:rPr>
            </w:pPr>
            <w:r w:rsidRPr="008F7511">
              <w:t>(11)</w:t>
            </w:r>
            <w:r w:rsidRPr="008F7511">
              <w:tab/>
              <w:t xml:space="preserve">Az Európai Unió működéséről szóló szerződés 311. cikkének negyedik </w:t>
            </w:r>
            <w:r w:rsidRPr="008F7511">
              <w:rPr>
                <w:b/>
                <w:i/>
              </w:rPr>
              <w:t>bekezdés</w:t>
            </w:r>
            <w:r w:rsidR="0042745D" w:rsidRPr="008F7511">
              <w:rPr>
                <w:b/>
                <w:i/>
              </w:rPr>
              <w:t>ével összhangban</w:t>
            </w:r>
            <w:r w:rsidRPr="008F7511">
              <w:t xml:space="preserve"> a </w:t>
            </w:r>
            <w:r w:rsidRPr="008F7511">
              <w:rPr>
                <w:b/>
                <w:i/>
              </w:rPr>
              <w:t>Tanács</w:t>
            </w:r>
            <w:r w:rsidR="0042745D" w:rsidRPr="008F7511">
              <w:rPr>
                <w:b/>
                <w:i/>
              </w:rPr>
              <w:t>nak</w:t>
            </w:r>
            <w:r w:rsidRPr="008F7511">
              <w:t xml:space="preserve"> </w:t>
            </w:r>
            <w:r w:rsidRPr="008F7511">
              <w:rPr>
                <w:b/>
                <w:i/>
              </w:rPr>
              <w:t>meg</w:t>
            </w:r>
            <w:r w:rsidR="0042745D" w:rsidRPr="008F7511">
              <w:rPr>
                <w:b/>
                <w:i/>
              </w:rPr>
              <w:t xml:space="preserve"> kell állapítania</w:t>
            </w:r>
            <w:r w:rsidRPr="008F7511">
              <w:t xml:space="preserve"> az Unió saját forrásainak rendszerére vonatkozó végrehajtási </w:t>
            </w:r>
            <w:r w:rsidRPr="008F7511">
              <w:rPr>
                <w:b/>
                <w:i/>
              </w:rPr>
              <w:t>intézkedéseket</w:t>
            </w:r>
            <w:r w:rsidRPr="008F7511">
              <w:t xml:space="preserve">. Ezen intézkedések közé olyan általános és technikai rendelkezéseknek kell tartozniuk, amelyek a saját források összes </w:t>
            </w:r>
            <w:r w:rsidRPr="008F7511">
              <w:rPr>
                <w:b/>
                <w:i/>
              </w:rPr>
              <w:t>típusára</w:t>
            </w:r>
            <w:r w:rsidRPr="008F7511">
              <w:t xml:space="preserve"> alkalmazandók</w:t>
            </w:r>
            <w:r w:rsidRPr="008F7511">
              <w:rPr>
                <w:b/>
                <w:i/>
              </w:rPr>
              <w:t>, és amelyek tekintetében különösen fontos a megfelelő parlamenti felügyelet</w:t>
            </w:r>
            <w:r w:rsidRPr="008F7511">
              <w:t xml:space="preserve">. </w:t>
            </w:r>
            <w:proofErr w:type="gramStart"/>
            <w:r w:rsidRPr="008F7511">
              <w:t xml:space="preserve">Ezeknek az intézkedéseknek </w:t>
            </w:r>
            <w:r w:rsidRPr="008F7511">
              <w:rPr>
                <w:b/>
                <w:i/>
              </w:rPr>
              <w:t>részletes szabályokat kell tartalmazniuk a 2. cikk (1) bekezdésében említett</w:t>
            </w:r>
            <w:r w:rsidRPr="008F7511">
              <w:t xml:space="preserve">, </w:t>
            </w:r>
            <w:r w:rsidRPr="008F7511">
              <w:rPr>
                <w:b/>
                <w:i/>
              </w:rPr>
              <w:t xml:space="preserve">rendelkezésre bocsátandó saját források összegének megállapítására vonatkozóan, beleértve a 2. cikk (1) bekezdésének b)–e) pontjában említett saját forrásokra alkalmazandó lehívási </w:t>
            </w:r>
            <w:r w:rsidR="00857D29" w:rsidRPr="008F7511">
              <w:rPr>
                <w:b/>
                <w:i/>
              </w:rPr>
              <w:t>kulcsokat</w:t>
            </w:r>
            <w:r w:rsidRPr="008F7511">
              <w:rPr>
                <w:b/>
                <w:i/>
              </w:rPr>
              <w:t>, a bruttó nemzeti jövedelemhez kapcsolódó technikai kérdéseket,</w:t>
            </w:r>
            <w:r w:rsidRPr="008F7511">
              <w:t xml:space="preserve"> a saját források beszedésének ellenőrzéséhez és felügyeletéhez szükséges rendelkezéseket és </w:t>
            </w:r>
            <w:r w:rsidRPr="008F7511">
              <w:rPr>
                <w:b/>
                <w:i/>
              </w:rPr>
              <w:t>intézkedéseket, beleértve az ellenőrzésekre vonatkozó szabályokat, valamint a Bizottság által az ellenőrzések elvégzésére felhatalmazott tisztviselők</w:t>
            </w:r>
            <w:proofErr w:type="gramEnd"/>
            <w:r w:rsidRPr="008F7511">
              <w:rPr>
                <w:b/>
                <w:i/>
              </w:rPr>
              <w:t xml:space="preserve"> és egyéb alkalmazottak hatáskörét, valamint a vonatkozó jelentéstételi követelményeket.</w:t>
            </w:r>
            <w:r w:rsidRPr="008F7511">
              <w:t xml:space="preserve"> </w:t>
            </w:r>
            <w:r w:rsidRPr="008F7511">
              <w:rPr>
                <w:b/>
                <w:i/>
              </w:rPr>
              <w:t xml:space="preserve">Ezeknek az intézkedéseknek gyakorlati rendelkezéseket is </w:t>
            </w:r>
            <w:r w:rsidR="00852F5B" w:rsidRPr="008F7511">
              <w:rPr>
                <w:b/>
                <w:i/>
              </w:rPr>
              <w:t xml:space="preserve">magukban kell </w:t>
            </w:r>
            <w:proofErr w:type="gramStart"/>
            <w:r w:rsidR="00852F5B" w:rsidRPr="008F7511">
              <w:rPr>
                <w:b/>
                <w:i/>
              </w:rPr>
              <w:t>foglalniuk</w:t>
            </w:r>
            <w:proofErr w:type="gramEnd"/>
            <w:r w:rsidR="00852F5B" w:rsidRPr="008F7511">
              <w:rPr>
                <w:b/>
                <w:i/>
              </w:rPr>
              <w:t xml:space="preserve"> </w:t>
            </w:r>
            <w:r w:rsidRPr="008F7511">
              <w:rPr>
                <w:b/>
                <w:i/>
              </w:rPr>
              <w:t>kell arra vonatkozóan, hogy a tagállamok és az Európai Parlament – mint a költségvetési hatóság egyik ága – rendszeres tájékoztatást kapjanak a hitelfelvétel állásáról, az adósságkezelésről és a kapcsolódó kockázatkezelési stratégiákról, valamint a visszafizetési tervről.</w:t>
            </w:r>
            <w:r w:rsidRPr="008F7511">
              <w:t xml:space="preserve"> </w:t>
            </w:r>
          </w:p>
        </w:tc>
      </w:tr>
    </w:tbl>
    <w:p w14:paraId="5B6409F5" w14:textId="77777777" w:rsidR="00346723" w:rsidRPr="008F7511" w:rsidRDefault="00346723" w:rsidP="00346723">
      <w:pPr>
        <w:pStyle w:val="AmNumberTabs"/>
      </w:pPr>
      <w:r w:rsidRPr="008F7511">
        <w:t>Módosítás</w:t>
      </w:r>
      <w:r w:rsidRPr="008F7511">
        <w:tab/>
      </w:r>
      <w:r w:rsidRPr="008F7511">
        <w:tab/>
        <w:t>15</w:t>
      </w:r>
    </w:p>
    <w:p w14:paraId="27DED1CC" w14:textId="77777777" w:rsidR="00346723" w:rsidRPr="008F7511" w:rsidRDefault="00346723" w:rsidP="00346723">
      <w:pPr>
        <w:pStyle w:val="NormalBold12b"/>
      </w:pPr>
      <w:r w:rsidRPr="008F7511">
        <w:t>Határozatra irányuló tervezet</w:t>
      </w:r>
    </w:p>
    <w:p w14:paraId="2A235820" w14:textId="77777777" w:rsidR="00346723" w:rsidRPr="008F7511" w:rsidRDefault="00346723" w:rsidP="00346723">
      <w:pPr>
        <w:pStyle w:val="NormalBold"/>
      </w:pPr>
      <w:r w:rsidRPr="008F7511">
        <w:t>13 preambulumbekezdés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46723" w:rsidRPr="008F7511" w14:paraId="63873DDE" w14:textId="77777777" w:rsidTr="00EC50CA">
        <w:trPr>
          <w:jc w:val="center"/>
        </w:trPr>
        <w:tc>
          <w:tcPr>
            <w:tcW w:w="9752" w:type="dxa"/>
            <w:gridSpan w:val="2"/>
          </w:tcPr>
          <w:p w14:paraId="28F89560" w14:textId="77777777" w:rsidR="00346723" w:rsidRPr="008F7511" w:rsidRDefault="00346723" w:rsidP="00EC50CA">
            <w:pPr>
              <w:keepNext/>
            </w:pPr>
          </w:p>
        </w:tc>
      </w:tr>
      <w:tr w:rsidR="00346723" w:rsidRPr="008F7511" w14:paraId="612CE1FF" w14:textId="77777777" w:rsidTr="00EC50CA">
        <w:trPr>
          <w:jc w:val="center"/>
        </w:trPr>
        <w:tc>
          <w:tcPr>
            <w:tcW w:w="4876" w:type="dxa"/>
          </w:tcPr>
          <w:p w14:paraId="565D5E1D" w14:textId="77777777" w:rsidR="00346723" w:rsidRPr="008F7511" w:rsidRDefault="00346723" w:rsidP="00EC50CA">
            <w:pPr>
              <w:pStyle w:val="AmColumnHeading"/>
            </w:pPr>
            <w:r w:rsidRPr="008F7511">
              <w:t>A Tanács tervezete</w:t>
            </w:r>
          </w:p>
        </w:tc>
        <w:tc>
          <w:tcPr>
            <w:tcW w:w="4876" w:type="dxa"/>
          </w:tcPr>
          <w:p w14:paraId="56F07106" w14:textId="77777777" w:rsidR="00346723" w:rsidRPr="008F7511" w:rsidRDefault="00346723" w:rsidP="00EC50CA">
            <w:pPr>
              <w:pStyle w:val="AmColumnHeading"/>
            </w:pPr>
            <w:r w:rsidRPr="008F7511">
              <w:t>Módosítás</w:t>
            </w:r>
          </w:p>
        </w:tc>
      </w:tr>
      <w:tr w:rsidR="00346723" w:rsidRPr="008F7511" w14:paraId="0ECFDD7A" w14:textId="77777777" w:rsidTr="00EC50CA">
        <w:trPr>
          <w:jc w:val="center"/>
        </w:trPr>
        <w:tc>
          <w:tcPr>
            <w:tcW w:w="4876" w:type="dxa"/>
          </w:tcPr>
          <w:p w14:paraId="11E6E648" w14:textId="77777777" w:rsidR="00346723" w:rsidRPr="008F7511" w:rsidRDefault="00346723" w:rsidP="00EC50CA">
            <w:pPr>
              <w:pStyle w:val="Normal6a"/>
              <w:rPr>
                <w:szCs w:val="24"/>
              </w:rPr>
            </w:pPr>
            <w:r w:rsidRPr="008F7511">
              <w:rPr>
                <w:szCs w:val="24"/>
              </w:rPr>
              <w:t xml:space="preserve">(13) </w:t>
            </w:r>
            <w:r w:rsidRPr="008F7511">
              <w:rPr>
                <w:szCs w:val="24"/>
              </w:rPr>
              <w:tab/>
            </w:r>
            <w:r w:rsidRPr="008F7511">
              <w:rPr>
                <w:b/>
                <w:i/>
              </w:rPr>
              <w:t>A</w:t>
            </w:r>
            <w:r w:rsidRPr="008F7511">
              <w:t xml:space="preserve"> saját </w:t>
            </w:r>
            <w:r w:rsidRPr="008F7511">
              <w:rPr>
                <w:b/>
                <w:i/>
              </w:rPr>
              <w:t>források</w:t>
            </w:r>
            <w:r w:rsidRPr="008F7511">
              <w:t xml:space="preserve"> felső </w:t>
            </w:r>
            <w:r w:rsidRPr="008F7511">
              <w:rPr>
                <w:b/>
                <w:i/>
              </w:rPr>
              <w:t>határai alatt</w:t>
            </w:r>
            <w:r w:rsidRPr="008F7511">
              <w:t xml:space="preserve"> elegendő </w:t>
            </w:r>
            <w:r w:rsidRPr="008F7511">
              <w:rPr>
                <w:b/>
                <w:i/>
              </w:rPr>
              <w:t>mozgásteret kell</w:t>
            </w:r>
            <w:r w:rsidRPr="008F7511">
              <w:t xml:space="preserve"> az Unió </w:t>
            </w:r>
            <w:r w:rsidRPr="008F7511">
              <w:rPr>
                <w:b/>
                <w:i/>
              </w:rPr>
              <w:t>számára biztosítani</w:t>
            </w:r>
            <w:r w:rsidRPr="008F7511">
              <w:t xml:space="preserve"> ahhoz, hogy fedezni tudja az adott évben </w:t>
            </w:r>
            <w:r w:rsidRPr="008F7511">
              <w:rPr>
                <w:b/>
                <w:i/>
              </w:rPr>
              <w:t>esedékes</w:t>
            </w:r>
            <w:r w:rsidRPr="008F7511">
              <w:t xml:space="preserve"> valamennyi pénzügyi kötelezettségét és függő kötelezettségét</w:t>
            </w:r>
            <w:r w:rsidRPr="008F7511">
              <w:rPr>
                <w:b/>
                <w:i/>
              </w:rPr>
              <w:t>.</w:t>
            </w:r>
            <w:r w:rsidRPr="008F7511">
              <w:t xml:space="preserve"> </w:t>
            </w:r>
            <w:r w:rsidRPr="008F7511">
              <w:rPr>
                <w:b/>
                <w:i/>
              </w:rPr>
              <w:t>Az éves kifizetési előirányzatok fedezetéül az uniós költségvetés számára allokált</w:t>
            </w:r>
            <w:r w:rsidRPr="008F7511">
              <w:t xml:space="preserve"> saját </w:t>
            </w:r>
            <w:r w:rsidRPr="008F7511">
              <w:rPr>
                <w:b/>
                <w:i/>
              </w:rPr>
              <w:t>források teljes összege nem haladhatja meg</w:t>
            </w:r>
            <w:r w:rsidRPr="008F7511">
              <w:t xml:space="preserve"> a </w:t>
            </w:r>
            <w:r w:rsidRPr="008F7511">
              <w:rPr>
                <w:b/>
                <w:i/>
              </w:rPr>
              <w:t>tagállamok összesített GNI-jének 1,40 %-át.</w:t>
            </w:r>
            <w:r w:rsidRPr="008F7511">
              <w:t xml:space="preserve"> </w:t>
            </w:r>
            <w:r w:rsidRPr="008F7511">
              <w:rPr>
                <w:b/>
                <w:i/>
              </w:rPr>
              <w:t>Az éves kötelezettségvállalási</w:t>
            </w:r>
            <w:r w:rsidRPr="008F7511">
              <w:t xml:space="preserve"> előirányzatok </w:t>
            </w:r>
            <w:r w:rsidRPr="008F7511">
              <w:rPr>
                <w:b/>
                <w:i/>
              </w:rPr>
              <w:t>teljes összege nem haladhatja meg az összes tagállam GNI-je</w:t>
            </w:r>
            <w:r w:rsidRPr="008F7511">
              <w:t xml:space="preserve"> összegének </w:t>
            </w:r>
            <w:r w:rsidRPr="008F7511">
              <w:rPr>
                <w:b/>
                <w:i/>
              </w:rPr>
              <w:t>1,46 %-át</w:t>
            </w:r>
            <w:r w:rsidRPr="008F7511">
              <w:t>.</w:t>
            </w:r>
          </w:p>
        </w:tc>
        <w:tc>
          <w:tcPr>
            <w:tcW w:w="4876" w:type="dxa"/>
          </w:tcPr>
          <w:p w14:paraId="621D082F" w14:textId="698850A5" w:rsidR="00346723" w:rsidRPr="008F7511" w:rsidRDefault="00346723" w:rsidP="00855367">
            <w:pPr>
              <w:pStyle w:val="Normal6a"/>
              <w:rPr>
                <w:szCs w:val="24"/>
              </w:rPr>
            </w:pPr>
            <w:r w:rsidRPr="008F7511">
              <w:rPr>
                <w:szCs w:val="24"/>
              </w:rPr>
              <w:t xml:space="preserve">(13) </w:t>
            </w:r>
            <w:r w:rsidRPr="008F7511">
              <w:rPr>
                <w:szCs w:val="24"/>
              </w:rPr>
              <w:tab/>
            </w:r>
            <w:r w:rsidRPr="008F7511">
              <w:rPr>
                <w:b/>
                <w:i/>
              </w:rPr>
              <w:t>Annak érdekében, hogy a</w:t>
            </w:r>
            <w:r w:rsidRPr="008F7511">
              <w:t xml:space="preserve"> saját </w:t>
            </w:r>
            <w:r w:rsidRPr="008F7511">
              <w:rPr>
                <w:b/>
                <w:i/>
              </w:rPr>
              <w:t>források</w:t>
            </w:r>
            <w:r w:rsidRPr="008F7511">
              <w:t xml:space="preserve"> felső </w:t>
            </w:r>
            <w:r w:rsidRPr="008F7511">
              <w:rPr>
                <w:b/>
                <w:i/>
              </w:rPr>
              <w:t>határ</w:t>
            </w:r>
            <w:r w:rsidR="00852F5B" w:rsidRPr="008F7511">
              <w:rPr>
                <w:b/>
                <w:i/>
              </w:rPr>
              <w:t>ai</w:t>
            </w:r>
            <w:r w:rsidRPr="008F7511">
              <w:rPr>
                <w:b/>
                <w:i/>
              </w:rPr>
              <w:t xml:space="preserve"> keretében</w:t>
            </w:r>
            <w:r w:rsidRPr="008F7511">
              <w:t xml:space="preserve"> elegendő </w:t>
            </w:r>
            <w:r w:rsidRPr="008F7511">
              <w:rPr>
                <w:b/>
                <w:i/>
              </w:rPr>
              <w:t>tartalék álljon</w:t>
            </w:r>
            <w:r w:rsidRPr="008F7511">
              <w:t xml:space="preserve"> az Unió </w:t>
            </w:r>
            <w:r w:rsidRPr="008F7511">
              <w:rPr>
                <w:b/>
                <w:i/>
              </w:rPr>
              <w:t>rendelkezésére</w:t>
            </w:r>
            <w:r w:rsidRPr="008F7511">
              <w:t xml:space="preserve"> ahhoz, hogy fedezni tudja az adott évben </w:t>
            </w:r>
            <w:r w:rsidRPr="008F7511">
              <w:rPr>
                <w:b/>
                <w:i/>
              </w:rPr>
              <w:t>esedékes</w:t>
            </w:r>
            <w:r w:rsidR="00852F5B" w:rsidRPr="008F7511">
              <w:rPr>
                <w:b/>
                <w:i/>
              </w:rPr>
              <w:t>sé váló</w:t>
            </w:r>
            <w:r w:rsidRPr="008F7511">
              <w:t xml:space="preserve"> valamennyi pénzügyi kötelezettségét és függő kötelezettségét</w:t>
            </w:r>
            <w:r w:rsidRPr="008F7511">
              <w:rPr>
                <w:b/>
                <w:i/>
              </w:rPr>
              <w:t>, a</w:t>
            </w:r>
            <w:r w:rsidRPr="008F7511">
              <w:t xml:space="preserve"> saját </w:t>
            </w:r>
            <w:r w:rsidRPr="008F7511">
              <w:rPr>
                <w:b/>
                <w:i/>
              </w:rPr>
              <w:t>források felső határ</w:t>
            </w:r>
            <w:r w:rsidR="00852F5B" w:rsidRPr="008F7511">
              <w:rPr>
                <w:b/>
                <w:i/>
              </w:rPr>
              <w:t>á</w:t>
            </w:r>
            <w:r w:rsidRPr="008F7511">
              <w:rPr>
                <w:b/>
                <w:i/>
              </w:rPr>
              <w:t>t</w:t>
            </w:r>
            <w:r w:rsidRPr="008F7511">
              <w:t xml:space="preserve"> a </w:t>
            </w:r>
            <w:r w:rsidRPr="008F7511">
              <w:rPr>
                <w:b/>
                <w:i/>
              </w:rPr>
              <w:t>kifizetési</w:t>
            </w:r>
            <w:r w:rsidRPr="008F7511">
              <w:t xml:space="preserve"> előirányzatok </w:t>
            </w:r>
            <w:r w:rsidRPr="008F7511">
              <w:rPr>
                <w:b/>
                <w:i/>
              </w:rPr>
              <w:t>esetében a tagállamok piaci áron számított bruttó nemzeti jövedelme</w:t>
            </w:r>
            <w:r w:rsidRPr="008F7511">
              <w:t xml:space="preserve"> összegének </w:t>
            </w:r>
            <w:r w:rsidRPr="008F7511">
              <w:rPr>
                <w:b/>
                <w:i/>
              </w:rPr>
              <w:t>1,50%-ára kell emelni</w:t>
            </w:r>
            <w:r w:rsidRPr="008F7511">
              <w:t>.</w:t>
            </w:r>
          </w:p>
        </w:tc>
      </w:tr>
    </w:tbl>
    <w:p w14:paraId="57704219" w14:textId="77777777" w:rsidR="00346723" w:rsidRPr="008F7511" w:rsidRDefault="00346723" w:rsidP="00346723"/>
    <w:p w14:paraId="08A49C71" w14:textId="77777777" w:rsidR="00346723" w:rsidRPr="008F7511" w:rsidRDefault="00346723" w:rsidP="00346723">
      <w:pPr>
        <w:pStyle w:val="AmNumberTabs"/>
      </w:pPr>
      <w:r w:rsidRPr="008F7511">
        <w:t>Módosítás</w:t>
      </w:r>
      <w:r w:rsidRPr="008F7511">
        <w:tab/>
      </w:r>
      <w:r w:rsidRPr="008F7511">
        <w:tab/>
        <w:t>16</w:t>
      </w:r>
    </w:p>
    <w:p w14:paraId="2E1248FC" w14:textId="77777777" w:rsidR="00346723" w:rsidRPr="008F7511" w:rsidRDefault="00346723" w:rsidP="00346723">
      <w:pPr>
        <w:pStyle w:val="NormalBold12b"/>
      </w:pPr>
      <w:r w:rsidRPr="008F7511">
        <w:t>Határozatra irányuló tervezet</w:t>
      </w:r>
    </w:p>
    <w:p w14:paraId="0E86AC4A" w14:textId="77777777" w:rsidR="00346723" w:rsidRPr="008F7511" w:rsidRDefault="00346723" w:rsidP="00346723">
      <w:pPr>
        <w:pStyle w:val="NormalBold"/>
      </w:pPr>
      <w:r w:rsidRPr="008F7511">
        <w:t>16 a preambulumbekezdés (új)</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46723" w:rsidRPr="008F7511" w14:paraId="23180D3C" w14:textId="77777777" w:rsidTr="00EC50CA">
        <w:trPr>
          <w:jc w:val="center"/>
        </w:trPr>
        <w:tc>
          <w:tcPr>
            <w:tcW w:w="9752" w:type="dxa"/>
            <w:gridSpan w:val="2"/>
          </w:tcPr>
          <w:p w14:paraId="5F8C43F6" w14:textId="77777777" w:rsidR="00346723" w:rsidRPr="008F7511" w:rsidRDefault="00346723" w:rsidP="00EC50CA">
            <w:pPr>
              <w:keepNext/>
            </w:pPr>
          </w:p>
        </w:tc>
      </w:tr>
      <w:tr w:rsidR="00346723" w:rsidRPr="008F7511" w14:paraId="578DD800" w14:textId="77777777" w:rsidTr="00EC50CA">
        <w:trPr>
          <w:jc w:val="center"/>
        </w:trPr>
        <w:tc>
          <w:tcPr>
            <w:tcW w:w="4876" w:type="dxa"/>
          </w:tcPr>
          <w:p w14:paraId="6CC07A9B" w14:textId="77777777" w:rsidR="00346723" w:rsidRPr="008F7511" w:rsidRDefault="00346723" w:rsidP="00EC50CA">
            <w:pPr>
              <w:pStyle w:val="AmColumnHeading"/>
              <w:keepNext/>
            </w:pPr>
            <w:r w:rsidRPr="008F7511">
              <w:t>A Tanács tervezete</w:t>
            </w:r>
          </w:p>
        </w:tc>
        <w:tc>
          <w:tcPr>
            <w:tcW w:w="4876" w:type="dxa"/>
          </w:tcPr>
          <w:p w14:paraId="2F2C74E9" w14:textId="77777777" w:rsidR="00346723" w:rsidRPr="008F7511" w:rsidRDefault="00346723" w:rsidP="00EC50CA">
            <w:pPr>
              <w:pStyle w:val="AmColumnHeading"/>
              <w:keepNext/>
            </w:pPr>
            <w:r w:rsidRPr="008F7511">
              <w:t>Módosítás</w:t>
            </w:r>
          </w:p>
        </w:tc>
      </w:tr>
      <w:tr w:rsidR="00346723" w:rsidRPr="008F7511" w14:paraId="0232B97E" w14:textId="77777777" w:rsidTr="00EC50CA">
        <w:trPr>
          <w:jc w:val="center"/>
        </w:trPr>
        <w:tc>
          <w:tcPr>
            <w:tcW w:w="4876" w:type="dxa"/>
          </w:tcPr>
          <w:p w14:paraId="77A44B2B" w14:textId="77777777" w:rsidR="00346723" w:rsidRPr="008F7511" w:rsidRDefault="00346723" w:rsidP="00EC50CA">
            <w:pPr>
              <w:pStyle w:val="Normal6a"/>
              <w:rPr>
                <w:b/>
                <w:bCs/>
                <w:i/>
                <w:iCs/>
              </w:rPr>
            </w:pPr>
          </w:p>
        </w:tc>
        <w:tc>
          <w:tcPr>
            <w:tcW w:w="4876" w:type="dxa"/>
          </w:tcPr>
          <w:p w14:paraId="74E4A249" w14:textId="2D8AC832" w:rsidR="00346723" w:rsidRPr="008F7511" w:rsidRDefault="00346723" w:rsidP="00857D29">
            <w:pPr>
              <w:pStyle w:val="Normal6a"/>
              <w:rPr>
                <w:b/>
                <w:bCs/>
                <w:i/>
                <w:iCs/>
              </w:rPr>
            </w:pPr>
            <w:r w:rsidRPr="008F7511">
              <w:rPr>
                <w:b/>
                <w:bCs/>
                <w:i/>
                <w:iCs/>
                <w:szCs w:val="24"/>
              </w:rPr>
              <w:t xml:space="preserve">(16a) </w:t>
            </w:r>
            <w:r w:rsidRPr="008F7511">
              <w:rPr>
                <w:b/>
                <w:bCs/>
                <w:i/>
                <w:iCs/>
                <w:szCs w:val="24"/>
              </w:rPr>
              <w:tab/>
            </w:r>
            <w:proofErr w:type="gramStart"/>
            <w:r w:rsidRPr="008F7511">
              <w:rPr>
                <w:b/>
                <w:bCs/>
                <w:i/>
                <w:iCs/>
              </w:rPr>
              <w:t>A</w:t>
            </w:r>
            <w:proofErr w:type="gramEnd"/>
            <w:r w:rsidRPr="008F7511">
              <w:rPr>
                <w:b/>
                <w:bCs/>
                <w:i/>
                <w:iCs/>
              </w:rPr>
              <w:t xml:space="preserve"> kifizetési előirányzatok felső határát kizárólag a rendkívüli és ideiglenes hitelfelvételi felhatalmazásból eredő további pénzügyi kötelezettségek és függő kötelezettségek fedezése, valamint a pénzügyi fenntarthatóság – akár gazdasági visszaesés idején történő – biztosítása érdekében 0,6 százalékponttal meg kell emelni.</w:t>
            </w:r>
          </w:p>
        </w:tc>
      </w:tr>
    </w:tbl>
    <w:p w14:paraId="6F02CAB2" w14:textId="77777777" w:rsidR="00346723" w:rsidRPr="008F7511" w:rsidRDefault="00346723" w:rsidP="00346723">
      <w:pPr>
        <w:pStyle w:val="AmNumberTabs"/>
      </w:pPr>
      <w:r w:rsidRPr="008F7511">
        <w:t>Módosítás</w:t>
      </w:r>
      <w:r w:rsidRPr="008F7511">
        <w:tab/>
      </w:r>
      <w:r w:rsidRPr="008F7511">
        <w:tab/>
        <w:t>17</w:t>
      </w:r>
    </w:p>
    <w:p w14:paraId="59270A26" w14:textId="77777777" w:rsidR="00346723" w:rsidRPr="008F7511" w:rsidRDefault="00346723" w:rsidP="00346723">
      <w:pPr>
        <w:pStyle w:val="NormalBold12b"/>
      </w:pPr>
      <w:r w:rsidRPr="008F7511">
        <w:t>Határozatra irányuló tervezet</w:t>
      </w:r>
    </w:p>
    <w:p w14:paraId="49BD2B8C" w14:textId="77777777" w:rsidR="00346723" w:rsidRPr="008F7511" w:rsidRDefault="00346723" w:rsidP="00346723">
      <w:pPr>
        <w:pStyle w:val="NormalBold"/>
      </w:pPr>
      <w:r w:rsidRPr="008F7511">
        <w:t>19 preambulumbekezdés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46723" w:rsidRPr="008F7511" w14:paraId="1D779F7D" w14:textId="77777777" w:rsidTr="00EC50CA">
        <w:trPr>
          <w:jc w:val="center"/>
        </w:trPr>
        <w:tc>
          <w:tcPr>
            <w:tcW w:w="9752" w:type="dxa"/>
            <w:gridSpan w:val="2"/>
          </w:tcPr>
          <w:p w14:paraId="793C683B" w14:textId="77777777" w:rsidR="00346723" w:rsidRPr="008F7511" w:rsidRDefault="00346723" w:rsidP="00EC50CA">
            <w:pPr>
              <w:keepNext/>
            </w:pPr>
          </w:p>
        </w:tc>
      </w:tr>
      <w:tr w:rsidR="00346723" w:rsidRPr="008F7511" w14:paraId="7D417B44" w14:textId="77777777" w:rsidTr="00EC50CA">
        <w:trPr>
          <w:jc w:val="center"/>
        </w:trPr>
        <w:tc>
          <w:tcPr>
            <w:tcW w:w="4876" w:type="dxa"/>
          </w:tcPr>
          <w:p w14:paraId="112E4239" w14:textId="77777777" w:rsidR="00346723" w:rsidRPr="008F7511" w:rsidRDefault="00346723" w:rsidP="00EC50CA">
            <w:pPr>
              <w:pStyle w:val="AmColumnHeading"/>
              <w:keepNext/>
            </w:pPr>
            <w:r w:rsidRPr="008F7511">
              <w:t>A Tanács tervezete</w:t>
            </w:r>
          </w:p>
        </w:tc>
        <w:tc>
          <w:tcPr>
            <w:tcW w:w="4876" w:type="dxa"/>
          </w:tcPr>
          <w:p w14:paraId="36AF46F2" w14:textId="77777777" w:rsidR="00346723" w:rsidRPr="008F7511" w:rsidRDefault="00346723" w:rsidP="00EC50CA">
            <w:pPr>
              <w:pStyle w:val="AmColumnHeading"/>
              <w:keepNext/>
            </w:pPr>
            <w:r w:rsidRPr="008F7511">
              <w:t>Módosítás</w:t>
            </w:r>
          </w:p>
        </w:tc>
      </w:tr>
      <w:tr w:rsidR="00346723" w:rsidRPr="008F7511" w14:paraId="64279180" w14:textId="77777777" w:rsidTr="00EC50CA">
        <w:trPr>
          <w:jc w:val="center"/>
        </w:trPr>
        <w:tc>
          <w:tcPr>
            <w:tcW w:w="4876" w:type="dxa"/>
          </w:tcPr>
          <w:p w14:paraId="5422D93C" w14:textId="77777777" w:rsidR="00346723" w:rsidRPr="008F7511" w:rsidRDefault="00346723" w:rsidP="00EC50CA">
            <w:pPr>
              <w:pStyle w:val="Normal6a"/>
            </w:pPr>
            <w:r w:rsidRPr="008F7511">
              <w:rPr>
                <w:szCs w:val="24"/>
              </w:rPr>
              <w:t xml:space="preserve">(19) </w:t>
            </w:r>
            <w:r w:rsidRPr="008F7511">
              <w:rPr>
                <w:szCs w:val="24"/>
              </w:rPr>
              <w:tab/>
            </w:r>
            <w:r w:rsidRPr="008F7511">
              <w:t xml:space="preserve">A vissza nem térítendő támogatás, a pénzügyi eszközökön keresztül visszafizetendő támogatás vagy a költségvetési </w:t>
            </w:r>
            <w:proofErr w:type="gramStart"/>
            <w:r w:rsidRPr="008F7511">
              <w:t>garanciák</w:t>
            </w:r>
            <w:proofErr w:type="gramEnd"/>
            <w:r w:rsidRPr="008F7511">
              <w:t xml:space="preserve"> feltöltése céljából felvett pénzeszközök, valamint az esedékes kamatok visszafizetését az uniós </w:t>
            </w:r>
            <w:r w:rsidRPr="008F7511">
              <w:rPr>
                <w:b/>
                <w:i/>
              </w:rPr>
              <w:t>költségvetésből</w:t>
            </w:r>
            <w:r w:rsidRPr="008F7511">
              <w:t xml:space="preserve"> kell finanszírozni. A </w:t>
            </w:r>
            <w:r w:rsidRPr="008F7511">
              <w:lastRenderedPageBreak/>
              <w:t>tagállamoknak kölcsönként nyújtott hitelösszegeket a kedvezményezett tagállamoktól kapott összegekből kell visszafizetni. A szükséges forrásokat el kell különíteni és az Unió rendelkezésére kell bocsátani annak érdekében, hogy az EUMSZ 310. cikkének (4) bekezdésével és 323. cikkével összhangban bármely évben és minden körülmények között fedezni tudja a hitelfelvételre vonatkozó kivételes és ideiglenes felhatalmazásból eredő valamennyi pénzügyi kötelezettségét és függő kötelezettségét.</w:t>
            </w:r>
          </w:p>
        </w:tc>
        <w:tc>
          <w:tcPr>
            <w:tcW w:w="4876" w:type="dxa"/>
          </w:tcPr>
          <w:p w14:paraId="57F4C49D" w14:textId="6C523057" w:rsidR="00346723" w:rsidRPr="008F7511" w:rsidRDefault="00346723" w:rsidP="00EC50CA">
            <w:pPr>
              <w:pStyle w:val="Normal6a"/>
              <w:rPr>
                <w:szCs w:val="24"/>
              </w:rPr>
            </w:pPr>
            <w:r w:rsidRPr="008F7511">
              <w:rPr>
                <w:szCs w:val="24"/>
              </w:rPr>
              <w:lastRenderedPageBreak/>
              <w:t xml:space="preserve">(19) </w:t>
            </w:r>
            <w:r w:rsidRPr="008F7511">
              <w:rPr>
                <w:szCs w:val="24"/>
              </w:rPr>
              <w:tab/>
            </w:r>
            <w:r w:rsidRPr="008F7511">
              <w:t xml:space="preserve">A vissza nem térítendő támogatás, a pénzügyi eszközökön keresztül visszafizetendő támogatás vagy a költségvetési </w:t>
            </w:r>
            <w:proofErr w:type="gramStart"/>
            <w:r w:rsidRPr="008F7511">
              <w:t>garanciák</w:t>
            </w:r>
            <w:proofErr w:type="gramEnd"/>
            <w:r w:rsidRPr="008F7511">
              <w:t xml:space="preserve"> feltöltése céljából felvett pénzeszközök, valamint az esedékes kamatok visszafizetését az uniós </w:t>
            </w:r>
            <w:r w:rsidRPr="008F7511">
              <w:rPr>
                <w:b/>
                <w:i/>
              </w:rPr>
              <w:t xml:space="preserve">költségvetésben bevezetett új </w:t>
            </w:r>
            <w:r w:rsidR="00857D29" w:rsidRPr="008F7511">
              <w:rPr>
                <w:b/>
                <w:i/>
              </w:rPr>
              <w:t xml:space="preserve">saját </w:t>
            </w:r>
            <w:r w:rsidRPr="008F7511">
              <w:rPr>
                <w:b/>
                <w:i/>
              </w:rPr>
              <w:lastRenderedPageBreak/>
              <w:t>források bevételeiből</w:t>
            </w:r>
            <w:r w:rsidRPr="008F7511">
              <w:t xml:space="preserve"> kell finanszírozni. A tagállamoknak kölcsönként nyújtott hitelösszegeket a kedvezményezett tagállamoktól kapott összegekből kell visszafizetni. A szükséges forrásokat el kell különíteni és az Unió rendelkezésére kell bocsátani annak érdekében, hogy az EUMSZ 310. cikkének (4) bekezdésével és 323. cikkével összhangban bármely évben és minden körülmények között fedezni tudja a hitelfelvételre vonatkozó kivételes és ideiglenes felhatalmazásból eredő valamennyi pénzügyi kötelezettségét és függő kötelezettségét.</w:t>
            </w:r>
          </w:p>
        </w:tc>
      </w:tr>
    </w:tbl>
    <w:p w14:paraId="5D05CCDD" w14:textId="77777777" w:rsidR="00346723" w:rsidRPr="008F7511" w:rsidRDefault="00346723" w:rsidP="00346723"/>
    <w:p w14:paraId="429133AB" w14:textId="77777777" w:rsidR="00346723" w:rsidRPr="008F7511" w:rsidRDefault="00346723" w:rsidP="00346723">
      <w:pPr>
        <w:pStyle w:val="AmNumberTabs"/>
      </w:pPr>
      <w:r w:rsidRPr="008F7511">
        <w:t>Módosítás</w:t>
      </w:r>
      <w:r w:rsidRPr="008F7511">
        <w:tab/>
      </w:r>
      <w:r w:rsidRPr="008F7511">
        <w:tab/>
        <w:t>18</w:t>
      </w:r>
    </w:p>
    <w:p w14:paraId="57780AD9" w14:textId="77777777" w:rsidR="00346723" w:rsidRPr="008F7511" w:rsidRDefault="00346723" w:rsidP="00346723">
      <w:pPr>
        <w:pStyle w:val="NormalBold12b"/>
      </w:pPr>
      <w:r w:rsidRPr="008F7511">
        <w:t>Határozatra irányuló tervezet</w:t>
      </w:r>
    </w:p>
    <w:p w14:paraId="33451DF8" w14:textId="77777777" w:rsidR="00346723" w:rsidRPr="008F7511" w:rsidRDefault="00346723" w:rsidP="00346723">
      <w:pPr>
        <w:pStyle w:val="NormalBold"/>
      </w:pPr>
      <w:r w:rsidRPr="008F7511">
        <w:t>25 preambulumbekezdés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46723" w:rsidRPr="008F7511" w14:paraId="5260CB2B" w14:textId="77777777" w:rsidTr="00EC50CA">
        <w:trPr>
          <w:trHeight w:val="240"/>
          <w:jc w:val="center"/>
        </w:trPr>
        <w:tc>
          <w:tcPr>
            <w:tcW w:w="9752" w:type="dxa"/>
            <w:gridSpan w:val="2"/>
          </w:tcPr>
          <w:p w14:paraId="7D9B8596" w14:textId="77777777" w:rsidR="00346723" w:rsidRPr="008F7511" w:rsidRDefault="00346723" w:rsidP="00EC50CA"/>
        </w:tc>
      </w:tr>
      <w:tr w:rsidR="00346723" w:rsidRPr="008F7511" w14:paraId="35D414A9" w14:textId="77777777" w:rsidTr="00EC50CA">
        <w:trPr>
          <w:trHeight w:val="240"/>
          <w:jc w:val="center"/>
        </w:trPr>
        <w:tc>
          <w:tcPr>
            <w:tcW w:w="4876" w:type="dxa"/>
            <w:hideMark/>
          </w:tcPr>
          <w:p w14:paraId="665F1E3D" w14:textId="77777777" w:rsidR="00346723" w:rsidRPr="008F7511" w:rsidRDefault="00346723" w:rsidP="00EC50CA">
            <w:pPr>
              <w:pStyle w:val="AmColumnHeading"/>
            </w:pPr>
            <w:r w:rsidRPr="008F7511">
              <w:t>A Tanács tervezete</w:t>
            </w:r>
          </w:p>
        </w:tc>
        <w:tc>
          <w:tcPr>
            <w:tcW w:w="4876" w:type="dxa"/>
            <w:hideMark/>
          </w:tcPr>
          <w:p w14:paraId="6A180065" w14:textId="77777777" w:rsidR="00346723" w:rsidRPr="008F7511" w:rsidRDefault="00346723" w:rsidP="00EC50CA">
            <w:pPr>
              <w:pStyle w:val="AmColumnHeading"/>
            </w:pPr>
            <w:r w:rsidRPr="008F7511">
              <w:t>Módosítás</w:t>
            </w:r>
          </w:p>
        </w:tc>
      </w:tr>
      <w:tr w:rsidR="00346723" w:rsidRPr="008F7511" w14:paraId="2AB04B8C" w14:textId="77777777" w:rsidTr="00EC50CA">
        <w:trPr>
          <w:jc w:val="center"/>
        </w:trPr>
        <w:tc>
          <w:tcPr>
            <w:tcW w:w="4876" w:type="dxa"/>
          </w:tcPr>
          <w:p w14:paraId="24295570" w14:textId="77777777" w:rsidR="00346723" w:rsidRPr="008F7511" w:rsidRDefault="00346723" w:rsidP="00EC50CA">
            <w:pPr>
              <w:pStyle w:val="Normal6"/>
              <w:rPr>
                <w:noProof w:val="0"/>
                <w:szCs w:val="24"/>
                <w:lang w:val="hu-HU"/>
              </w:rPr>
            </w:pPr>
            <w:r w:rsidRPr="008F7511">
              <w:rPr>
                <w:noProof w:val="0"/>
                <w:szCs w:val="24"/>
                <w:lang w:val="hu-HU"/>
              </w:rPr>
              <w:t xml:space="preserve">(25) </w:t>
            </w:r>
            <w:r w:rsidRPr="008F7511">
              <w:rPr>
                <w:noProof w:val="0"/>
                <w:szCs w:val="24"/>
                <w:lang w:val="hu-HU"/>
              </w:rPr>
              <w:tab/>
              <w:t xml:space="preserve">E határozat a nemzeti szuverenitás maradéktalan tiszteletben tartása érdekében csak akkor léphet hatályba, ha saját alkotmányos követelményeinek megfelelően azt minden tagállam jóváhagyta. Az Európai Tanács a 2020. július 17–21-i ülésén nyugtázta a tagállamok arra irányuló szándékát, hogy a lehető leghamarabb jóváhagyják ezt a határozatot. Mivel a Covid19-válság következményeinek kezelésére irányuló intézkedések </w:t>
            </w:r>
            <w:proofErr w:type="gramStart"/>
            <w:r w:rsidRPr="008F7511">
              <w:rPr>
                <w:noProof w:val="0"/>
                <w:szCs w:val="24"/>
                <w:lang w:val="hu-HU"/>
              </w:rPr>
              <w:t>finanszírozása</w:t>
            </w:r>
            <w:proofErr w:type="gramEnd"/>
            <w:r w:rsidRPr="008F7511">
              <w:rPr>
                <w:noProof w:val="0"/>
                <w:szCs w:val="24"/>
                <w:lang w:val="hu-HU"/>
              </w:rPr>
              <w:t xml:space="preserve"> céljából sürgősen lehetővé kell tenni a hitelfelvételt, e határozatnak az e határozat elfogadásához szükséges eljárások </w:t>
            </w:r>
            <w:proofErr w:type="spellStart"/>
            <w:r w:rsidRPr="008F7511">
              <w:rPr>
                <w:noProof w:val="0"/>
                <w:szCs w:val="24"/>
                <w:lang w:val="hu-HU"/>
              </w:rPr>
              <w:t>lezárultáról</w:t>
            </w:r>
            <w:proofErr w:type="spellEnd"/>
            <w:r w:rsidRPr="008F7511">
              <w:rPr>
                <w:noProof w:val="0"/>
                <w:szCs w:val="24"/>
                <w:lang w:val="hu-HU"/>
              </w:rPr>
              <w:t xml:space="preserve"> szóló utolsó értesítés beérkezését követő első hónap első napján hatályba kell lépnie.</w:t>
            </w:r>
          </w:p>
        </w:tc>
        <w:tc>
          <w:tcPr>
            <w:tcW w:w="4876" w:type="dxa"/>
            <w:hideMark/>
          </w:tcPr>
          <w:p w14:paraId="60BF6C72" w14:textId="2A8EF10D" w:rsidR="00346723" w:rsidRPr="008F7511" w:rsidRDefault="00346723" w:rsidP="00786244">
            <w:pPr>
              <w:pStyle w:val="Normal6"/>
              <w:rPr>
                <w:b/>
                <w:bCs/>
                <w:i/>
                <w:iCs/>
                <w:noProof w:val="0"/>
                <w:lang w:val="hu-HU"/>
              </w:rPr>
            </w:pPr>
            <w:r w:rsidRPr="008F7511">
              <w:rPr>
                <w:bCs/>
                <w:iCs/>
                <w:noProof w:val="0"/>
                <w:lang w:val="hu-HU"/>
              </w:rPr>
              <w:t>(25)</w:t>
            </w:r>
            <w:r w:rsidRPr="008F7511">
              <w:rPr>
                <w:noProof w:val="0"/>
                <w:szCs w:val="24"/>
                <w:lang w:val="hu-HU"/>
              </w:rPr>
              <w:tab/>
            </w:r>
            <w:r w:rsidRPr="008F7511">
              <w:rPr>
                <w:b/>
                <w:i/>
                <w:noProof w:val="0"/>
                <w:lang w:val="hu-HU"/>
              </w:rPr>
              <w:t xml:space="preserve">A ratifikációs folyamat megkezdésének lehetővé tétele érdekében ezt a határozatot a Tanács az Európai Parlamenttel folytatott </w:t>
            </w:r>
            <w:proofErr w:type="gramStart"/>
            <w:r w:rsidRPr="008F7511">
              <w:rPr>
                <w:b/>
                <w:i/>
                <w:noProof w:val="0"/>
                <w:lang w:val="hu-HU"/>
              </w:rPr>
              <w:t>konzultációt</w:t>
            </w:r>
            <w:proofErr w:type="gramEnd"/>
            <w:r w:rsidRPr="008F7511">
              <w:rPr>
                <w:b/>
                <w:i/>
                <w:noProof w:val="0"/>
                <w:lang w:val="hu-HU"/>
              </w:rPr>
              <w:t xml:space="preserve"> követően fogadja el. Az Európai Parlament kifejezte azon szándékát, hogy mielőbb </w:t>
            </w:r>
            <w:r w:rsidR="00857D29" w:rsidRPr="008F7511">
              <w:rPr>
                <w:b/>
                <w:i/>
                <w:noProof w:val="0"/>
                <w:lang w:val="hu-HU"/>
              </w:rPr>
              <w:t xml:space="preserve">kinyilvánítsa </w:t>
            </w:r>
            <w:r w:rsidRPr="008F7511">
              <w:rPr>
                <w:b/>
                <w:i/>
                <w:noProof w:val="0"/>
                <w:lang w:val="hu-HU"/>
              </w:rPr>
              <w:t>véleményét</w:t>
            </w:r>
            <w:r w:rsidR="00857D29" w:rsidRPr="008F7511">
              <w:rPr>
                <w:b/>
                <w:i/>
                <w:noProof w:val="0"/>
                <w:lang w:val="hu-HU"/>
              </w:rPr>
              <w:t xml:space="preserve"> a </w:t>
            </w:r>
            <w:proofErr w:type="gramStart"/>
            <w:r w:rsidR="00857D29" w:rsidRPr="008F7511">
              <w:rPr>
                <w:b/>
                <w:i/>
                <w:noProof w:val="0"/>
                <w:lang w:val="hu-HU"/>
              </w:rPr>
              <w:t>konzultáció</w:t>
            </w:r>
            <w:proofErr w:type="gramEnd"/>
            <w:r w:rsidR="00857D29" w:rsidRPr="008F7511">
              <w:rPr>
                <w:b/>
                <w:i/>
                <w:noProof w:val="0"/>
                <w:lang w:val="hu-HU"/>
              </w:rPr>
              <w:t xml:space="preserve"> keretében</w:t>
            </w:r>
            <w:r w:rsidRPr="008F7511">
              <w:rPr>
                <w:b/>
                <w:i/>
                <w:noProof w:val="0"/>
                <w:lang w:val="hu-HU"/>
              </w:rPr>
              <w:t xml:space="preserve">, amelyre </w:t>
            </w:r>
            <w:r w:rsidR="00786244" w:rsidRPr="008F7511">
              <w:rPr>
                <w:b/>
                <w:i/>
                <w:noProof w:val="0"/>
                <w:lang w:val="hu-HU"/>
              </w:rPr>
              <w:t xml:space="preserve">jogszabályi követelmény alapján </w:t>
            </w:r>
            <w:r w:rsidRPr="008F7511">
              <w:rPr>
                <w:b/>
                <w:i/>
                <w:noProof w:val="0"/>
                <w:lang w:val="hu-HU"/>
              </w:rPr>
              <w:t xml:space="preserve">szükség van a Bizottságot az Európai Helyreállítási Eszköz finanszírozására irányuló hitelfelvételi műveletek megkezdésére felhatalmazó folyamat felgyorsításához. </w:t>
            </w:r>
            <w:r w:rsidRPr="008F7511">
              <w:rPr>
                <w:noProof w:val="0"/>
                <w:lang w:val="hu-HU"/>
              </w:rPr>
              <w:t>E határozat a nemzeti szuverenitás maradéktalan tiszteletben tartása érdekében csak akkor léphet hatályba, ha saját alkotmányos követelményeinek megfelelően azt</w:t>
            </w:r>
            <w:r w:rsidRPr="008F7511">
              <w:rPr>
                <w:b/>
                <w:i/>
                <w:noProof w:val="0"/>
                <w:lang w:val="hu-HU"/>
              </w:rPr>
              <w:t xml:space="preserve"> – a saját források új </w:t>
            </w:r>
            <w:proofErr w:type="gramStart"/>
            <w:r w:rsidRPr="008F7511">
              <w:rPr>
                <w:b/>
                <w:i/>
                <w:noProof w:val="0"/>
                <w:lang w:val="hu-HU"/>
              </w:rPr>
              <w:t>kategóriái</w:t>
            </w:r>
            <w:proofErr w:type="gramEnd"/>
            <w:r w:rsidRPr="008F7511">
              <w:rPr>
                <w:b/>
                <w:i/>
                <w:noProof w:val="0"/>
                <w:lang w:val="hu-HU"/>
              </w:rPr>
              <w:t xml:space="preserve"> tekintetében is –</w:t>
            </w:r>
            <w:r w:rsidRPr="008F7511">
              <w:rPr>
                <w:noProof w:val="0"/>
                <w:lang w:val="hu-HU"/>
              </w:rPr>
              <w:t xml:space="preserve"> minden tagállam jóváhagyta.</w:t>
            </w:r>
            <w:r w:rsidRPr="008F7511">
              <w:rPr>
                <w:noProof w:val="0"/>
                <w:szCs w:val="24"/>
                <w:lang w:val="hu-HU"/>
              </w:rPr>
              <w:t xml:space="preserve"> Az Európai Tanács a 2020. július 17–21-i ülésén nyugtázta a tagállamok arra irányuló szándékát, hogy a lehető leghamarabb jóváhagyják ezt a határozatot. Mivel a Covid19-válság következményeinek kezelésére irányuló intézkedések </w:t>
            </w:r>
            <w:proofErr w:type="gramStart"/>
            <w:r w:rsidRPr="008F7511">
              <w:rPr>
                <w:noProof w:val="0"/>
                <w:szCs w:val="24"/>
                <w:lang w:val="hu-HU"/>
              </w:rPr>
              <w:t>finanszírozása</w:t>
            </w:r>
            <w:proofErr w:type="gramEnd"/>
            <w:r w:rsidRPr="008F7511">
              <w:rPr>
                <w:noProof w:val="0"/>
                <w:szCs w:val="24"/>
                <w:lang w:val="hu-HU"/>
              </w:rPr>
              <w:t xml:space="preserve"> céljából sürgősen lehetővé </w:t>
            </w:r>
            <w:r w:rsidRPr="008F7511">
              <w:rPr>
                <w:noProof w:val="0"/>
                <w:szCs w:val="24"/>
                <w:lang w:val="hu-HU"/>
              </w:rPr>
              <w:lastRenderedPageBreak/>
              <w:t xml:space="preserve">kell tenni a hitelfelvételt, e határozatnak az e határozat elfogadásához szükséges eljárások </w:t>
            </w:r>
            <w:proofErr w:type="spellStart"/>
            <w:r w:rsidRPr="008F7511">
              <w:rPr>
                <w:noProof w:val="0"/>
                <w:szCs w:val="24"/>
                <w:lang w:val="hu-HU"/>
              </w:rPr>
              <w:t>lezárultáról</w:t>
            </w:r>
            <w:proofErr w:type="spellEnd"/>
            <w:r w:rsidRPr="008F7511">
              <w:rPr>
                <w:noProof w:val="0"/>
                <w:szCs w:val="24"/>
                <w:lang w:val="hu-HU"/>
              </w:rPr>
              <w:t xml:space="preserve"> szóló utolsó értesítés beérkezését követő első hónap első napján hatályba kell lépnie.</w:t>
            </w:r>
          </w:p>
        </w:tc>
      </w:tr>
    </w:tbl>
    <w:p w14:paraId="484F168C" w14:textId="77777777" w:rsidR="00346723" w:rsidRPr="008F7511" w:rsidRDefault="00346723" w:rsidP="00346723"/>
    <w:p w14:paraId="1D20C6CA" w14:textId="77777777" w:rsidR="00346723" w:rsidRPr="008F7511" w:rsidRDefault="00346723" w:rsidP="00346723">
      <w:pPr>
        <w:pStyle w:val="AmNumberTabs"/>
      </w:pPr>
      <w:r w:rsidRPr="008F7511">
        <w:t>Módosítás</w:t>
      </w:r>
      <w:r w:rsidRPr="008F7511">
        <w:tab/>
      </w:r>
      <w:r w:rsidRPr="008F7511">
        <w:tab/>
        <w:t>19</w:t>
      </w:r>
    </w:p>
    <w:p w14:paraId="0D76E344" w14:textId="77777777" w:rsidR="00346723" w:rsidRPr="008F7511" w:rsidRDefault="00346723" w:rsidP="00346723">
      <w:pPr>
        <w:pStyle w:val="NormalBold12b"/>
      </w:pPr>
      <w:r w:rsidRPr="008F7511">
        <w:t>Határozatra irányuló tervezet</w:t>
      </w:r>
    </w:p>
    <w:p w14:paraId="24F95DCE" w14:textId="77777777" w:rsidR="00346723" w:rsidRPr="008F7511" w:rsidRDefault="00346723" w:rsidP="00346723">
      <w:pPr>
        <w:pStyle w:val="NormalBold"/>
      </w:pPr>
      <w:r w:rsidRPr="008F7511">
        <w:t xml:space="preserve">2 cikk – 1 bekezdés – 1 </w:t>
      </w:r>
      <w:proofErr w:type="spellStart"/>
      <w:r w:rsidRPr="008F7511">
        <w:t>albekezdés</w:t>
      </w:r>
      <w:proofErr w:type="spellEnd"/>
      <w:r w:rsidRPr="008F7511">
        <w:t xml:space="preserve"> – c pont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46723" w:rsidRPr="008F7511" w14:paraId="76E09429" w14:textId="77777777" w:rsidTr="00EC50CA">
        <w:trPr>
          <w:trHeight w:val="240"/>
          <w:jc w:val="center"/>
        </w:trPr>
        <w:tc>
          <w:tcPr>
            <w:tcW w:w="9752" w:type="dxa"/>
            <w:gridSpan w:val="2"/>
          </w:tcPr>
          <w:p w14:paraId="0D9060DC" w14:textId="77777777" w:rsidR="00346723" w:rsidRPr="008F7511" w:rsidRDefault="00346723" w:rsidP="00EC50CA"/>
        </w:tc>
      </w:tr>
      <w:tr w:rsidR="00346723" w:rsidRPr="008F7511" w14:paraId="446D2C30" w14:textId="77777777" w:rsidTr="00EC50CA">
        <w:trPr>
          <w:trHeight w:val="240"/>
          <w:jc w:val="center"/>
        </w:trPr>
        <w:tc>
          <w:tcPr>
            <w:tcW w:w="4876" w:type="dxa"/>
            <w:hideMark/>
          </w:tcPr>
          <w:p w14:paraId="20A0EA99" w14:textId="77777777" w:rsidR="00346723" w:rsidRPr="008F7511" w:rsidRDefault="00346723" w:rsidP="00EC50CA">
            <w:pPr>
              <w:pStyle w:val="AmColumnHeading"/>
            </w:pPr>
            <w:r w:rsidRPr="008F7511">
              <w:t>A Tanács tervezete</w:t>
            </w:r>
          </w:p>
        </w:tc>
        <w:tc>
          <w:tcPr>
            <w:tcW w:w="4876" w:type="dxa"/>
            <w:hideMark/>
          </w:tcPr>
          <w:p w14:paraId="5854B33E" w14:textId="77777777" w:rsidR="00346723" w:rsidRPr="008F7511" w:rsidRDefault="00346723" w:rsidP="00EC50CA">
            <w:pPr>
              <w:pStyle w:val="AmColumnHeading"/>
            </w:pPr>
            <w:r w:rsidRPr="008F7511">
              <w:t>Módosítás</w:t>
            </w:r>
          </w:p>
        </w:tc>
      </w:tr>
      <w:tr w:rsidR="00346723" w:rsidRPr="008F7511" w14:paraId="341E2EA6" w14:textId="77777777" w:rsidTr="00EC50CA">
        <w:trPr>
          <w:jc w:val="center"/>
        </w:trPr>
        <w:tc>
          <w:tcPr>
            <w:tcW w:w="4876" w:type="dxa"/>
            <w:hideMark/>
          </w:tcPr>
          <w:p w14:paraId="2B44FF09" w14:textId="77777777" w:rsidR="00346723" w:rsidRPr="008F7511" w:rsidRDefault="00346723" w:rsidP="00EC50CA">
            <w:pPr>
              <w:pStyle w:val="Normal6"/>
              <w:rPr>
                <w:noProof w:val="0"/>
                <w:lang w:val="hu-HU"/>
              </w:rPr>
            </w:pPr>
            <w:r w:rsidRPr="008F7511">
              <w:rPr>
                <w:noProof w:val="0"/>
                <w:lang w:val="hu-HU"/>
              </w:rPr>
              <w:t>c)</w:t>
            </w:r>
            <w:r w:rsidRPr="008F7511">
              <w:rPr>
                <w:noProof w:val="0"/>
                <w:lang w:val="hu-HU"/>
              </w:rPr>
              <w:tab/>
              <w:t>egységes lehívási kulcs alkalmazása</w:t>
            </w:r>
            <w:r w:rsidRPr="008F7511">
              <w:rPr>
                <w:b/>
                <w:i/>
                <w:noProof w:val="0"/>
                <w:lang w:val="hu-HU"/>
              </w:rPr>
              <w:t xml:space="preserve"> az egyes tagállamokban keletkező,</w:t>
            </w:r>
            <w:r w:rsidRPr="008F7511">
              <w:rPr>
                <w:noProof w:val="0"/>
                <w:lang w:val="hu-HU"/>
              </w:rPr>
              <w:t xml:space="preserve"> nem </w:t>
            </w:r>
            <w:proofErr w:type="spellStart"/>
            <w:r w:rsidRPr="008F7511">
              <w:rPr>
                <w:noProof w:val="0"/>
                <w:lang w:val="hu-HU"/>
              </w:rPr>
              <w:t>újrafeldolgozott</w:t>
            </w:r>
            <w:proofErr w:type="spellEnd"/>
            <w:r w:rsidRPr="008F7511">
              <w:rPr>
                <w:noProof w:val="0"/>
                <w:lang w:val="hu-HU"/>
              </w:rPr>
              <w:t xml:space="preserve"> műanyag csomagolási hulladék tömegére</w:t>
            </w:r>
            <w:r w:rsidRPr="008F7511">
              <w:rPr>
                <w:b/>
                <w:i/>
                <w:noProof w:val="0"/>
                <w:lang w:val="hu-HU"/>
              </w:rPr>
              <w:t>.</w:t>
            </w:r>
            <w:r w:rsidRPr="008F7511">
              <w:rPr>
                <w:noProof w:val="0"/>
                <w:lang w:val="hu-HU"/>
              </w:rPr>
              <w:t xml:space="preserve"> A lehívási kulcs </w:t>
            </w:r>
            <w:r w:rsidRPr="008F7511">
              <w:rPr>
                <w:b/>
                <w:i/>
                <w:noProof w:val="0"/>
                <w:lang w:val="hu-HU"/>
              </w:rPr>
              <w:t>0,80 EUR kilogrammonként.</w:t>
            </w:r>
            <w:r w:rsidRPr="008F7511">
              <w:rPr>
                <w:noProof w:val="0"/>
                <w:lang w:val="hu-HU"/>
              </w:rPr>
              <w:t xml:space="preserve"> </w:t>
            </w:r>
            <w:r w:rsidRPr="008F7511">
              <w:rPr>
                <w:b/>
                <w:i/>
                <w:noProof w:val="0"/>
                <w:lang w:val="hu-HU"/>
              </w:rPr>
              <w:t xml:space="preserve">Egyes tagállamok esetében a negyedik </w:t>
            </w:r>
            <w:proofErr w:type="spellStart"/>
            <w:r w:rsidRPr="008F7511">
              <w:rPr>
                <w:b/>
                <w:i/>
                <w:noProof w:val="0"/>
                <w:lang w:val="hu-HU"/>
              </w:rPr>
              <w:t>albekezdésben</w:t>
            </w:r>
            <w:proofErr w:type="spellEnd"/>
            <w:r w:rsidRPr="008F7511">
              <w:rPr>
                <w:b/>
                <w:i/>
                <w:noProof w:val="0"/>
                <w:lang w:val="hu-HU"/>
              </w:rPr>
              <w:t xml:space="preserve"> meghatározott egyösszegű csökkentést kell alkalmazni</w:t>
            </w:r>
            <w:r w:rsidRPr="008F7511">
              <w:rPr>
                <w:noProof w:val="0"/>
                <w:lang w:val="hu-HU"/>
              </w:rPr>
              <w:t>;</w:t>
            </w:r>
          </w:p>
        </w:tc>
        <w:tc>
          <w:tcPr>
            <w:tcW w:w="4876" w:type="dxa"/>
            <w:hideMark/>
          </w:tcPr>
          <w:p w14:paraId="10F8CEB2" w14:textId="7FF579C3" w:rsidR="00346723" w:rsidRPr="008F7511" w:rsidRDefault="00346723" w:rsidP="00EC50CA">
            <w:pPr>
              <w:pStyle w:val="Normal6"/>
              <w:rPr>
                <w:noProof w:val="0"/>
                <w:lang w:val="hu-HU"/>
              </w:rPr>
            </w:pPr>
            <w:r w:rsidRPr="008F7511">
              <w:rPr>
                <w:noProof w:val="0"/>
                <w:lang w:val="hu-HU"/>
              </w:rPr>
              <w:t>c)</w:t>
            </w:r>
            <w:r w:rsidRPr="008F7511">
              <w:rPr>
                <w:noProof w:val="0"/>
                <w:lang w:val="hu-HU"/>
              </w:rPr>
              <w:tab/>
            </w:r>
            <w:r w:rsidRPr="008F7511">
              <w:rPr>
                <w:b/>
                <w:i/>
                <w:noProof w:val="0"/>
                <w:lang w:val="hu-HU"/>
              </w:rPr>
              <w:t xml:space="preserve">2021. január 1-jétől </w:t>
            </w:r>
            <w:r w:rsidRPr="008F7511">
              <w:rPr>
                <w:noProof w:val="0"/>
                <w:lang w:val="hu-HU"/>
              </w:rPr>
              <w:t>egységes lehívási kulcs alkalmazása</w:t>
            </w:r>
            <w:r w:rsidRPr="008F7511">
              <w:rPr>
                <w:b/>
                <w:i/>
                <w:noProof w:val="0"/>
                <w:lang w:val="hu-HU"/>
              </w:rPr>
              <w:t xml:space="preserve"> a</w:t>
            </w:r>
            <w:r w:rsidRPr="008F7511">
              <w:rPr>
                <w:noProof w:val="0"/>
                <w:lang w:val="hu-HU"/>
              </w:rPr>
              <w:t xml:space="preserve"> nem </w:t>
            </w:r>
            <w:proofErr w:type="spellStart"/>
            <w:r w:rsidRPr="008F7511">
              <w:rPr>
                <w:noProof w:val="0"/>
                <w:lang w:val="hu-HU"/>
              </w:rPr>
              <w:t>újrafeldolgozott</w:t>
            </w:r>
            <w:proofErr w:type="spellEnd"/>
            <w:r w:rsidRPr="008F7511">
              <w:rPr>
                <w:noProof w:val="0"/>
                <w:lang w:val="hu-HU"/>
              </w:rPr>
              <w:t xml:space="preserve"> műanyag csomagolási hulladék tömegére</w:t>
            </w:r>
            <w:r w:rsidRPr="008F7511">
              <w:rPr>
                <w:b/>
                <w:i/>
                <w:noProof w:val="0"/>
                <w:lang w:val="hu-HU"/>
              </w:rPr>
              <w:t>;</w:t>
            </w:r>
            <w:r w:rsidRPr="008F7511">
              <w:rPr>
                <w:noProof w:val="0"/>
                <w:lang w:val="hu-HU"/>
              </w:rPr>
              <w:t xml:space="preserve"> a </w:t>
            </w:r>
            <w:r w:rsidRPr="008F7511">
              <w:rPr>
                <w:b/>
                <w:i/>
                <w:noProof w:val="0"/>
                <w:lang w:val="hu-HU"/>
              </w:rPr>
              <w:t xml:space="preserve">tényleges </w:t>
            </w:r>
            <w:r w:rsidRPr="008F7511">
              <w:rPr>
                <w:noProof w:val="0"/>
                <w:lang w:val="hu-HU"/>
              </w:rPr>
              <w:t xml:space="preserve">lehívási kulcs </w:t>
            </w:r>
            <w:r w:rsidRPr="008F7511">
              <w:rPr>
                <w:b/>
                <w:i/>
                <w:noProof w:val="0"/>
                <w:lang w:val="hu-HU"/>
              </w:rPr>
              <w:t xml:space="preserve">nem lehet </w:t>
            </w:r>
            <w:proofErr w:type="gramStart"/>
            <w:r w:rsidRPr="008F7511">
              <w:rPr>
                <w:b/>
                <w:i/>
                <w:noProof w:val="0"/>
                <w:lang w:val="hu-HU"/>
              </w:rPr>
              <w:t>több, mint</w:t>
            </w:r>
            <w:proofErr w:type="gramEnd"/>
            <w:r w:rsidRPr="008F7511">
              <w:rPr>
                <w:b/>
                <w:i/>
                <w:noProof w:val="0"/>
                <w:lang w:val="hu-HU"/>
              </w:rPr>
              <w:t xml:space="preserve"> 2</w:t>
            </w:r>
            <w:r w:rsidR="00FA0EA2" w:rsidRPr="008F7511">
              <w:rPr>
                <w:b/>
                <w:i/>
                <w:noProof w:val="0"/>
                <w:lang w:val="hu-HU"/>
              </w:rPr>
              <w:t>,00</w:t>
            </w:r>
            <w:r w:rsidRPr="008F7511">
              <w:rPr>
                <w:b/>
                <w:i/>
                <w:noProof w:val="0"/>
                <w:lang w:val="hu-HU"/>
              </w:rPr>
              <w:t xml:space="preserve"> EUR kilogrammonként</w:t>
            </w:r>
            <w:r w:rsidRPr="008F7511">
              <w:rPr>
                <w:noProof w:val="0"/>
                <w:lang w:val="hu-HU"/>
              </w:rPr>
              <w:t>;</w:t>
            </w:r>
          </w:p>
        </w:tc>
      </w:tr>
    </w:tbl>
    <w:p w14:paraId="04F061B0" w14:textId="77777777" w:rsidR="00346723" w:rsidRPr="008F7511" w:rsidRDefault="00346723" w:rsidP="00346723"/>
    <w:p w14:paraId="14E04613" w14:textId="77777777" w:rsidR="00346723" w:rsidRPr="008F7511" w:rsidRDefault="00346723" w:rsidP="00346723">
      <w:pPr>
        <w:pStyle w:val="AmNumberTabs"/>
      </w:pPr>
      <w:r w:rsidRPr="008F7511">
        <w:t>Módosítás</w:t>
      </w:r>
      <w:r w:rsidRPr="008F7511">
        <w:tab/>
      </w:r>
      <w:r w:rsidRPr="008F7511">
        <w:tab/>
        <w:t>20</w:t>
      </w:r>
    </w:p>
    <w:p w14:paraId="7AED1606" w14:textId="77777777" w:rsidR="00346723" w:rsidRPr="008F7511" w:rsidRDefault="00346723" w:rsidP="00346723">
      <w:pPr>
        <w:pStyle w:val="NormalBold12b"/>
      </w:pPr>
      <w:r w:rsidRPr="008F7511">
        <w:t>Határozatra irányuló tervezet</w:t>
      </w:r>
    </w:p>
    <w:p w14:paraId="7472DD30" w14:textId="77777777" w:rsidR="00346723" w:rsidRPr="008F7511" w:rsidRDefault="00346723" w:rsidP="00346723">
      <w:pPr>
        <w:pStyle w:val="NormalBold"/>
      </w:pPr>
      <w:r w:rsidRPr="008F7511">
        <w:t xml:space="preserve">2 cikk – 1 bekezdés – 1 </w:t>
      </w:r>
      <w:proofErr w:type="spellStart"/>
      <w:r w:rsidRPr="008F7511">
        <w:t>albekezdés</w:t>
      </w:r>
      <w:proofErr w:type="spellEnd"/>
      <w:r w:rsidRPr="008F7511">
        <w:t xml:space="preserve"> – c a pont (új)</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46723" w:rsidRPr="008F7511" w14:paraId="0B5F6244" w14:textId="77777777" w:rsidTr="00EC50CA">
        <w:trPr>
          <w:trHeight w:val="240"/>
          <w:jc w:val="center"/>
        </w:trPr>
        <w:tc>
          <w:tcPr>
            <w:tcW w:w="9752" w:type="dxa"/>
            <w:gridSpan w:val="2"/>
          </w:tcPr>
          <w:p w14:paraId="759C61C3" w14:textId="77777777" w:rsidR="00346723" w:rsidRPr="008F7511" w:rsidRDefault="00346723" w:rsidP="00EC50CA"/>
        </w:tc>
      </w:tr>
      <w:tr w:rsidR="00346723" w:rsidRPr="008F7511" w14:paraId="79E7D62C" w14:textId="77777777" w:rsidTr="00EC50CA">
        <w:trPr>
          <w:trHeight w:val="240"/>
          <w:jc w:val="center"/>
        </w:trPr>
        <w:tc>
          <w:tcPr>
            <w:tcW w:w="4876" w:type="dxa"/>
            <w:hideMark/>
          </w:tcPr>
          <w:p w14:paraId="654977E2" w14:textId="77777777" w:rsidR="00346723" w:rsidRPr="008F7511" w:rsidRDefault="00346723" w:rsidP="00EC50CA">
            <w:pPr>
              <w:pStyle w:val="AmColumnHeading"/>
            </w:pPr>
            <w:r w:rsidRPr="008F7511">
              <w:t>A Tanács tervezete</w:t>
            </w:r>
          </w:p>
        </w:tc>
        <w:tc>
          <w:tcPr>
            <w:tcW w:w="4876" w:type="dxa"/>
            <w:hideMark/>
          </w:tcPr>
          <w:p w14:paraId="4E89073F" w14:textId="77777777" w:rsidR="00346723" w:rsidRPr="008F7511" w:rsidRDefault="00346723" w:rsidP="00EC50CA">
            <w:pPr>
              <w:pStyle w:val="AmColumnHeading"/>
            </w:pPr>
            <w:r w:rsidRPr="008F7511">
              <w:t>Módosítás</w:t>
            </w:r>
          </w:p>
        </w:tc>
      </w:tr>
      <w:tr w:rsidR="00346723" w:rsidRPr="008F7511" w14:paraId="4AC59973" w14:textId="77777777" w:rsidTr="00EC50CA">
        <w:trPr>
          <w:jc w:val="center"/>
        </w:trPr>
        <w:tc>
          <w:tcPr>
            <w:tcW w:w="4876" w:type="dxa"/>
            <w:hideMark/>
          </w:tcPr>
          <w:p w14:paraId="4E105177" w14:textId="77777777" w:rsidR="00346723" w:rsidRPr="008F7511" w:rsidRDefault="00346723" w:rsidP="00EC50CA">
            <w:pPr>
              <w:pStyle w:val="Normal6a"/>
              <w:rPr>
                <w:b/>
                <w:bCs/>
                <w:i/>
                <w:iCs/>
              </w:rPr>
            </w:pPr>
          </w:p>
        </w:tc>
        <w:tc>
          <w:tcPr>
            <w:tcW w:w="4876" w:type="dxa"/>
            <w:hideMark/>
          </w:tcPr>
          <w:p w14:paraId="63122941" w14:textId="77777777" w:rsidR="00346723" w:rsidRPr="008F7511" w:rsidRDefault="00346723" w:rsidP="00EC50CA">
            <w:pPr>
              <w:pStyle w:val="Normal6a"/>
              <w:rPr>
                <w:b/>
                <w:bCs/>
                <w:i/>
                <w:iCs/>
              </w:rPr>
            </w:pPr>
            <w:proofErr w:type="spellStart"/>
            <w:proofErr w:type="gramStart"/>
            <w:r w:rsidRPr="008F7511">
              <w:rPr>
                <w:b/>
                <w:bCs/>
                <w:i/>
                <w:iCs/>
              </w:rPr>
              <w:t>ca</w:t>
            </w:r>
            <w:proofErr w:type="spellEnd"/>
            <w:r w:rsidRPr="008F7511">
              <w:rPr>
                <w:b/>
                <w:bCs/>
                <w:i/>
                <w:iCs/>
              </w:rPr>
              <w:t>)</w:t>
            </w:r>
            <w:r w:rsidRPr="008F7511">
              <w:rPr>
                <w:b/>
                <w:bCs/>
                <w:i/>
                <w:iCs/>
              </w:rPr>
              <w:tab/>
              <w:t>2021. január 1-jétől egységes lehívási kulcs alkalmazása a 2003/87/EK irányelv 10. cikke (2) bekezdésének a) pontjában említett, árverés útján értékesítendő kibocsátási egységekből származó bevételeknek és az említett irányelv 10c. cikkének (3) bekezdésében meghatározott, az energiaágazat korszerűsítését szolgáló átmenetileg ingyenes kibocsátási egységek piaci értékének megfelelő összegre; a tényleges lehívási kulcs nem haladhatja meg az 50%-</w:t>
            </w:r>
            <w:proofErr w:type="spellStart"/>
            <w:r w:rsidRPr="008F7511">
              <w:rPr>
                <w:b/>
                <w:bCs/>
                <w:i/>
                <w:iCs/>
              </w:rPr>
              <w:t>ot</w:t>
            </w:r>
            <w:proofErr w:type="spellEnd"/>
            <w:r w:rsidRPr="008F7511">
              <w:rPr>
                <w:b/>
                <w:bCs/>
                <w:i/>
                <w:iCs/>
              </w:rPr>
              <w:t>; a kibocsátáskereskedelmi rendszer hatályának további ágazatokra és régiókra való bármilyen jövőbeli, 2021. január 1-je utáni kiterjesztése nyomán</w:t>
            </w:r>
            <w:proofErr w:type="gramEnd"/>
            <w:r w:rsidRPr="008F7511">
              <w:rPr>
                <w:b/>
                <w:bCs/>
                <w:i/>
                <w:iCs/>
              </w:rPr>
              <w:t xml:space="preserve"> keletkező többletbevétel egésze; </w:t>
            </w:r>
          </w:p>
        </w:tc>
      </w:tr>
    </w:tbl>
    <w:p w14:paraId="199CADC4" w14:textId="77777777" w:rsidR="00346723" w:rsidRPr="008F7511" w:rsidRDefault="00346723" w:rsidP="00346723"/>
    <w:p w14:paraId="2AC2FBA4" w14:textId="77777777" w:rsidR="00346723" w:rsidRPr="008F7511" w:rsidRDefault="00346723" w:rsidP="00346723">
      <w:pPr>
        <w:pStyle w:val="AmNumberTabs"/>
      </w:pPr>
      <w:r w:rsidRPr="008F7511">
        <w:lastRenderedPageBreak/>
        <w:t>Módosítás</w:t>
      </w:r>
      <w:r w:rsidRPr="008F7511">
        <w:tab/>
      </w:r>
      <w:r w:rsidRPr="008F7511">
        <w:tab/>
        <w:t>21</w:t>
      </w:r>
    </w:p>
    <w:p w14:paraId="153C8857" w14:textId="77777777" w:rsidR="00346723" w:rsidRPr="008F7511" w:rsidRDefault="00346723" w:rsidP="00346723">
      <w:pPr>
        <w:pStyle w:val="NormalBold12b"/>
      </w:pPr>
      <w:r w:rsidRPr="008F7511">
        <w:t>Határozatra irányuló tervezet</w:t>
      </w:r>
    </w:p>
    <w:p w14:paraId="4E472934" w14:textId="77777777" w:rsidR="00346723" w:rsidRPr="008F7511" w:rsidRDefault="00346723" w:rsidP="00346723">
      <w:pPr>
        <w:pStyle w:val="NormalBold"/>
      </w:pPr>
      <w:r w:rsidRPr="008F7511">
        <w:t xml:space="preserve">2 cikk – 1 bekezdés – 1 </w:t>
      </w:r>
      <w:proofErr w:type="spellStart"/>
      <w:r w:rsidRPr="008F7511">
        <w:t>albekezdés</w:t>
      </w:r>
      <w:proofErr w:type="spellEnd"/>
      <w:r w:rsidRPr="008F7511">
        <w:t xml:space="preserve"> – c b pont (új)</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46723" w:rsidRPr="008F7511" w14:paraId="16DCEB5A" w14:textId="77777777" w:rsidTr="00EC50CA">
        <w:trPr>
          <w:jc w:val="center"/>
        </w:trPr>
        <w:tc>
          <w:tcPr>
            <w:tcW w:w="9752" w:type="dxa"/>
            <w:gridSpan w:val="2"/>
          </w:tcPr>
          <w:p w14:paraId="1B048131" w14:textId="77777777" w:rsidR="00346723" w:rsidRPr="008F7511" w:rsidRDefault="00346723" w:rsidP="00EC50CA">
            <w:pPr>
              <w:keepNext/>
              <w:widowControl/>
              <w:rPr>
                <w:szCs w:val="24"/>
              </w:rPr>
            </w:pPr>
          </w:p>
        </w:tc>
      </w:tr>
      <w:tr w:rsidR="00346723" w:rsidRPr="008F7511" w14:paraId="2BB3154D" w14:textId="77777777" w:rsidTr="00EC50CA">
        <w:trPr>
          <w:jc w:val="center"/>
        </w:trPr>
        <w:tc>
          <w:tcPr>
            <w:tcW w:w="4876" w:type="dxa"/>
          </w:tcPr>
          <w:p w14:paraId="343D982A" w14:textId="77777777" w:rsidR="00346723" w:rsidRPr="008F7511" w:rsidRDefault="00346723" w:rsidP="00EC50CA">
            <w:pPr>
              <w:pStyle w:val="AmColumnHeading"/>
            </w:pPr>
            <w:r w:rsidRPr="008F7511">
              <w:t>A Tanács tervezete</w:t>
            </w:r>
          </w:p>
        </w:tc>
        <w:tc>
          <w:tcPr>
            <w:tcW w:w="4876" w:type="dxa"/>
          </w:tcPr>
          <w:p w14:paraId="3A034D23" w14:textId="77777777" w:rsidR="00346723" w:rsidRPr="008F7511" w:rsidRDefault="00346723" w:rsidP="00EC50CA">
            <w:pPr>
              <w:pStyle w:val="AmColumnHeading"/>
            </w:pPr>
            <w:r w:rsidRPr="008F7511">
              <w:t>Módosítás</w:t>
            </w:r>
          </w:p>
        </w:tc>
      </w:tr>
      <w:tr w:rsidR="00346723" w:rsidRPr="008F7511" w14:paraId="5B552D83" w14:textId="77777777" w:rsidTr="00EC50CA">
        <w:trPr>
          <w:jc w:val="center"/>
        </w:trPr>
        <w:tc>
          <w:tcPr>
            <w:tcW w:w="4876" w:type="dxa"/>
          </w:tcPr>
          <w:p w14:paraId="1044FFCB" w14:textId="77777777" w:rsidR="00346723" w:rsidRPr="008F7511" w:rsidRDefault="00346723" w:rsidP="00EC50CA">
            <w:pPr>
              <w:pStyle w:val="Normal6a"/>
            </w:pPr>
          </w:p>
        </w:tc>
        <w:tc>
          <w:tcPr>
            <w:tcW w:w="4876" w:type="dxa"/>
          </w:tcPr>
          <w:p w14:paraId="4215D9E6" w14:textId="77777777" w:rsidR="00346723" w:rsidRPr="008F7511" w:rsidRDefault="00346723" w:rsidP="00EC50CA">
            <w:pPr>
              <w:pStyle w:val="Normal6a"/>
              <w:rPr>
                <w:b/>
                <w:bCs/>
                <w:i/>
                <w:iCs/>
                <w:szCs w:val="24"/>
              </w:rPr>
            </w:pPr>
            <w:proofErr w:type="spellStart"/>
            <w:r w:rsidRPr="008F7511">
              <w:rPr>
                <w:b/>
                <w:bCs/>
                <w:i/>
                <w:iCs/>
              </w:rPr>
              <w:t>cb</w:t>
            </w:r>
            <w:proofErr w:type="spellEnd"/>
            <w:r w:rsidRPr="008F7511">
              <w:rPr>
                <w:b/>
                <w:bCs/>
                <w:i/>
                <w:iCs/>
              </w:rPr>
              <w:t>)</w:t>
            </w:r>
            <w:r w:rsidRPr="008F7511">
              <w:rPr>
                <w:b/>
                <w:bCs/>
                <w:i/>
                <w:iCs/>
              </w:rPr>
              <w:tab/>
              <w:t>az importáruk karbonintenzitását ellensúlyozó mechanizmusból származó bevétel a Bizottság [</w:t>
            </w:r>
            <w:proofErr w:type="gramStart"/>
            <w:r w:rsidRPr="008F7511">
              <w:rPr>
                <w:b/>
                <w:bCs/>
                <w:i/>
                <w:iCs/>
              </w:rPr>
              <w:t>...</w:t>
            </w:r>
            <w:proofErr w:type="gramEnd"/>
            <w:r w:rsidRPr="008F7511">
              <w:rPr>
                <w:b/>
                <w:bCs/>
                <w:i/>
                <w:iCs/>
              </w:rPr>
              <w:t>/...] javaslatának megfelelően</w:t>
            </w:r>
            <w:r w:rsidR="00D33389" w:rsidRPr="008F7511">
              <w:rPr>
                <w:b/>
                <w:bCs/>
                <w:i/>
                <w:iCs/>
              </w:rPr>
              <w:t xml:space="preserve"> 2023. január 1-jéig</w:t>
            </w:r>
            <w:r w:rsidRPr="008F7511">
              <w:rPr>
                <w:b/>
                <w:bCs/>
                <w:i/>
                <w:iCs/>
              </w:rPr>
              <w:t>;</w:t>
            </w:r>
          </w:p>
        </w:tc>
      </w:tr>
    </w:tbl>
    <w:p w14:paraId="6DBFD613" w14:textId="77777777" w:rsidR="00346723" w:rsidRPr="008F7511" w:rsidRDefault="00346723" w:rsidP="00346723">
      <w:pPr>
        <w:pStyle w:val="AmNumberTabs"/>
      </w:pPr>
      <w:r w:rsidRPr="008F7511">
        <w:t>Módosítás</w:t>
      </w:r>
      <w:r w:rsidRPr="008F7511">
        <w:tab/>
      </w:r>
      <w:r w:rsidRPr="008F7511">
        <w:tab/>
        <w:t>22</w:t>
      </w:r>
    </w:p>
    <w:p w14:paraId="73848EC9" w14:textId="77777777" w:rsidR="00346723" w:rsidRPr="008F7511" w:rsidRDefault="00346723" w:rsidP="00346723">
      <w:pPr>
        <w:pStyle w:val="NormalBold12b"/>
      </w:pPr>
      <w:r w:rsidRPr="008F7511">
        <w:t>Határozatra irányuló tervezet</w:t>
      </w:r>
    </w:p>
    <w:p w14:paraId="3F66A6D6" w14:textId="77777777" w:rsidR="00346723" w:rsidRPr="008F7511" w:rsidRDefault="00346723" w:rsidP="00346723">
      <w:pPr>
        <w:pStyle w:val="NormalBold"/>
      </w:pPr>
      <w:r w:rsidRPr="008F7511">
        <w:t xml:space="preserve">2 cikk – 1 bekezdés – 1 </w:t>
      </w:r>
      <w:proofErr w:type="spellStart"/>
      <w:r w:rsidRPr="008F7511">
        <w:t>albekezdés</w:t>
      </w:r>
      <w:proofErr w:type="spellEnd"/>
      <w:r w:rsidRPr="008F7511">
        <w:t xml:space="preserve"> – c </w:t>
      </w:r>
      <w:proofErr w:type="spellStart"/>
      <w:r w:rsidRPr="008F7511">
        <w:t>c</w:t>
      </w:r>
      <w:proofErr w:type="spellEnd"/>
      <w:r w:rsidRPr="008F7511">
        <w:t xml:space="preserve"> pont (új)</w:t>
      </w:r>
      <w:bookmarkStart w:id="9" w:name="_GoBack"/>
      <w:bookmarkEnd w:id="9"/>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46723" w:rsidRPr="008F7511" w14:paraId="0EFE607F" w14:textId="77777777" w:rsidTr="00EC50CA">
        <w:trPr>
          <w:jc w:val="center"/>
        </w:trPr>
        <w:tc>
          <w:tcPr>
            <w:tcW w:w="9752" w:type="dxa"/>
            <w:gridSpan w:val="2"/>
          </w:tcPr>
          <w:p w14:paraId="601B3648" w14:textId="77777777" w:rsidR="00346723" w:rsidRPr="008F7511" w:rsidRDefault="00346723" w:rsidP="00EC50CA">
            <w:pPr>
              <w:keepNext/>
              <w:widowControl/>
              <w:rPr>
                <w:szCs w:val="24"/>
              </w:rPr>
            </w:pPr>
          </w:p>
        </w:tc>
      </w:tr>
      <w:tr w:rsidR="00346723" w:rsidRPr="008F7511" w14:paraId="5C34401B" w14:textId="77777777" w:rsidTr="00EC50CA">
        <w:trPr>
          <w:jc w:val="center"/>
        </w:trPr>
        <w:tc>
          <w:tcPr>
            <w:tcW w:w="4876" w:type="dxa"/>
          </w:tcPr>
          <w:p w14:paraId="4FC890AC" w14:textId="77777777" w:rsidR="00346723" w:rsidRPr="008F7511" w:rsidRDefault="00346723" w:rsidP="00EC50CA">
            <w:pPr>
              <w:pStyle w:val="AmColumnHeading"/>
            </w:pPr>
            <w:r w:rsidRPr="008F7511">
              <w:t>A Tanács tervezete</w:t>
            </w:r>
          </w:p>
        </w:tc>
        <w:tc>
          <w:tcPr>
            <w:tcW w:w="4876" w:type="dxa"/>
          </w:tcPr>
          <w:p w14:paraId="5C62FA96" w14:textId="77777777" w:rsidR="00346723" w:rsidRPr="008F7511" w:rsidRDefault="00346723" w:rsidP="00EC50CA">
            <w:pPr>
              <w:pStyle w:val="AmColumnHeading"/>
            </w:pPr>
            <w:r w:rsidRPr="008F7511">
              <w:t>Módosítás</w:t>
            </w:r>
          </w:p>
        </w:tc>
      </w:tr>
      <w:tr w:rsidR="00346723" w:rsidRPr="008F7511" w14:paraId="63BF2903" w14:textId="77777777" w:rsidTr="00EC50CA">
        <w:trPr>
          <w:jc w:val="center"/>
        </w:trPr>
        <w:tc>
          <w:tcPr>
            <w:tcW w:w="4876" w:type="dxa"/>
          </w:tcPr>
          <w:p w14:paraId="5B8C3010" w14:textId="77777777" w:rsidR="00346723" w:rsidRPr="008F7511" w:rsidRDefault="00346723" w:rsidP="00EC50CA">
            <w:pPr>
              <w:pStyle w:val="Normal6a"/>
            </w:pPr>
          </w:p>
        </w:tc>
        <w:tc>
          <w:tcPr>
            <w:tcW w:w="4876" w:type="dxa"/>
          </w:tcPr>
          <w:p w14:paraId="2C1CB100" w14:textId="48C25A50" w:rsidR="00346723" w:rsidRPr="008F7511" w:rsidRDefault="00346723" w:rsidP="00066DB0">
            <w:pPr>
              <w:pStyle w:val="Normal6a"/>
              <w:rPr>
                <w:b/>
                <w:bCs/>
                <w:i/>
                <w:iCs/>
              </w:rPr>
            </w:pPr>
            <w:r w:rsidRPr="008F7511">
              <w:rPr>
                <w:b/>
                <w:bCs/>
                <w:i/>
                <w:iCs/>
              </w:rPr>
              <w:t>cc)</w:t>
            </w:r>
            <w:r w:rsidRPr="008F7511">
              <w:rPr>
                <w:b/>
                <w:bCs/>
                <w:i/>
                <w:iCs/>
              </w:rPr>
              <w:tab/>
              <w:t>a digitális szolgáltatások adóztatásából származó bevételek, az egyes digitális szolgáltatások nyújtásából származó bevételek után fizetendő digitális szolgáltatási adó közös rendszeréről szóló tanácsi irányelv (</w:t>
            </w:r>
            <w:proofErr w:type="gramStart"/>
            <w:r w:rsidRPr="008F7511">
              <w:rPr>
                <w:b/>
                <w:bCs/>
                <w:i/>
                <w:iCs/>
              </w:rPr>
              <w:t>COM(</w:t>
            </w:r>
            <w:proofErr w:type="gramEnd"/>
            <w:r w:rsidRPr="008F7511">
              <w:rPr>
                <w:b/>
                <w:bCs/>
                <w:i/>
                <w:iCs/>
              </w:rPr>
              <w:t xml:space="preserve">2018)0148) 2023. január 1-jéig történő elfogadásáig és </w:t>
            </w:r>
            <w:r w:rsidR="00066DB0" w:rsidRPr="008F7511">
              <w:rPr>
                <w:b/>
                <w:bCs/>
                <w:i/>
                <w:iCs/>
              </w:rPr>
              <w:t>végrehajtásáig</w:t>
            </w:r>
            <w:r w:rsidRPr="008F7511">
              <w:rPr>
                <w:b/>
                <w:bCs/>
                <w:i/>
                <w:iCs/>
              </w:rPr>
              <w:t>; a tényleges lehívási kulcs nem haladhatja meg a 100%-</w:t>
            </w:r>
            <w:proofErr w:type="spellStart"/>
            <w:r w:rsidRPr="008F7511">
              <w:rPr>
                <w:b/>
                <w:bCs/>
                <w:i/>
                <w:iCs/>
              </w:rPr>
              <w:t>ot</w:t>
            </w:r>
            <w:proofErr w:type="spellEnd"/>
            <w:r w:rsidRPr="008F7511">
              <w:rPr>
                <w:b/>
                <w:bCs/>
                <w:i/>
                <w:iCs/>
              </w:rPr>
              <w:t>;</w:t>
            </w:r>
          </w:p>
        </w:tc>
      </w:tr>
    </w:tbl>
    <w:p w14:paraId="37953407" w14:textId="77777777" w:rsidR="00346723" w:rsidRPr="008F7511" w:rsidRDefault="00346723" w:rsidP="00346723">
      <w:pPr>
        <w:pStyle w:val="AmNumberTabs"/>
        <w:keepNext/>
      </w:pPr>
      <w:r w:rsidRPr="008F7511">
        <w:t>Módosítás</w:t>
      </w:r>
      <w:r w:rsidRPr="008F7511">
        <w:tab/>
      </w:r>
      <w:r w:rsidRPr="008F7511">
        <w:tab/>
        <w:t>23</w:t>
      </w:r>
    </w:p>
    <w:p w14:paraId="71F9C582" w14:textId="77777777" w:rsidR="00346723" w:rsidRPr="008F7511" w:rsidRDefault="00346723" w:rsidP="00346723">
      <w:pPr>
        <w:pStyle w:val="NormalBold12b"/>
        <w:keepNext/>
      </w:pPr>
      <w:r w:rsidRPr="008F7511">
        <w:t>Határozatra irányuló tervezet</w:t>
      </w:r>
    </w:p>
    <w:p w14:paraId="161B0BAF" w14:textId="77777777" w:rsidR="00346723" w:rsidRPr="008F7511" w:rsidRDefault="00346723" w:rsidP="00346723">
      <w:pPr>
        <w:pStyle w:val="NormalBold"/>
      </w:pPr>
      <w:r w:rsidRPr="008F7511">
        <w:t xml:space="preserve">2 cikk – 1 bekezdés – 1 </w:t>
      </w:r>
      <w:proofErr w:type="spellStart"/>
      <w:r w:rsidRPr="008F7511">
        <w:t>albekezdés</w:t>
      </w:r>
      <w:proofErr w:type="spellEnd"/>
      <w:r w:rsidRPr="008F7511">
        <w:t xml:space="preserve"> – c d pont (új)</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46723" w:rsidRPr="008F7511" w14:paraId="46934234" w14:textId="77777777" w:rsidTr="00EC50CA">
        <w:trPr>
          <w:jc w:val="center"/>
        </w:trPr>
        <w:tc>
          <w:tcPr>
            <w:tcW w:w="9752" w:type="dxa"/>
            <w:gridSpan w:val="2"/>
          </w:tcPr>
          <w:p w14:paraId="269BEB01" w14:textId="77777777" w:rsidR="00346723" w:rsidRPr="008F7511" w:rsidRDefault="00346723" w:rsidP="00EC50CA">
            <w:pPr>
              <w:keepNext/>
            </w:pPr>
          </w:p>
        </w:tc>
      </w:tr>
      <w:tr w:rsidR="00346723" w:rsidRPr="008F7511" w14:paraId="44ED7925" w14:textId="77777777" w:rsidTr="00EC50CA">
        <w:trPr>
          <w:jc w:val="center"/>
        </w:trPr>
        <w:tc>
          <w:tcPr>
            <w:tcW w:w="4876" w:type="dxa"/>
          </w:tcPr>
          <w:p w14:paraId="1A5FB19D" w14:textId="77777777" w:rsidR="00346723" w:rsidRPr="008F7511" w:rsidRDefault="00346723" w:rsidP="00EC50CA">
            <w:pPr>
              <w:pStyle w:val="AmColumnHeading"/>
              <w:keepNext/>
            </w:pPr>
            <w:r w:rsidRPr="008F7511">
              <w:t>A Tanács tervezete</w:t>
            </w:r>
          </w:p>
        </w:tc>
        <w:tc>
          <w:tcPr>
            <w:tcW w:w="4876" w:type="dxa"/>
          </w:tcPr>
          <w:p w14:paraId="642D9D03" w14:textId="77777777" w:rsidR="00346723" w:rsidRPr="008F7511" w:rsidRDefault="00346723" w:rsidP="00EC50CA">
            <w:pPr>
              <w:pStyle w:val="AmColumnHeading"/>
              <w:keepNext/>
            </w:pPr>
            <w:r w:rsidRPr="008F7511">
              <w:t>Módosítás</w:t>
            </w:r>
          </w:p>
        </w:tc>
      </w:tr>
      <w:tr w:rsidR="00346723" w:rsidRPr="008F7511" w14:paraId="2337188D" w14:textId="77777777" w:rsidTr="00EC50CA">
        <w:trPr>
          <w:jc w:val="center"/>
        </w:trPr>
        <w:tc>
          <w:tcPr>
            <w:tcW w:w="4876" w:type="dxa"/>
          </w:tcPr>
          <w:p w14:paraId="654D6059" w14:textId="77777777" w:rsidR="00346723" w:rsidRPr="008F7511" w:rsidRDefault="00346723" w:rsidP="00EC50CA">
            <w:pPr>
              <w:pStyle w:val="Normal6a"/>
              <w:rPr>
                <w:b/>
                <w:bCs/>
                <w:i/>
                <w:iCs/>
              </w:rPr>
            </w:pPr>
          </w:p>
        </w:tc>
        <w:tc>
          <w:tcPr>
            <w:tcW w:w="4876" w:type="dxa"/>
          </w:tcPr>
          <w:p w14:paraId="6476235A" w14:textId="77777777" w:rsidR="00346723" w:rsidRPr="008F7511" w:rsidRDefault="00346723" w:rsidP="00EC50CA">
            <w:pPr>
              <w:pStyle w:val="Normal6a"/>
              <w:rPr>
                <w:b/>
                <w:bCs/>
                <w:i/>
                <w:iCs/>
              </w:rPr>
            </w:pPr>
            <w:r w:rsidRPr="008F7511">
              <w:rPr>
                <w:b/>
                <w:bCs/>
                <w:i/>
                <w:iCs/>
              </w:rPr>
              <w:t>cd)</w:t>
            </w:r>
            <w:r w:rsidRPr="008F7511">
              <w:rPr>
                <w:b/>
                <w:bCs/>
                <w:i/>
                <w:iCs/>
              </w:rPr>
              <w:tab/>
              <w:t>2026. január 1-jétől egységes lehívási kulcs alkalmazása a közös összevont társaságiadó-alapra vonatkozó uniós szabályok alapján az egyes tagállamokhoz rendelt adóköteles nyereség arányára; a tényleges lehívási kulcs nem haladhatja meg a 6%-</w:t>
            </w:r>
            <w:proofErr w:type="spellStart"/>
            <w:r w:rsidRPr="008F7511">
              <w:rPr>
                <w:b/>
                <w:bCs/>
                <w:i/>
                <w:iCs/>
              </w:rPr>
              <w:t>ot</w:t>
            </w:r>
            <w:proofErr w:type="spellEnd"/>
            <w:r w:rsidRPr="008F7511">
              <w:rPr>
                <w:b/>
                <w:bCs/>
                <w:i/>
                <w:iCs/>
              </w:rPr>
              <w:t>;</w:t>
            </w:r>
          </w:p>
        </w:tc>
      </w:tr>
    </w:tbl>
    <w:p w14:paraId="13B59F6F" w14:textId="77777777" w:rsidR="00346723" w:rsidRPr="008F7511" w:rsidRDefault="00346723" w:rsidP="00346723"/>
    <w:p w14:paraId="39B2205E" w14:textId="77777777" w:rsidR="00346723" w:rsidRPr="008F7511" w:rsidRDefault="00346723" w:rsidP="00346723">
      <w:pPr>
        <w:pStyle w:val="AmNumberTabs"/>
      </w:pPr>
      <w:r w:rsidRPr="008F7511">
        <w:t>Módosítás</w:t>
      </w:r>
      <w:r w:rsidRPr="008F7511">
        <w:tab/>
      </w:r>
      <w:r w:rsidRPr="008F7511">
        <w:tab/>
        <w:t>24</w:t>
      </w:r>
    </w:p>
    <w:p w14:paraId="01909516" w14:textId="77777777" w:rsidR="00346723" w:rsidRPr="008F7511" w:rsidRDefault="00346723" w:rsidP="00346723">
      <w:pPr>
        <w:pStyle w:val="NormalBold12b"/>
      </w:pPr>
      <w:r w:rsidRPr="008F7511">
        <w:t>Határozatra irányuló tervezet</w:t>
      </w:r>
    </w:p>
    <w:p w14:paraId="22B425CA" w14:textId="630F79B0" w:rsidR="00346723" w:rsidRPr="008F7511" w:rsidRDefault="00FA0EA2" w:rsidP="00346723">
      <w:pPr>
        <w:pStyle w:val="NormalBold"/>
      </w:pPr>
      <w:r w:rsidRPr="008F7511">
        <w:t>2</w:t>
      </w:r>
      <w:r w:rsidR="00346723" w:rsidRPr="008F7511">
        <w:t xml:space="preserve"> cikk – 1 bekezdés – 1 </w:t>
      </w:r>
      <w:proofErr w:type="spellStart"/>
      <w:r w:rsidR="00346723" w:rsidRPr="008F7511">
        <w:t>albekezdés</w:t>
      </w:r>
      <w:proofErr w:type="spellEnd"/>
      <w:r w:rsidR="00346723" w:rsidRPr="008F7511">
        <w:t xml:space="preserve"> – c e pont (új)</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46723" w:rsidRPr="008F7511" w14:paraId="384A0CD5" w14:textId="77777777" w:rsidTr="00EC50CA">
        <w:trPr>
          <w:jc w:val="center"/>
        </w:trPr>
        <w:tc>
          <w:tcPr>
            <w:tcW w:w="9752" w:type="dxa"/>
            <w:gridSpan w:val="2"/>
          </w:tcPr>
          <w:p w14:paraId="741A8415" w14:textId="77777777" w:rsidR="00346723" w:rsidRPr="008F7511" w:rsidRDefault="00346723" w:rsidP="00EC50CA">
            <w:pPr>
              <w:keepNext/>
              <w:widowControl/>
              <w:rPr>
                <w:szCs w:val="24"/>
              </w:rPr>
            </w:pPr>
          </w:p>
        </w:tc>
      </w:tr>
      <w:tr w:rsidR="00346723" w:rsidRPr="008F7511" w14:paraId="5547FE86" w14:textId="77777777" w:rsidTr="00EC50CA">
        <w:trPr>
          <w:jc w:val="center"/>
        </w:trPr>
        <w:tc>
          <w:tcPr>
            <w:tcW w:w="4876" w:type="dxa"/>
          </w:tcPr>
          <w:p w14:paraId="0BDB1888" w14:textId="77777777" w:rsidR="00346723" w:rsidRPr="008F7511" w:rsidRDefault="00346723" w:rsidP="00EC50CA">
            <w:pPr>
              <w:pStyle w:val="AmColumnHeading"/>
            </w:pPr>
            <w:r w:rsidRPr="008F7511">
              <w:t>A Tanács tervezete</w:t>
            </w:r>
          </w:p>
        </w:tc>
        <w:tc>
          <w:tcPr>
            <w:tcW w:w="4876" w:type="dxa"/>
          </w:tcPr>
          <w:p w14:paraId="6F48C204" w14:textId="77777777" w:rsidR="00346723" w:rsidRPr="008F7511" w:rsidRDefault="00346723" w:rsidP="00EC50CA">
            <w:pPr>
              <w:pStyle w:val="AmColumnHeading"/>
            </w:pPr>
            <w:r w:rsidRPr="008F7511">
              <w:t>Módosítás</w:t>
            </w:r>
          </w:p>
        </w:tc>
      </w:tr>
      <w:tr w:rsidR="00346723" w:rsidRPr="008F7511" w14:paraId="2F9EEE98" w14:textId="77777777" w:rsidTr="00EC50CA">
        <w:trPr>
          <w:jc w:val="center"/>
        </w:trPr>
        <w:tc>
          <w:tcPr>
            <w:tcW w:w="4876" w:type="dxa"/>
          </w:tcPr>
          <w:p w14:paraId="45FC4A3F" w14:textId="77777777" w:rsidR="00346723" w:rsidRPr="008F7511" w:rsidRDefault="00346723" w:rsidP="00EC50CA">
            <w:pPr>
              <w:pStyle w:val="Normal6a"/>
            </w:pPr>
          </w:p>
        </w:tc>
        <w:tc>
          <w:tcPr>
            <w:tcW w:w="4876" w:type="dxa"/>
          </w:tcPr>
          <w:p w14:paraId="7AB93E7B" w14:textId="463248DA" w:rsidR="00346723" w:rsidRPr="008F7511" w:rsidRDefault="00346723" w:rsidP="00066DB0">
            <w:pPr>
              <w:pStyle w:val="Normal6a"/>
              <w:rPr>
                <w:b/>
                <w:bCs/>
                <w:i/>
                <w:iCs/>
                <w:szCs w:val="24"/>
              </w:rPr>
            </w:pPr>
            <w:r w:rsidRPr="008F7511">
              <w:rPr>
                <w:b/>
                <w:bCs/>
                <w:i/>
                <w:iCs/>
              </w:rPr>
              <w:t>ce)</w:t>
            </w:r>
            <w:r w:rsidRPr="008F7511">
              <w:rPr>
                <w:b/>
                <w:bCs/>
                <w:i/>
                <w:iCs/>
              </w:rPr>
              <w:tab/>
              <w:t xml:space="preserve">2024. január 1-jétől az (EU) […/…] tanácsi irányelv értelmében kivetendő pénzügyi </w:t>
            </w:r>
            <w:proofErr w:type="gramStart"/>
            <w:r w:rsidRPr="008F7511">
              <w:rPr>
                <w:b/>
                <w:bCs/>
                <w:i/>
                <w:iCs/>
              </w:rPr>
              <w:t>tranzakciós</w:t>
            </w:r>
            <w:proofErr w:type="gramEnd"/>
            <w:r w:rsidRPr="008F7511">
              <w:rPr>
                <w:b/>
                <w:bCs/>
                <w:i/>
                <w:iCs/>
              </w:rPr>
              <w:t xml:space="preserve"> adó alkalmazása </w:t>
            </w:r>
            <w:r w:rsidR="00066DB0" w:rsidRPr="008F7511">
              <w:rPr>
                <w:b/>
                <w:bCs/>
                <w:i/>
                <w:iCs/>
              </w:rPr>
              <w:t xml:space="preserve">az </w:t>
            </w:r>
            <w:r w:rsidRPr="008F7511">
              <w:rPr>
                <w:b/>
                <w:bCs/>
                <w:i/>
                <w:iCs/>
              </w:rPr>
              <w:t xml:space="preserve">alkalmazandó </w:t>
            </w:r>
            <w:r w:rsidR="00857D29" w:rsidRPr="008F7511">
              <w:rPr>
                <w:b/>
                <w:bCs/>
                <w:i/>
                <w:iCs/>
              </w:rPr>
              <w:t>lehívási kulcsok</w:t>
            </w:r>
            <w:r w:rsidR="00D639BA" w:rsidRPr="008F7511">
              <w:rPr>
                <w:b/>
                <w:bCs/>
                <w:i/>
                <w:iCs/>
              </w:rPr>
              <w:t>kal</w:t>
            </w:r>
            <w:r w:rsidR="00857D29" w:rsidRPr="008F7511">
              <w:rPr>
                <w:b/>
                <w:bCs/>
                <w:i/>
                <w:iCs/>
              </w:rPr>
              <w:t xml:space="preserve"> </w:t>
            </w:r>
            <w:r w:rsidRPr="008F7511">
              <w:rPr>
                <w:b/>
                <w:bCs/>
                <w:i/>
                <w:iCs/>
              </w:rPr>
              <w:t xml:space="preserve">, </w:t>
            </w:r>
            <w:r w:rsidR="00D639BA" w:rsidRPr="008F7511">
              <w:rPr>
                <w:b/>
                <w:bCs/>
                <w:i/>
                <w:iCs/>
              </w:rPr>
              <w:t xml:space="preserve"> olyan </w:t>
            </w:r>
            <w:r w:rsidR="00066DB0" w:rsidRPr="008F7511">
              <w:rPr>
                <w:b/>
                <w:bCs/>
                <w:i/>
                <w:iCs/>
              </w:rPr>
              <w:t>hányad</w:t>
            </w:r>
            <w:r w:rsidR="00D639BA" w:rsidRPr="008F7511">
              <w:rPr>
                <w:b/>
                <w:bCs/>
                <w:i/>
                <w:iCs/>
              </w:rPr>
              <w:t xml:space="preserve"> erejéig, </w:t>
            </w:r>
            <w:r w:rsidRPr="008F7511">
              <w:rPr>
                <w:b/>
                <w:bCs/>
                <w:i/>
                <w:iCs/>
              </w:rPr>
              <w:t xml:space="preserve">amely nem haladja meg az említett irányelv 8. cikkének (3) bekezdésében megállapított minimális </w:t>
            </w:r>
            <w:r w:rsidR="00857D29" w:rsidRPr="008F7511">
              <w:rPr>
                <w:b/>
                <w:bCs/>
                <w:i/>
                <w:iCs/>
              </w:rPr>
              <w:t>ku</w:t>
            </w:r>
            <w:r w:rsidR="00D639BA" w:rsidRPr="008F7511">
              <w:rPr>
                <w:b/>
                <w:bCs/>
                <w:i/>
                <w:iCs/>
              </w:rPr>
              <w:t>l</w:t>
            </w:r>
            <w:r w:rsidR="00857D29" w:rsidRPr="008F7511">
              <w:rPr>
                <w:b/>
                <w:bCs/>
                <w:i/>
                <w:iCs/>
              </w:rPr>
              <w:t>csokat</w:t>
            </w:r>
            <w:r w:rsidRPr="008F7511">
              <w:rPr>
                <w:b/>
                <w:bCs/>
                <w:i/>
                <w:iCs/>
              </w:rPr>
              <w:t>; amennyiben a pénzügyi tranzakciós adóról szóló irányelvet átmenetileg megerősített együttműködés keretében alkalmazzák, úgy ez a saját forrás nem érinti a megerősített együttműködésben részt nem vevő tagállamokat;</w:t>
            </w:r>
          </w:p>
        </w:tc>
      </w:tr>
    </w:tbl>
    <w:p w14:paraId="7F340512" w14:textId="77777777" w:rsidR="00346723" w:rsidRPr="008F7511" w:rsidRDefault="00346723" w:rsidP="00346723">
      <w:pPr>
        <w:pStyle w:val="AmNumberTabs"/>
        <w:keepNext/>
      </w:pPr>
      <w:r w:rsidRPr="008F7511">
        <w:t>Módosítás</w:t>
      </w:r>
      <w:r w:rsidRPr="008F7511">
        <w:tab/>
      </w:r>
      <w:r w:rsidRPr="008F7511">
        <w:tab/>
        <w:t>25</w:t>
      </w:r>
    </w:p>
    <w:p w14:paraId="09B38B2A" w14:textId="77777777" w:rsidR="00346723" w:rsidRPr="008F7511" w:rsidRDefault="00346723" w:rsidP="00346723">
      <w:pPr>
        <w:pStyle w:val="NormalBold12b"/>
        <w:keepNext/>
      </w:pPr>
      <w:r w:rsidRPr="008F7511">
        <w:t>Határozatra irányuló tervezet</w:t>
      </w:r>
    </w:p>
    <w:p w14:paraId="47EE750B" w14:textId="77777777" w:rsidR="00346723" w:rsidRPr="008F7511" w:rsidRDefault="00346723" w:rsidP="00346723">
      <w:pPr>
        <w:pStyle w:val="NormalBold"/>
        <w:keepNext/>
      </w:pPr>
      <w:r w:rsidRPr="008F7511">
        <w:t>2 cikk – 2 bekezdés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46723" w:rsidRPr="008F7511" w14:paraId="6645162A" w14:textId="77777777" w:rsidTr="00EC50CA">
        <w:trPr>
          <w:jc w:val="center"/>
        </w:trPr>
        <w:tc>
          <w:tcPr>
            <w:tcW w:w="9752" w:type="dxa"/>
            <w:gridSpan w:val="2"/>
          </w:tcPr>
          <w:p w14:paraId="220CF5F9" w14:textId="77777777" w:rsidR="00346723" w:rsidRPr="008F7511" w:rsidRDefault="00346723" w:rsidP="00EC50CA">
            <w:pPr>
              <w:keepNext/>
            </w:pPr>
          </w:p>
        </w:tc>
      </w:tr>
      <w:tr w:rsidR="00346723" w:rsidRPr="008F7511" w14:paraId="7CEE1AE7" w14:textId="77777777" w:rsidTr="00EC50CA">
        <w:trPr>
          <w:jc w:val="center"/>
        </w:trPr>
        <w:tc>
          <w:tcPr>
            <w:tcW w:w="4876" w:type="dxa"/>
          </w:tcPr>
          <w:p w14:paraId="037038C1" w14:textId="77777777" w:rsidR="00346723" w:rsidRPr="008F7511" w:rsidRDefault="00346723" w:rsidP="00EC50CA">
            <w:pPr>
              <w:pStyle w:val="AmColumnHeading"/>
              <w:keepNext/>
            </w:pPr>
            <w:r w:rsidRPr="008F7511">
              <w:t>A Tanács tervezete</w:t>
            </w:r>
          </w:p>
        </w:tc>
        <w:tc>
          <w:tcPr>
            <w:tcW w:w="4876" w:type="dxa"/>
          </w:tcPr>
          <w:p w14:paraId="033E0262" w14:textId="77777777" w:rsidR="00346723" w:rsidRPr="008F7511" w:rsidRDefault="00346723" w:rsidP="00EC50CA">
            <w:pPr>
              <w:pStyle w:val="AmColumnHeading"/>
              <w:keepNext/>
            </w:pPr>
            <w:r w:rsidRPr="008F7511">
              <w:t>Módosítás</w:t>
            </w:r>
          </w:p>
        </w:tc>
      </w:tr>
      <w:tr w:rsidR="00346723" w:rsidRPr="008F7511" w14:paraId="58D4CF68" w14:textId="77777777" w:rsidTr="00EC50CA">
        <w:trPr>
          <w:jc w:val="center"/>
        </w:trPr>
        <w:tc>
          <w:tcPr>
            <w:tcW w:w="4876" w:type="dxa"/>
          </w:tcPr>
          <w:p w14:paraId="558AFDB0" w14:textId="15F78CBF" w:rsidR="00346723" w:rsidRPr="008F7511" w:rsidRDefault="00346723" w:rsidP="00D33389">
            <w:pPr>
              <w:pStyle w:val="Normal6a"/>
            </w:pPr>
            <w:r w:rsidRPr="008F7511">
              <w:t xml:space="preserve">(2) </w:t>
            </w:r>
            <w:r w:rsidRPr="008F7511">
              <w:tab/>
            </w:r>
            <w:r w:rsidRPr="008F7511">
              <w:rPr>
                <w:b/>
                <w:bCs/>
                <w:i/>
                <w:iCs/>
                <w:szCs w:val="24"/>
              </w:rPr>
              <w:t>A 2021 és 2027 közötti időszakban Ausztria éves GNI-alapú hozzájárulását bruttó 565 millió EUR-val, Dánia éves GNI-alapú hozzájárulását bruttó 377 millió EUR-val, Németország éves GNI-alapú hozzájárulását bruttó 3</w:t>
            </w:r>
            <w:r w:rsidR="00D33389" w:rsidRPr="008F7511">
              <w:rPr>
                <w:b/>
                <w:bCs/>
                <w:i/>
                <w:iCs/>
                <w:szCs w:val="24"/>
              </w:rPr>
              <w:t> </w:t>
            </w:r>
            <w:r w:rsidRPr="008F7511">
              <w:rPr>
                <w:b/>
                <w:bCs/>
                <w:i/>
                <w:iCs/>
                <w:szCs w:val="24"/>
              </w:rPr>
              <w:t>671 millió EUR-val, Hollandia éves GNI-alapú hozzájárulását bruttó 1</w:t>
            </w:r>
            <w:r w:rsidR="00D33389" w:rsidRPr="008F7511">
              <w:rPr>
                <w:b/>
                <w:bCs/>
                <w:i/>
                <w:iCs/>
                <w:szCs w:val="24"/>
              </w:rPr>
              <w:t> </w:t>
            </w:r>
            <w:r w:rsidRPr="008F7511">
              <w:rPr>
                <w:b/>
                <w:bCs/>
                <w:i/>
                <w:iCs/>
                <w:szCs w:val="24"/>
              </w:rPr>
              <w:t>921 millió EUR-val, Svédország éves GNI-alapú hozzájárulását pedig bruttó 1</w:t>
            </w:r>
            <w:r w:rsidR="00D33389" w:rsidRPr="008F7511">
              <w:rPr>
                <w:b/>
                <w:bCs/>
                <w:i/>
                <w:iCs/>
                <w:szCs w:val="24"/>
              </w:rPr>
              <w:t> </w:t>
            </w:r>
            <w:r w:rsidRPr="008F7511">
              <w:rPr>
                <w:b/>
                <w:bCs/>
                <w:i/>
                <w:iCs/>
                <w:szCs w:val="24"/>
              </w:rPr>
              <w:t>069 millió EUR-val kell csökkenteni. Ezeket az összegeket 2020-as árakon kell számítani, és a folyó árakhoz kell igazítani az Unióra vonatkozó legfrissebb, euróban kifejezett és a költségvetési tervezet kidolgozásakor rendelkezésre álló GDP-</w:t>
            </w:r>
            <w:proofErr w:type="spellStart"/>
            <w:r w:rsidRPr="008F7511">
              <w:rPr>
                <w:b/>
                <w:bCs/>
                <w:i/>
                <w:iCs/>
                <w:szCs w:val="24"/>
              </w:rPr>
              <w:t>deflátornak</w:t>
            </w:r>
            <w:proofErr w:type="spellEnd"/>
            <w:r w:rsidRPr="008F7511">
              <w:rPr>
                <w:b/>
                <w:bCs/>
                <w:i/>
                <w:iCs/>
                <w:szCs w:val="24"/>
              </w:rPr>
              <w:t xml:space="preserve"> az alkalmazásával, amelyet a Bizottság ad meg. A bruttó csökkentések </w:t>
            </w:r>
            <w:proofErr w:type="gramStart"/>
            <w:r w:rsidRPr="008F7511">
              <w:rPr>
                <w:b/>
                <w:bCs/>
                <w:i/>
                <w:iCs/>
                <w:szCs w:val="24"/>
              </w:rPr>
              <w:t>finanszírozásában</w:t>
            </w:r>
            <w:proofErr w:type="gramEnd"/>
            <w:r w:rsidRPr="008F7511">
              <w:rPr>
                <w:b/>
                <w:bCs/>
                <w:i/>
                <w:iCs/>
                <w:szCs w:val="24"/>
              </w:rPr>
              <w:t xml:space="preserve"> valamennyi tagállam részt vesz.</w:t>
            </w:r>
          </w:p>
        </w:tc>
        <w:tc>
          <w:tcPr>
            <w:tcW w:w="4876" w:type="dxa"/>
          </w:tcPr>
          <w:p w14:paraId="50333DC0" w14:textId="77777777" w:rsidR="00346723" w:rsidRPr="008F7511" w:rsidRDefault="00346723" w:rsidP="00EC50CA">
            <w:pPr>
              <w:pStyle w:val="Normal6a"/>
              <w:rPr>
                <w:szCs w:val="24"/>
              </w:rPr>
            </w:pPr>
            <w:r w:rsidRPr="008F7511">
              <w:t>(2)</w:t>
            </w:r>
            <w:r w:rsidRPr="008F7511">
              <w:tab/>
            </w:r>
            <w:r w:rsidRPr="008F7511">
              <w:rPr>
                <w:b/>
                <w:i/>
              </w:rPr>
              <w:t xml:space="preserve">Egyetlen tagállam sem részesülhet visszatérítésben vagy </w:t>
            </w:r>
            <w:proofErr w:type="gramStart"/>
            <w:r w:rsidRPr="008F7511">
              <w:rPr>
                <w:b/>
                <w:i/>
              </w:rPr>
              <w:t>korrekcióban</w:t>
            </w:r>
            <w:proofErr w:type="gramEnd"/>
            <w:r w:rsidRPr="008F7511">
              <w:rPr>
                <w:b/>
                <w:i/>
              </w:rPr>
              <w:t>.</w:t>
            </w:r>
          </w:p>
        </w:tc>
      </w:tr>
    </w:tbl>
    <w:p w14:paraId="7725AEC1" w14:textId="77777777" w:rsidR="00346723" w:rsidRPr="008F7511" w:rsidRDefault="00346723" w:rsidP="00346723">
      <w:pPr>
        <w:pStyle w:val="AmJustText"/>
      </w:pPr>
    </w:p>
    <w:p w14:paraId="7BAE2A7B" w14:textId="77777777" w:rsidR="00346723" w:rsidRPr="008F7511" w:rsidRDefault="00346723" w:rsidP="00346723">
      <w:pPr>
        <w:pStyle w:val="AmNumberTabs"/>
      </w:pPr>
      <w:r w:rsidRPr="008F7511">
        <w:t>Módosítás</w:t>
      </w:r>
      <w:r w:rsidRPr="008F7511">
        <w:tab/>
      </w:r>
      <w:r w:rsidRPr="008F7511">
        <w:tab/>
        <w:t>26</w:t>
      </w:r>
    </w:p>
    <w:p w14:paraId="63A0A100" w14:textId="77777777" w:rsidR="00346723" w:rsidRPr="008F7511" w:rsidRDefault="00346723" w:rsidP="00346723">
      <w:pPr>
        <w:pStyle w:val="NormalBold12b"/>
      </w:pPr>
      <w:r w:rsidRPr="008F7511">
        <w:t>Határozatra irányuló tervezet</w:t>
      </w:r>
    </w:p>
    <w:p w14:paraId="244D61A1" w14:textId="77777777" w:rsidR="00346723" w:rsidRPr="008F7511" w:rsidRDefault="00346723" w:rsidP="00346723">
      <w:pPr>
        <w:pStyle w:val="NormalBold"/>
      </w:pPr>
      <w:r w:rsidRPr="008F7511">
        <w:lastRenderedPageBreak/>
        <w:t>2 cikk – 2 a bekezdés (új)</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46723" w:rsidRPr="008F7511" w14:paraId="74AF06EF" w14:textId="77777777" w:rsidTr="00EC50CA">
        <w:trPr>
          <w:jc w:val="center"/>
        </w:trPr>
        <w:tc>
          <w:tcPr>
            <w:tcW w:w="9752" w:type="dxa"/>
            <w:gridSpan w:val="2"/>
          </w:tcPr>
          <w:p w14:paraId="47A73527" w14:textId="77777777" w:rsidR="00346723" w:rsidRPr="008F7511" w:rsidRDefault="00346723" w:rsidP="00EC50CA">
            <w:pPr>
              <w:keepNext/>
              <w:widowControl/>
              <w:rPr>
                <w:szCs w:val="24"/>
              </w:rPr>
            </w:pPr>
          </w:p>
        </w:tc>
      </w:tr>
      <w:tr w:rsidR="00346723" w:rsidRPr="008F7511" w14:paraId="1B62E0A7" w14:textId="77777777" w:rsidTr="00EC50CA">
        <w:trPr>
          <w:jc w:val="center"/>
        </w:trPr>
        <w:tc>
          <w:tcPr>
            <w:tcW w:w="4876" w:type="dxa"/>
          </w:tcPr>
          <w:p w14:paraId="79AA02FF" w14:textId="77777777" w:rsidR="00346723" w:rsidRPr="008F7511" w:rsidRDefault="00346723" w:rsidP="00EC50CA">
            <w:pPr>
              <w:pStyle w:val="AmColumnHeading"/>
            </w:pPr>
            <w:r w:rsidRPr="008F7511">
              <w:t>A Tanács tervezete</w:t>
            </w:r>
          </w:p>
        </w:tc>
        <w:tc>
          <w:tcPr>
            <w:tcW w:w="4876" w:type="dxa"/>
          </w:tcPr>
          <w:p w14:paraId="0A41DA5D" w14:textId="77777777" w:rsidR="00346723" w:rsidRPr="008F7511" w:rsidRDefault="00346723" w:rsidP="00EC50CA">
            <w:pPr>
              <w:pStyle w:val="AmColumnHeading"/>
            </w:pPr>
            <w:r w:rsidRPr="008F7511">
              <w:t>Módosítás</w:t>
            </w:r>
          </w:p>
        </w:tc>
      </w:tr>
      <w:tr w:rsidR="00346723" w:rsidRPr="008F7511" w14:paraId="75405CBA" w14:textId="77777777" w:rsidTr="00EC50CA">
        <w:trPr>
          <w:jc w:val="center"/>
        </w:trPr>
        <w:tc>
          <w:tcPr>
            <w:tcW w:w="4876" w:type="dxa"/>
          </w:tcPr>
          <w:p w14:paraId="3B51295B" w14:textId="77777777" w:rsidR="00346723" w:rsidRPr="008F7511" w:rsidRDefault="00346723" w:rsidP="00EC50CA">
            <w:pPr>
              <w:pStyle w:val="Normal6a"/>
              <w:rPr>
                <w:b/>
                <w:bCs/>
                <w:i/>
                <w:iCs/>
              </w:rPr>
            </w:pPr>
          </w:p>
        </w:tc>
        <w:tc>
          <w:tcPr>
            <w:tcW w:w="4876" w:type="dxa"/>
          </w:tcPr>
          <w:p w14:paraId="33AC54DC" w14:textId="77777777" w:rsidR="00346723" w:rsidRPr="008F7511" w:rsidRDefault="00346723" w:rsidP="00EC50CA">
            <w:pPr>
              <w:pStyle w:val="Normal6a"/>
              <w:rPr>
                <w:b/>
                <w:bCs/>
                <w:i/>
                <w:iCs/>
              </w:rPr>
            </w:pPr>
            <w:r w:rsidRPr="008F7511">
              <w:rPr>
                <w:b/>
                <w:bCs/>
                <w:i/>
                <w:iCs/>
              </w:rPr>
              <w:t>(2a)</w:t>
            </w:r>
            <w:r w:rsidRPr="008F7511">
              <w:rPr>
                <w:b/>
                <w:bCs/>
                <w:i/>
                <w:iCs/>
              </w:rPr>
              <w:tab/>
              <w:t xml:space="preserve">Az Európai Parlament és a Tanács a Bizottsággal szoros együttműködésben 2021. január 1-jéig intézményközi megállapodásban meghatározza az új saját források bevezetésére vonatkozó, jogilag kötelező erejű ütemterv alkalmazásához szükséges részletes szabályokat és egyéb rendelkezéseket. Az ezen új saját forrásokból származó bevételeknek elegendőnek kell lenniük legalább a 3b. cikk szerint megállapított hitelfelvételi képességből eredő hitelfelvételi költségek visszafizetésének fedezésére. Az új saját forrásoknak emellett </w:t>
            </w:r>
            <w:proofErr w:type="gramStart"/>
            <w:r w:rsidRPr="008F7511">
              <w:rPr>
                <w:b/>
                <w:bCs/>
                <w:i/>
                <w:iCs/>
              </w:rPr>
              <w:t>garantálniuk</w:t>
            </w:r>
            <w:proofErr w:type="gramEnd"/>
            <w:r w:rsidRPr="008F7511">
              <w:rPr>
                <w:b/>
                <w:bCs/>
                <w:i/>
                <w:iCs/>
              </w:rPr>
              <w:t xml:space="preserve"> kell a többéves pénzügyi keretben foglalt uniós kiadások megfelelő szintű finanszírozását is, mérsékelve egyúttal a GNI-alapú hozzájárulások túlsúlyát. </w:t>
            </w:r>
          </w:p>
        </w:tc>
      </w:tr>
      <w:tr w:rsidR="00346723" w:rsidRPr="008F7511" w14:paraId="69E44322" w14:textId="77777777" w:rsidTr="00EC50CA">
        <w:trPr>
          <w:jc w:val="center"/>
        </w:trPr>
        <w:tc>
          <w:tcPr>
            <w:tcW w:w="4876" w:type="dxa"/>
          </w:tcPr>
          <w:p w14:paraId="41323F7C" w14:textId="77777777" w:rsidR="00346723" w:rsidRPr="008F7511" w:rsidRDefault="00346723" w:rsidP="00EC50CA">
            <w:pPr>
              <w:pStyle w:val="Normal6a"/>
            </w:pPr>
          </w:p>
        </w:tc>
        <w:tc>
          <w:tcPr>
            <w:tcW w:w="4876" w:type="dxa"/>
          </w:tcPr>
          <w:p w14:paraId="3FBA51E3" w14:textId="77777777" w:rsidR="00346723" w:rsidRPr="008F7511" w:rsidRDefault="00346723" w:rsidP="00EC50CA">
            <w:pPr>
              <w:pStyle w:val="Normal6a"/>
              <w:rPr>
                <w:b/>
                <w:i/>
              </w:rPr>
            </w:pPr>
            <w:r w:rsidRPr="008F7511">
              <w:rPr>
                <w:b/>
                <w:i/>
              </w:rPr>
              <w:t>A Bizottság e célból megfelelő jogalkotási javaslatokat terjeszt elő.</w:t>
            </w:r>
          </w:p>
        </w:tc>
      </w:tr>
      <w:tr w:rsidR="00346723" w:rsidRPr="008F7511" w14:paraId="14437E06" w14:textId="77777777" w:rsidTr="00EC50CA">
        <w:trPr>
          <w:jc w:val="center"/>
        </w:trPr>
        <w:tc>
          <w:tcPr>
            <w:tcW w:w="4876" w:type="dxa"/>
          </w:tcPr>
          <w:p w14:paraId="74F06F1A" w14:textId="77777777" w:rsidR="00346723" w:rsidRPr="008F7511" w:rsidRDefault="00346723" w:rsidP="00EC50CA">
            <w:pPr>
              <w:pStyle w:val="Normal6a"/>
            </w:pPr>
          </w:p>
        </w:tc>
        <w:tc>
          <w:tcPr>
            <w:tcW w:w="4876" w:type="dxa"/>
          </w:tcPr>
          <w:p w14:paraId="46E32D09" w14:textId="77777777" w:rsidR="00346723" w:rsidRPr="008F7511" w:rsidRDefault="00346723" w:rsidP="00EC50CA">
            <w:pPr>
              <w:pStyle w:val="Normal6a"/>
              <w:rPr>
                <w:b/>
                <w:i/>
              </w:rPr>
            </w:pPr>
            <w:r w:rsidRPr="008F7511">
              <w:rPr>
                <w:b/>
                <w:i/>
              </w:rPr>
              <w:t>Az e bekezdésben meghatározott célkitűzések megvalósítása érdekében a 2021–2027-es időszakra szóló többéves pénzügyi keret félidős felülvizsgálatát többek között fel kell használni a jogszabályok kiigazítására és – szükség esetén – új jogszabályok elfogadására.</w:t>
            </w:r>
          </w:p>
        </w:tc>
      </w:tr>
    </w:tbl>
    <w:p w14:paraId="7C467827" w14:textId="77777777" w:rsidR="00346723" w:rsidRPr="008F7511" w:rsidRDefault="00346723" w:rsidP="00346723">
      <w:pPr>
        <w:pStyle w:val="AmNumberTabs"/>
      </w:pPr>
      <w:r w:rsidRPr="008F7511">
        <w:t>Módosítás</w:t>
      </w:r>
      <w:r w:rsidRPr="008F7511">
        <w:tab/>
      </w:r>
      <w:r w:rsidRPr="008F7511">
        <w:tab/>
        <w:t>27</w:t>
      </w:r>
    </w:p>
    <w:p w14:paraId="367C776A" w14:textId="77777777" w:rsidR="00346723" w:rsidRPr="008F7511" w:rsidRDefault="00346723" w:rsidP="00346723">
      <w:pPr>
        <w:pStyle w:val="NormalBold12b"/>
      </w:pPr>
      <w:r w:rsidRPr="008F7511">
        <w:t>Határozatra irányuló tervezet</w:t>
      </w:r>
    </w:p>
    <w:p w14:paraId="5FFDF21A" w14:textId="77777777" w:rsidR="00346723" w:rsidRPr="008F7511" w:rsidRDefault="00346723" w:rsidP="00346723">
      <w:pPr>
        <w:pStyle w:val="NormalBold"/>
      </w:pPr>
      <w:r w:rsidRPr="008F7511">
        <w:t>3 cikk – 1 bekezdés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46723" w:rsidRPr="008F7511" w14:paraId="54FE8268" w14:textId="77777777" w:rsidTr="00EC50CA">
        <w:trPr>
          <w:jc w:val="center"/>
        </w:trPr>
        <w:tc>
          <w:tcPr>
            <w:tcW w:w="9752" w:type="dxa"/>
            <w:gridSpan w:val="2"/>
          </w:tcPr>
          <w:p w14:paraId="2C3DAC0F" w14:textId="77777777" w:rsidR="00346723" w:rsidRPr="008F7511" w:rsidRDefault="00346723" w:rsidP="00EC50CA">
            <w:pPr>
              <w:keepNext/>
            </w:pPr>
          </w:p>
        </w:tc>
      </w:tr>
      <w:tr w:rsidR="00346723" w:rsidRPr="008F7511" w14:paraId="28A702F3" w14:textId="77777777" w:rsidTr="00EC50CA">
        <w:trPr>
          <w:jc w:val="center"/>
        </w:trPr>
        <w:tc>
          <w:tcPr>
            <w:tcW w:w="4876" w:type="dxa"/>
          </w:tcPr>
          <w:p w14:paraId="42DDAA25" w14:textId="77777777" w:rsidR="00346723" w:rsidRPr="008F7511" w:rsidRDefault="00346723" w:rsidP="00EC50CA">
            <w:pPr>
              <w:pStyle w:val="AmColumnHeading"/>
              <w:keepNext/>
            </w:pPr>
            <w:r w:rsidRPr="008F7511">
              <w:t>A Tanács tervezete</w:t>
            </w:r>
          </w:p>
        </w:tc>
        <w:tc>
          <w:tcPr>
            <w:tcW w:w="4876" w:type="dxa"/>
          </w:tcPr>
          <w:p w14:paraId="4CD52987" w14:textId="77777777" w:rsidR="00346723" w:rsidRPr="008F7511" w:rsidRDefault="00346723" w:rsidP="00EC50CA">
            <w:pPr>
              <w:pStyle w:val="AmColumnHeading"/>
              <w:keepNext/>
            </w:pPr>
            <w:r w:rsidRPr="008F7511">
              <w:t>Módosítás</w:t>
            </w:r>
          </w:p>
        </w:tc>
      </w:tr>
      <w:tr w:rsidR="00346723" w:rsidRPr="008F7511" w14:paraId="3100958D" w14:textId="77777777" w:rsidTr="00EC50CA">
        <w:trPr>
          <w:jc w:val="center"/>
        </w:trPr>
        <w:tc>
          <w:tcPr>
            <w:tcW w:w="4876" w:type="dxa"/>
          </w:tcPr>
          <w:p w14:paraId="2A28F520" w14:textId="77777777" w:rsidR="00346723" w:rsidRPr="008F7511" w:rsidRDefault="00346723" w:rsidP="00EC50CA">
            <w:pPr>
              <w:pStyle w:val="Normal6a"/>
              <w:tabs>
                <w:tab w:val="left" w:pos="720"/>
                <w:tab w:val="left" w:pos="1320"/>
              </w:tabs>
            </w:pPr>
            <w:r w:rsidRPr="008F7511">
              <w:rPr>
                <w:szCs w:val="24"/>
              </w:rPr>
              <w:t xml:space="preserve">(1) </w:t>
            </w:r>
            <w:r w:rsidRPr="008F7511">
              <w:rPr>
                <w:szCs w:val="24"/>
              </w:rPr>
              <w:tab/>
            </w:r>
            <w:r w:rsidRPr="008F7511">
              <w:t xml:space="preserve">Az éves kifizetési előirányzatok fedezetéül az Unió számára allokált saját források teljes összege nem haladhatja meg a tagállamok összesített </w:t>
            </w:r>
            <w:r w:rsidRPr="008F7511">
              <w:rPr>
                <w:b/>
                <w:i/>
              </w:rPr>
              <w:t>GNI-jének</w:t>
            </w:r>
            <w:r w:rsidRPr="008F7511">
              <w:t xml:space="preserve"> </w:t>
            </w:r>
            <w:r w:rsidRPr="008F7511">
              <w:rPr>
                <w:b/>
                <w:i/>
              </w:rPr>
              <w:t>1,40%</w:t>
            </w:r>
            <w:r w:rsidRPr="008F7511">
              <w:t xml:space="preserve">-át. </w:t>
            </w:r>
          </w:p>
        </w:tc>
        <w:tc>
          <w:tcPr>
            <w:tcW w:w="4876" w:type="dxa"/>
          </w:tcPr>
          <w:p w14:paraId="0050A618" w14:textId="3C17E25A" w:rsidR="00346723" w:rsidRPr="008F7511" w:rsidRDefault="00346723" w:rsidP="00EC50CA">
            <w:pPr>
              <w:pStyle w:val="Normal6a"/>
              <w:rPr>
                <w:szCs w:val="24"/>
              </w:rPr>
            </w:pPr>
            <w:r w:rsidRPr="008F7511">
              <w:rPr>
                <w:szCs w:val="24"/>
              </w:rPr>
              <w:t xml:space="preserve">(1) </w:t>
            </w:r>
            <w:r w:rsidRPr="008F7511">
              <w:rPr>
                <w:szCs w:val="24"/>
              </w:rPr>
              <w:tab/>
            </w:r>
            <w:r w:rsidRPr="008F7511">
              <w:t xml:space="preserve">Az éves kifizetési előirányzatok fedezetéül az Unió számára allokált saját források teljes összege nem haladhatja meg a tagállamok összesített </w:t>
            </w:r>
            <w:r w:rsidRPr="008F7511">
              <w:rPr>
                <w:b/>
                <w:i/>
              </w:rPr>
              <w:t>bruttó nemzeti jövedelme összegének</w:t>
            </w:r>
            <w:r w:rsidRPr="008F7511">
              <w:t xml:space="preserve"> </w:t>
            </w:r>
            <w:r w:rsidRPr="008F7511">
              <w:rPr>
                <w:b/>
                <w:i/>
              </w:rPr>
              <w:t>1,50%</w:t>
            </w:r>
            <w:r w:rsidRPr="008F7511">
              <w:t>-át.</w:t>
            </w:r>
          </w:p>
        </w:tc>
      </w:tr>
    </w:tbl>
    <w:p w14:paraId="7E7609DA" w14:textId="77777777" w:rsidR="00346723" w:rsidRPr="008F7511" w:rsidRDefault="00346723" w:rsidP="00346723">
      <w:pPr>
        <w:pStyle w:val="AmNumberTabs"/>
      </w:pPr>
      <w:r w:rsidRPr="008F7511">
        <w:t>Módosítás</w:t>
      </w:r>
      <w:r w:rsidRPr="008F7511">
        <w:tab/>
      </w:r>
      <w:r w:rsidRPr="008F7511">
        <w:tab/>
        <w:t>28</w:t>
      </w:r>
    </w:p>
    <w:p w14:paraId="1164F14D" w14:textId="77777777" w:rsidR="00346723" w:rsidRPr="008F7511" w:rsidRDefault="00346723" w:rsidP="00346723">
      <w:pPr>
        <w:pStyle w:val="NormalBold12b"/>
      </w:pPr>
      <w:r w:rsidRPr="008F7511">
        <w:t>Határozatra irányuló tervezet</w:t>
      </w:r>
    </w:p>
    <w:p w14:paraId="6889C93F" w14:textId="77777777" w:rsidR="00346723" w:rsidRPr="008F7511" w:rsidRDefault="00346723" w:rsidP="00346723">
      <w:pPr>
        <w:pStyle w:val="NormalBold"/>
      </w:pPr>
      <w:r w:rsidRPr="008F7511">
        <w:lastRenderedPageBreak/>
        <w:t>3 cikk – 2 bekezdés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46723" w:rsidRPr="008F7511" w14:paraId="0AE1C9EB" w14:textId="77777777" w:rsidTr="00EC50CA">
        <w:trPr>
          <w:jc w:val="center"/>
        </w:trPr>
        <w:tc>
          <w:tcPr>
            <w:tcW w:w="9752" w:type="dxa"/>
            <w:gridSpan w:val="2"/>
          </w:tcPr>
          <w:p w14:paraId="08FA7186" w14:textId="77777777" w:rsidR="00346723" w:rsidRPr="008F7511" w:rsidRDefault="00346723" w:rsidP="00EC50CA">
            <w:pPr>
              <w:keepNext/>
            </w:pPr>
          </w:p>
        </w:tc>
      </w:tr>
      <w:tr w:rsidR="00346723" w:rsidRPr="008F7511" w14:paraId="1C5EA6F8" w14:textId="77777777" w:rsidTr="00EC50CA">
        <w:trPr>
          <w:jc w:val="center"/>
        </w:trPr>
        <w:tc>
          <w:tcPr>
            <w:tcW w:w="4876" w:type="dxa"/>
          </w:tcPr>
          <w:p w14:paraId="130C049B" w14:textId="77777777" w:rsidR="00346723" w:rsidRPr="008F7511" w:rsidRDefault="00346723" w:rsidP="00EC50CA">
            <w:pPr>
              <w:pStyle w:val="AmColumnHeading"/>
              <w:keepNext/>
            </w:pPr>
            <w:r w:rsidRPr="008F7511">
              <w:t>A Tanács tervezete</w:t>
            </w:r>
          </w:p>
        </w:tc>
        <w:tc>
          <w:tcPr>
            <w:tcW w:w="4876" w:type="dxa"/>
          </w:tcPr>
          <w:p w14:paraId="4F1965AE" w14:textId="77777777" w:rsidR="00346723" w:rsidRPr="008F7511" w:rsidRDefault="00346723" w:rsidP="00EC50CA">
            <w:pPr>
              <w:pStyle w:val="AmColumnHeading"/>
              <w:keepNext/>
            </w:pPr>
            <w:r w:rsidRPr="008F7511">
              <w:t>Módosítás</w:t>
            </w:r>
          </w:p>
        </w:tc>
      </w:tr>
      <w:tr w:rsidR="00346723" w:rsidRPr="008F7511" w14:paraId="38B0C1FC" w14:textId="77777777" w:rsidTr="00EC50CA">
        <w:trPr>
          <w:jc w:val="center"/>
        </w:trPr>
        <w:tc>
          <w:tcPr>
            <w:tcW w:w="4876" w:type="dxa"/>
          </w:tcPr>
          <w:p w14:paraId="76383B00" w14:textId="77777777" w:rsidR="00346723" w:rsidRPr="008F7511" w:rsidRDefault="00346723" w:rsidP="00EC50CA">
            <w:pPr>
              <w:pStyle w:val="Normal6a"/>
              <w:tabs>
                <w:tab w:val="left" w:pos="720"/>
                <w:tab w:val="left" w:pos="1320"/>
              </w:tabs>
            </w:pPr>
            <w:r w:rsidRPr="008F7511">
              <w:rPr>
                <w:b/>
                <w:i/>
                <w:szCs w:val="24"/>
              </w:rPr>
              <w:t xml:space="preserve">(2) </w:t>
            </w:r>
            <w:r w:rsidRPr="008F7511">
              <w:rPr>
                <w:b/>
                <w:i/>
                <w:szCs w:val="24"/>
              </w:rPr>
              <w:tab/>
            </w:r>
            <w:r w:rsidRPr="008F7511">
              <w:rPr>
                <w:b/>
                <w:i/>
              </w:rPr>
              <w:t>Az Unió költségvetésében szereplő kötelezettségvállalási előirányzatok teljes éves összege nem haladhatja meg a tagállamok összesített GNI-jének 1,46%-át.</w:t>
            </w:r>
          </w:p>
        </w:tc>
        <w:tc>
          <w:tcPr>
            <w:tcW w:w="4876" w:type="dxa"/>
          </w:tcPr>
          <w:p w14:paraId="663C7711" w14:textId="77777777" w:rsidR="00346723" w:rsidRPr="008F7511" w:rsidRDefault="00346723" w:rsidP="00EC50CA">
            <w:pPr>
              <w:pStyle w:val="Normal6a"/>
              <w:rPr>
                <w:b/>
                <w:i/>
                <w:szCs w:val="24"/>
              </w:rPr>
            </w:pPr>
            <w:r w:rsidRPr="008F7511">
              <w:rPr>
                <w:b/>
                <w:i/>
                <w:szCs w:val="24"/>
              </w:rPr>
              <w:t>törölve</w:t>
            </w:r>
          </w:p>
        </w:tc>
      </w:tr>
    </w:tbl>
    <w:p w14:paraId="700EAF38" w14:textId="77777777" w:rsidR="00346723" w:rsidRPr="008F7511" w:rsidRDefault="00346723" w:rsidP="00346723"/>
    <w:p w14:paraId="7E64ECE7" w14:textId="77777777" w:rsidR="00346723" w:rsidRPr="008F7511" w:rsidRDefault="00346723" w:rsidP="00346723">
      <w:pPr>
        <w:pStyle w:val="AmNumberTabs"/>
      </w:pPr>
      <w:r w:rsidRPr="008F7511">
        <w:t>Módosítás</w:t>
      </w:r>
      <w:r w:rsidRPr="008F7511">
        <w:tab/>
      </w:r>
      <w:r w:rsidRPr="008F7511">
        <w:tab/>
        <w:t>29</w:t>
      </w:r>
    </w:p>
    <w:p w14:paraId="00E159F9" w14:textId="77777777" w:rsidR="00346723" w:rsidRPr="008F7511" w:rsidRDefault="00346723" w:rsidP="00346723">
      <w:pPr>
        <w:pStyle w:val="NormalBold12b"/>
      </w:pPr>
      <w:r w:rsidRPr="008F7511">
        <w:t>Határozatra irányuló tervezet</w:t>
      </w:r>
    </w:p>
    <w:p w14:paraId="60456944" w14:textId="77777777" w:rsidR="00346723" w:rsidRPr="008F7511" w:rsidRDefault="00346723" w:rsidP="00346723">
      <w:pPr>
        <w:pStyle w:val="NormalBold"/>
      </w:pPr>
      <w:r w:rsidRPr="008F7511">
        <w:t>3 cikk – 3 bekezdés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46723" w:rsidRPr="008F7511" w14:paraId="0C370B29" w14:textId="77777777" w:rsidTr="00EC50CA">
        <w:trPr>
          <w:jc w:val="center"/>
        </w:trPr>
        <w:tc>
          <w:tcPr>
            <w:tcW w:w="9752" w:type="dxa"/>
            <w:gridSpan w:val="2"/>
          </w:tcPr>
          <w:p w14:paraId="61E43E4D" w14:textId="77777777" w:rsidR="00346723" w:rsidRPr="008F7511" w:rsidRDefault="00346723" w:rsidP="00EC50CA">
            <w:pPr>
              <w:keepNext/>
            </w:pPr>
          </w:p>
        </w:tc>
      </w:tr>
      <w:tr w:rsidR="00346723" w:rsidRPr="008F7511" w14:paraId="2C01B6E5" w14:textId="77777777" w:rsidTr="00EC50CA">
        <w:trPr>
          <w:jc w:val="center"/>
        </w:trPr>
        <w:tc>
          <w:tcPr>
            <w:tcW w:w="4876" w:type="dxa"/>
          </w:tcPr>
          <w:p w14:paraId="36B3C8AF" w14:textId="77777777" w:rsidR="00346723" w:rsidRPr="008F7511" w:rsidRDefault="00346723" w:rsidP="00EC50CA">
            <w:pPr>
              <w:pStyle w:val="AmColumnHeading"/>
              <w:keepNext/>
            </w:pPr>
            <w:r w:rsidRPr="008F7511">
              <w:t>A Tanács tervezete</w:t>
            </w:r>
          </w:p>
        </w:tc>
        <w:tc>
          <w:tcPr>
            <w:tcW w:w="4876" w:type="dxa"/>
          </w:tcPr>
          <w:p w14:paraId="2A26C288" w14:textId="77777777" w:rsidR="00346723" w:rsidRPr="008F7511" w:rsidRDefault="00346723" w:rsidP="00EC50CA">
            <w:pPr>
              <w:pStyle w:val="AmColumnHeading"/>
              <w:keepNext/>
            </w:pPr>
            <w:r w:rsidRPr="008F7511">
              <w:t>Módosítás</w:t>
            </w:r>
          </w:p>
        </w:tc>
      </w:tr>
      <w:tr w:rsidR="00346723" w:rsidRPr="008F7511" w14:paraId="274AE24B" w14:textId="77777777" w:rsidTr="00EC50CA">
        <w:trPr>
          <w:jc w:val="center"/>
        </w:trPr>
        <w:tc>
          <w:tcPr>
            <w:tcW w:w="4876" w:type="dxa"/>
          </w:tcPr>
          <w:p w14:paraId="58D240B6" w14:textId="77777777" w:rsidR="00346723" w:rsidRPr="008F7511" w:rsidRDefault="00346723" w:rsidP="00EC50CA">
            <w:pPr>
              <w:pStyle w:val="Normal6a"/>
              <w:tabs>
                <w:tab w:val="left" w:pos="720"/>
                <w:tab w:val="left" w:pos="1320"/>
              </w:tabs>
              <w:rPr>
                <w:b/>
                <w:i/>
              </w:rPr>
            </w:pPr>
            <w:r w:rsidRPr="008F7511">
              <w:rPr>
                <w:b/>
                <w:i/>
                <w:szCs w:val="24"/>
              </w:rPr>
              <w:t xml:space="preserve">(3) </w:t>
            </w:r>
            <w:r w:rsidRPr="008F7511">
              <w:rPr>
                <w:b/>
                <w:i/>
                <w:szCs w:val="24"/>
              </w:rPr>
              <w:tab/>
            </w:r>
            <w:r w:rsidRPr="008F7511">
              <w:rPr>
                <w:b/>
                <w:i/>
              </w:rPr>
              <w:t xml:space="preserve">Megfelelő arányt kell fenntartani a kötelezettségvállalási és a kifizetési előirányzatok között annak érdekében, hogy azok </w:t>
            </w:r>
            <w:proofErr w:type="spellStart"/>
            <w:r w:rsidRPr="008F7511">
              <w:rPr>
                <w:b/>
                <w:i/>
              </w:rPr>
              <w:t>összeegyeztethetőek</w:t>
            </w:r>
            <w:proofErr w:type="spellEnd"/>
            <w:r w:rsidRPr="008F7511">
              <w:rPr>
                <w:b/>
                <w:i/>
              </w:rPr>
              <w:t xml:space="preserve"> legyenek, valamint hogy lehetővé váljon az (1) bekezdés szerinti felső határ betartása a következő években.</w:t>
            </w:r>
          </w:p>
        </w:tc>
        <w:tc>
          <w:tcPr>
            <w:tcW w:w="4876" w:type="dxa"/>
          </w:tcPr>
          <w:p w14:paraId="150977F0" w14:textId="77777777" w:rsidR="00346723" w:rsidRPr="008F7511" w:rsidRDefault="00346723" w:rsidP="00EC50CA">
            <w:pPr>
              <w:pStyle w:val="Normal6a"/>
              <w:rPr>
                <w:b/>
                <w:i/>
                <w:szCs w:val="24"/>
              </w:rPr>
            </w:pPr>
            <w:r w:rsidRPr="008F7511">
              <w:rPr>
                <w:b/>
                <w:i/>
                <w:szCs w:val="24"/>
              </w:rPr>
              <w:t>törölve</w:t>
            </w:r>
          </w:p>
        </w:tc>
      </w:tr>
    </w:tbl>
    <w:p w14:paraId="7ED8223F" w14:textId="77777777" w:rsidR="00346723" w:rsidRPr="008F7511" w:rsidRDefault="00346723" w:rsidP="00346723"/>
    <w:p w14:paraId="44A6C445" w14:textId="77777777" w:rsidR="00346723" w:rsidRPr="008F7511" w:rsidRDefault="00346723" w:rsidP="00346723">
      <w:pPr>
        <w:pStyle w:val="AmNumberTabs"/>
        <w:keepNext/>
      </w:pPr>
      <w:r w:rsidRPr="008F7511">
        <w:t>Módosítás</w:t>
      </w:r>
      <w:r w:rsidRPr="008F7511">
        <w:tab/>
      </w:r>
      <w:r w:rsidRPr="008F7511">
        <w:tab/>
        <w:t>30</w:t>
      </w:r>
    </w:p>
    <w:p w14:paraId="4CC46ECC" w14:textId="77777777" w:rsidR="00346723" w:rsidRPr="008F7511" w:rsidRDefault="00346723" w:rsidP="00346723">
      <w:pPr>
        <w:pStyle w:val="NormalBold12b"/>
        <w:keepNext/>
      </w:pPr>
      <w:r w:rsidRPr="008F7511">
        <w:t>Határozatra irányuló tervezet</w:t>
      </w:r>
    </w:p>
    <w:p w14:paraId="26DB58E2" w14:textId="54DF30F6" w:rsidR="00346723" w:rsidRPr="008F7511" w:rsidRDefault="00346723" w:rsidP="00346723">
      <w:pPr>
        <w:pStyle w:val="NormalBold"/>
        <w:keepNext/>
      </w:pPr>
      <w:r w:rsidRPr="008F7511">
        <w:t>3 cikk – 4 bekezdés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46723" w:rsidRPr="008F7511" w14:paraId="0369CEE7" w14:textId="77777777" w:rsidTr="00EC50CA">
        <w:trPr>
          <w:jc w:val="center"/>
        </w:trPr>
        <w:tc>
          <w:tcPr>
            <w:tcW w:w="9752" w:type="dxa"/>
            <w:gridSpan w:val="2"/>
          </w:tcPr>
          <w:p w14:paraId="47EDA899" w14:textId="77777777" w:rsidR="00346723" w:rsidRPr="008F7511" w:rsidRDefault="00346723" w:rsidP="00EC50CA">
            <w:pPr>
              <w:keepNext/>
            </w:pPr>
          </w:p>
        </w:tc>
      </w:tr>
      <w:tr w:rsidR="00346723" w:rsidRPr="008F7511" w14:paraId="0038774B" w14:textId="77777777" w:rsidTr="00EC50CA">
        <w:trPr>
          <w:jc w:val="center"/>
        </w:trPr>
        <w:tc>
          <w:tcPr>
            <w:tcW w:w="4876" w:type="dxa"/>
          </w:tcPr>
          <w:p w14:paraId="0D3314D1" w14:textId="77777777" w:rsidR="00346723" w:rsidRPr="008F7511" w:rsidRDefault="00346723" w:rsidP="00EC50CA">
            <w:pPr>
              <w:pStyle w:val="AmColumnHeading"/>
              <w:keepNext/>
            </w:pPr>
            <w:r w:rsidRPr="008F7511">
              <w:t>A Tanács tervezete</w:t>
            </w:r>
          </w:p>
        </w:tc>
        <w:tc>
          <w:tcPr>
            <w:tcW w:w="4876" w:type="dxa"/>
          </w:tcPr>
          <w:p w14:paraId="7BB23F6F" w14:textId="77777777" w:rsidR="00346723" w:rsidRPr="008F7511" w:rsidRDefault="00346723" w:rsidP="00EC50CA">
            <w:pPr>
              <w:pStyle w:val="AmColumnHeading"/>
              <w:keepNext/>
            </w:pPr>
            <w:r w:rsidRPr="008F7511">
              <w:t>Módosítás</w:t>
            </w:r>
          </w:p>
        </w:tc>
      </w:tr>
      <w:tr w:rsidR="00346723" w:rsidRPr="008F7511" w14:paraId="5D8140F8" w14:textId="77777777" w:rsidTr="00EC50CA">
        <w:trPr>
          <w:jc w:val="center"/>
        </w:trPr>
        <w:tc>
          <w:tcPr>
            <w:tcW w:w="4876" w:type="dxa"/>
          </w:tcPr>
          <w:p w14:paraId="1145365D" w14:textId="77777777" w:rsidR="00346723" w:rsidRPr="008F7511" w:rsidRDefault="00346723" w:rsidP="00EC50CA">
            <w:pPr>
              <w:pStyle w:val="Normal6a"/>
              <w:rPr>
                <w:b/>
                <w:i/>
                <w:szCs w:val="24"/>
              </w:rPr>
            </w:pPr>
            <w:r w:rsidRPr="008F7511">
              <w:rPr>
                <w:b/>
                <w:i/>
                <w:szCs w:val="24"/>
              </w:rPr>
              <w:t>(4)</w:t>
            </w:r>
            <w:r w:rsidRPr="008F7511">
              <w:rPr>
                <w:b/>
                <w:i/>
                <w:szCs w:val="24"/>
              </w:rPr>
              <w:tab/>
              <w:t xml:space="preserve">Amennyiben az 549/2013/EU rendelet módosítása jelentősen megváltoztatja a GNI szintjét, a Bizottság a következő képlet alapján </w:t>
            </w:r>
            <w:proofErr w:type="spellStart"/>
            <w:r w:rsidRPr="008F7511">
              <w:rPr>
                <w:b/>
                <w:i/>
                <w:szCs w:val="24"/>
              </w:rPr>
              <w:t>újraszámítja</w:t>
            </w:r>
            <w:proofErr w:type="spellEnd"/>
            <w:r w:rsidRPr="008F7511">
              <w:rPr>
                <w:b/>
                <w:i/>
                <w:szCs w:val="24"/>
              </w:rPr>
              <w:t xml:space="preserve"> az (1) és a (2) bekezdésben meghatározott – a 3c. cikkel összhangban ideiglenesen megemelt – felső határokat: </w:t>
            </w:r>
          </w:p>
        </w:tc>
        <w:tc>
          <w:tcPr>
            <w:tcW w:w="4876" w:type="dxa"/>
          </w:tcPr>
          <w:p w14:paraId="27435785" w14:textId="77777777" w:rsidR="00346723" w:rsidRPr="008F7511" w:rsidRDefault="00346723" w:rsidP="00EC50CA">
            <w:pPr>
              <w:pStyle w:val="Normal6a"/>
              <w:rPr>
                <w:b/>
                <w:i/>
                <w:szCs w:val="24"/>
              </w:rPr>
            </w:pPr>
            <w:r w:rsidRPr="008F7511">
              <w:rPr>
                <w:b/>
                <w:i/>
              </w:rPr>
              <w:t>törölve</w:t>
            </w:r>
          </w:p>
        </w:tc>
      </w:tr>
      <w:tr w:rsidR="00346723" w:rsidRPr="008F7511" w14:paraId="73F31557" w14:textId="77777777" w:rsidTr="00EC50CA">
        <w:trPr>
          <w:jc w:val="center"/>
        </w:trPr>
        <w:tc>
          <w:tcPr>
            <w:tcW w:w="4876" w:type="dxa"/>
          </w:tcPr>
          <w:p w14:paraId="42A64A3A" w14:textId="77777777" w:rsidR="00346723" w:rsidRPr="008F7511" w:rsidRDefault="00346723" w:rsidP="00EC50CA">
            <w:pPr>
              <w:pStyle w:val="Normal6a"/>
              <w:rPr>
                <w:b/>
                <w:i/>
                <w:szCs w:val="24"/>
              </w:rPr>
            </w:pPr>
            <w:r w:rsidRPr="008F7511">
              <w:rPr>
                <w:b/>
                <w:i/>
                <w:szCs w:val="24"/>
              </w:rPr>
              <w:t xml:space="preserve">GNIt-2 + GNIt-1 + </w:t>
            </w:r>
            <w:proofErr w:type="spellStart"/>
            <w:r w:rsidRPr="008F7511">
              <w:rPr>
                <w:b/>
                <w:i/>
                <w:szCs w:val="24"/>
              </w:rPr>
              <w:t>GNIt</w:t>
            </w:r>
            <w:proofErr w:type="spellEnd"/>
            <w:r w:rsidRPr="008F7511">
              <w:rPr>
                <w:b/>
                <w:i/>
                <w:szCs w:val="24"/>
              </w:rPr>
              <w:t xml:space="preserve"> ESA </w:t>
            </w:r>
            <w:proofErr w:type="gramStart"/>
            <w:r w:rsidRPr="008F7511">
              <w:rPr>
                <w:b/>
                <w:i/>
                <w:szCs w:val="24"/>
              </w:rPr>
              <w:t>aktuális</w:t>
            </w:r>
            <w:proofErr w:type="gramEnd"/>
          </w:p>
        </w:tc>
        <w:tc>
          <w:tcPr>
            <w:tcW w:w="4876" w:type="dxa"/>
          </w:tcPr>
          <w:p w14:paraId="007A6EA3" w14:textId="77777777" w:rsidR="00346723" w:rsidRPr="008F7511" w:rsidRDefault="00346723" w:rsidP="00EC50CA">
            <w:pPr>
              <w:pStyle w:val="Normal6a"/>
              <w:rPr>
                <w:b/>
                <w:i/>
              </w:rPr>
            </w:pPr>
          </w:p>
        </w:tc>
      </w:tr>
      <w:tr w:rsidR="00346723" w:rsidRPr="008F7511" w14:paraId="49E6FD7E" w14:textId="77777777" w:rsidTr="00EC50CA">
        <w:trPr>
          <w:jc w:val="center"/>
        </w:trPr>
        <w:tc>
          <w:tcPr>
            <w:tcW w:w="4876" w:type="dxa"/>
          </w:tcPr>
          <w:p w14:paraId="4F86984D" w14:textId="77777777" w:rsidR="00346723" w:rsidRPr="008F7511" w:rsidRDefault="00346723" w:rsidP="00EC50CA">
            <w:pPr>
              <w:pStyle w:val="Normal6a"/>
              <w:rPr>
                <w:b/>
                <w:i/>
                <w:szCs w:val="24"/>
              </w:rPr>
            </w:pPr>
            <w:r w:rsidRPr="008F7511">
              <w:rPr>
                <w:b/>
                <w:i/>
                <w:szCs w:val="24"/>
              </w:rPr>
              <w:t>x% (y %</w:t>
            </w:r>
            <w:proofErr w:type="gramStart"/>
            <w:r w:rsidRPr="008F7511">
              <w:rPr>
                <w:b/>
                <w:i/>
                <w:szCs w:val="24"/>
              </w:rPr>
              <w:t>)  *</w:t>
            </w:r>
            <w:proofErr w:type="gramEnd"/>
            <w:r w:rsidRPr="008F7511">
              <w:rPr>
                <w:b/>
                <w:i/>
                <w:szCs w:val="24"/>
              </w:rPr>
              <w:t>_________________</w:t>
            </w:r>
          </w:p>
        </w:tc>
        <w:tc>
          <w:tcPr>
            <w:tcW w:w="4876" w:type="dxa"/>
          </w:tcPr>
          <w:p w14:paraId="798DA45A" w14:textId="77777777" w:rsidR="00346723" w:rsidRPr="008F7511" w:rsidRDefault="00346723" w:rsidP="00EC50CA">
            <w:pPr>
              <w:pStyle w:val="Normal6a"/>
              <w:rPr>
                <w:b/>
                <w:i/>
              </w:rPr>
            </w:pPr>
          </w:p>
        </w:tc>
      </w:tr>
      <w:tr w:rsidR="00346723" w:rsidRPr="008F7511" w14:paraId="2C411B94" w14:textId="77777777" w:rsidTr="00EC50CA">
        <w:trPr>
          <w:jc w:val="center"/>
        </w:trPr>
        <w:tc>
          <w:tcPr>
            <w:tcW w:w="4876" w:type="dxa"/>
          </w:tcPr>
          <w:p w14:paraId="3D979AB9" w14:textId="77777777" w:rsidR="00346723" w:rsidRPr="008F7511" w:rsidRDefault="00346723" w:rsidP="00EC50CA">
            <w:pPr>
              <w:pStyle w:val="Normal6a"/>
              <w:rPr>
                <w:b/>
                <w:i/>
                <w:szCs w:val="24"/>
              </w:rPr>
            </w:pPr>
            <w:r w:rsidRPr="008F7511">
              <w:rPr>
                <w:b/>
                <w:i/>
                <w:szCs w:val="24"/>
              </w:rPr>
              <w:t xml:space="preserve">GNIt-2 + GNIt-1 + </w:t>
            </w:r>
            <w:proofErr w:type="spellStart"/>
            <w:r w:rsidRPr="008F7511">
              <w:rPr>
                <w:b/>
                <w:i/>
                <w:szCs w:val="24"/>
              </w:rPr>
              <w:t>GNIt</w:t>
            </w:r>
            <w:proofErr w:type="spellEnd"/>
            <w:r w:rsidRPr="008F7511">
              <w:rPr>
                <w:b/>
                <w:i/>
                <w:szCs w:val="24"/>
              </w:rPr>
              <w:t xml:space="preserve"> ESA módosított</w:t>
            </w:r>
          </w:p>
        </w:tc>
        <w:tc>
          <w:tcPr>
            <w:tcW w:w="4876" w:type="dxa"/>
          </w:tcPr>
          <w:p w14:paraId="7C177DC6" w14:textId="77777777" w:rsidR="00346723" w:rsidRPr="008F7511" w:rsidRDefault="00346723" w:rsidP="00EC50CA">
            <w:pPr>
              <w:pStyle w:val="Normal6a"/>
              <w:rPr>
                <w:b/>
                <w:i/>
              </w:rPr>
            </w:pPr>
          </w:p>
        </w:tc>
      </w:tr>
      <w:tr w:rsidR="00346723" w:rsidRPr="008F7511" w14:paraId="18E49098" w14:textId="77777777" w:rsidTr="00EC50CA">
        <w:trPr>
          <w:jc w:val="center"/>
        </w:trPr>
        <w:tc>
          <w:tcPr>
            <w:tcW w:w="4876" w:type="dxa"/>
          </w:tcPr>
          <w:p w14:paraId="58CBBFFA" w14:textId="77777777" w:rsidR="00346723" w:rsidRPr="008F7511" w:rsidRDefault="00346723" w:rsidP="00EC50CA">
            <w:pPr>
              <w:pStyle w:val="Normal6a"/>
              <w:rPr>
                <w:b/>
                <w:i/>
                <w:szCs w:val="24"/>
              </w:rPr>
            </w:pPr>
            <w:r w:rsidRPr="008F7511">
              <w:rPr>
                <w:b/>
                <w:i/>
                <w:szCs w:val="24"/>
              </w:rPr>
              <w:t>A képletben a „t” az utolsó olyan teljes évet jelöli, amelyre vonatkozóan rendelkezésre állnak az (EU) 2019/516 rendeletben</w:t>
            </w:r>
            <w:r w:rsidRPr="008F7511">
              <w:rPr>
                <w:b/>
                <w:i/>
                <w:szCs w:val="24"/>
                <w:vertAlign w:val="superscript"/>
              </w:rPr>
              <w:t>5</w:t>
            </w:r>
            <w:r w:rsidRPr="008F7511">
              <w:rPr>
                <w:b/>
                <w:i/>
                <w:szCs w:val="24"/>
              </w:rPr>
              <w:t xml:space="preserve"> meghatározott adatok, „x” a saját források felső határa a kifizetési </w:t>
            </w:r>
            <w:r w:rsidRPr="008F7511">
              <w:rPr>
                <w:b/>
                <w:i/>
                <w:szCs w:val="24"/>
              </w:rPr>
              <w:lastRenderedPageBreak/>
              <w:t>előirányzatok tekintetében, „y” pedig a saját források felső határa a kötelezettségvállalási előirányzatok tekintetében.</w:t>
            </w:r>
          </w:p>
        </w:tc>
        <w:tc>
          <w:tcPr>
            <w:tcW w:w="4876" w:type="dxa"/>
          </w:tcPr>
          <w:p w14:paraId="1B90B10A" w14:textId="77777777" w:rsidR="00346723" w:rsidRPr="008F7511" w:rsidRDefault="00346723" w:rsidP="00EC50CA">
            <w:pPr>
              <w:pStyle w:val="Normal6a"/>
              <w:rPr>
                <w:b/>
                <w:i/>
              </w:rPr>
            </w:pPr>
          </w:p>
        </w:tc>
      </w:tr>
      <w:tr w:rsidR="00346723" w:rsidRPr="008F7511" w14:paraId="136288C2" w14:textId="77777777" w:rsidTr="00EC50CA">
        <w:trPr>
          <w:jc w:val="center"/>
        </w:trPr>
        <w:tc>
          <w:tcPr>
            <w:tcW w:w="4876" w:type="dxa"/>
          </w:tcPr>
          <w:p w14:paraId="138BE765" w14:textId="77777777" w:rsidR="00346723" w:rsidRPr="008F7511" w:rsidRDefault="00346723" w:rsidP="00EC50CA">
            <w:pPr>
              <w:pStyle w:val="Normal6a"/>
              <w:rPr>
                <w:b/>
                <w:i/>
                <w:szCs w:val="24"/>
              </w:rPr>
            </w:pPr>
            <w:r w:rsidRPr="008F7511">
              <w:rPr>
                <w:b/>
                <w:i/>
                <w:szCs w:val="24"/>
              </w:rPr>
              <w:t>A képletben az „ESA” a nemzeti és regionális számlák európai rendszere az Unióban.</w:t>
            </w:r>
          </w:p>
        </w:tc>
        <w:tc>
          <w:tcPr>
            <w:tcW w:w="4876" w:type="dxa"/>
          </w:tcPr>
          <w:p w14:paraId="7938CECD" w14:textId="77777777" w:rsidR="00346723" w:rsidRPr="008F7511" w:rsidRDefault="00346723" w:rsidP="00EC50CA">
            <w:pPr>
              <w:pStyle w:val="Normal6a"/>
              <w:rPr>
                <w:b/>
                <w:i/>
              </w:rPr>
            </w:pPr>
          </w:p>
        </w:tc>
      </w:tr>
      <w:tr w:rsidR="00346723" w:rsidRPr="008F7511" w14:paraId="669B6CF5" w14:textId="77777777" w:rsidTr="00EC50CA">
        <w:trPr>
          <w:jc w:val="center"/>
        </w:trPr>
        <w:tc>
          <w:tcPr>
            <w:tcW w:w="4876" w:type="dxa"/>
          </w:tcPr>
          <w:p w14:paraId="46253EBC" w14:textId="77777777" w:rsidR="00346723" w:rsidRPr="008F7511" w:rsidRDefault="00346723" w:rsidP="00EC50CA">
            <w:pPr>
              <w:pStyle w:val="Normal6a"/>
              <w:rPr>
                <w:b/>
                <w:i/>
                <w:szCs w:val="24"/>
              </w:rPr>
            </w:pPr>
            <w:r w:rsidRPr="008F7511">
              <w:rPr>
                <w:b/>
                <w:i/>
                <w:szCs w:val="24"/>
              </w:rPr>
              <w:t>___________________</w:t>
            </w:r>
          </w:p>
        </w:tc>
        <w:tc>
          <w:tcPr>
            <w:tcW w:w="4876" w:type="dxa"/>
          </w:tcPr>
          <w:p w14:paraId="1DE49E59" w14:textId="77777777" w:rsidR="00346723" w:rsidRPr="008F7511" w:rsidRDefault="00346723" w:rsidP="00EC50CA">
            <w:pPr>
              <w:pStyle w:val="Normal6a"/>
              <w:rPr>
                <w:b/>
                <w:i/>
              </w:rPr>
            </w:pPr>
          </w:p>
        </w:tc>
      </w:tr>
      <w:tr w:rsidR="00346723" w:rsidRPr="008F7511" w14:paraId="24D93B04" w14:textId="77777777" w:rsidTr="00EC50CA">
        <w:trPr>
          <w:jc w:val="center"/>
        </w:trPr>
        <w:tc>
          <w:tcPr>
            <w:tcW w:w="4876" w:type="dxa"/>
          </w:tcPr>
          <w:p w14:paraId="73AFEEC8" w14:textId="77777777" w:rsidR="00346723" w:rsidRPr="008F7511" w:rsidRDefault="00346723" w:rsidP="00EC50CA">
            <w:pPr>
              <w:pStyle w:val="Normal6a"/>
              <w:tabs>
                <w:tab w:val="left" w:pos="720"/>
                <w:tab w:val="left" w:pos="1320"/>
              </w:tabs>
              <w:rPr>
                <w:b/>
                <w:i/>
                <w:szCs w:val="24"/>
              </w:rPr>
            </w:pPr>
            <w:r w:rsidRPr="008F7511">
              <w:rPr>
                <w:b/>
                <w:i/>
                <w:szCs w:val="24"/>
                <w:vertAlign w:val="superscript"/>
              </w:rPr>
              <w:t>5</w:t>
            </w:r>
            <w:r w:rsidRPr="008F7511">
              <w:rPr>
                <w:b/>
                <w:i/>
                <w:szCs w:val="24"/>
              </w:rPr>
              <w:t xml:space="preserve"> Az Európai Parlament és a Tanács (EU) 2019/516 rendelete (2019. március 19.) a piaci áron számított bruttó nemzeti jövedelem összehangolásáról, valamint a 89/130/EGK, Euratom tanácsi irányelv és az 1287/2003/EK, Euratom tanácsi rendelet hatályon kívül helyezéséről (GNI-rendelet) (HL L 91., 2019.3.29</w:t>
            </w:r>
            <w:proofErr w:type="gramStart"/>
            <w:r w:rsidRPr="008F7511">
              <w:rPr>
                <w:b/>
                <w:i/>
                <w:szCs w:val="24"/>
              </w:rPr>
              <w:t>.,</w:t>
            </w:r>
            <w:proofErr w:type="gramEnd"/>
            <w:r w:rsidRPr="008F7511">
              <w:rPr>
                <w:b/>
                <w:i/>
                <w:szCs w:val="24"/>
              </w:rPr>
              <w:t xml:space="preserve"> 19. o.).</w:t>
            </w:r>
          </w:p>
        </w:tc>
        <w:tc>
          <w:tcPr>
            <w:tcW w:w="4876" w:type="dxa"/>
          </w:tcPr>
          <w:p w14:paraId="3F68718E" w14:textId="77777777" w:rsidR="00346723" w:rsidRPr="008F7511" w:rsidRDefault="00346723" w:rsidP="00EC50CA">
            <w:pPr>
              <w:pStyle w:val="Normal6a"/>
              <w:rPr>
                <w:szCs w:val="24"/>
              </w:rPr>
            </w:pPr>
          </w:p>
        </w:tc>
      </w:tr>
    </w:tbl>
    <w:p w14:paraId="3CB9C78B" w14:textId="77777777" w:rsidR="00346723" w:rsidRPr="008F7511" w:rsidRDefault="00346723" w:rsidP="00346723"/>
    <w:p w14:paraId="3E28F716" w14:textId="77777777" w:rsidR="00346723" w:rsidRPr="008F7511" w:rsidRDefault="00346723" w:rsidP="00346723">
      <w:pPr>
        <w:pStyle w:val="AmNumberTabs"/>
      </w:pPr>
      <w:r w:rsidRPr="008F7511">
        <w:t>Módosítás</w:t>
      </w:r>
      <w:r w:rsidRPr="008F7511">
        <w:tab/>
      </w:r>
      <w:r w:rsidRPr="008F7511">
        <w:tab/>
        <w:t>31</w:t>
      </w:r>
    </w:p>
    <w:p w14:paraId="449BEDCB" w14:textId="77777777" w:rsidR="00346723" w:rsidRPr="008F7511" w:rsidRDefault="00346723" w:rsidP="00346723">
      <w:pPr>
        <w:pStyle w:val="NormalBold12b"/>
      </w:pPr>
      <w:r w:rsidRPr="008F7511">
        <w:t>Határozatra irányuló tervezet</w:t>
      </w:r>
    </w:p>
    <w:p w14:paraId="2CFE66AE" w14:textId="77777777" w:rsidR="00346723" w:rsidRPr="008F7511" w:rsidRDefault="00346723" w:rsidP="00346723">
      <w:pPr>
        <w:pStyle w:val="NormalBold"/>
      </w:pPr>
      <w:r w:rsidRPr="008F7511">
        <w:t xml:space="preserve">3b cikk – 2 bekezdés – 1 </w:t>
      </w:r>
      <w:proofErr w:type="spellStart"/>
      <w:r w:rsidRPr="008F7511">
        <w:t>albekezdés</w:t>
      </w:r>
      <w:proofErr w:type="spellEnd"/>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46723" w:rsidRPr="008F7511" w14:paraId="7B003AD6" w14:textId="77777777" w:rsidTr="00EC50CA">
        <w:trPr>
          <w:jc w:val="center"/>
        </w:trPr>
        <w:tc>
          <w:tcPr>
            <w:tcW w:w="9752" w:type="dxa"/>
            <w:gridSpan w:val="2"/>
          </w:tcPr>
          <w:p w14:paraId="36B5E433" w14:textId="77777777" w:rsidR="00346723" w:rsidRPr="008F7511" w:rsidRDefault="00346723" w:rsidP="00EC50CA">
            <w:pPr>
              <w:keepNext/>
            </w:pPr>
          </w:p>
        </w:tc>
      </w:tr>
      <w:tr w:rsidR="00346723" w:rsidRPr="008F7511" w14:paraId="3D67E7C5" w14:textId="77777777" w:rsidTr="00EC50CA">
        <w:trPr>
          <w:jc w:val="center"/>
        </w:trPr>
        <w:tc>
          <w:tcPr>
            <w:tcW w:w="4876" w:type="dxa"/>
          </w:tcPr>
          <w:p w14:paraId="52DE1A6E" w14:textId="77777777" w:rsidR="00346723" w:rsidRPr="008F7511" w:rsidRDefault="00346723" w:rsidP="00EC50CA">
            <w:pPr>
              <w:pStyle w:val="AmColumnHeading"/>
              <w:keepNext/>
            </w:pPr>
            <w:r w:rsidRPr="008F7511">
              <w:t>A Tanács tervezete</w:t>
            </w:r>
          </w:p>
        </w:tc>
        <w:tc>
          <w:tcPr>
            <w:tcW w:w="4876" w:type="dxa"/>
          </w:tcPr>
          <w:p w14:paraId="2DA8BD03" w14:textId="77777777" w:rsidR="00346723" w:rsidRPr="008F7511" w:rsidRDefault="00346723" w:rsidP="00EC50CA">
            <w:pPr>
              <w:pStyle w:val="AmColumnHeading"/>
              <w:keepNext/>
            </w:pPr>
            <w:r w:rsidRPr="008F7511">
              <w:t>Módosítás</w:t>
            </w:r>
          </w:p>
        </w:tc>
      </w:tr>
      <w:tr w:rsidR="00346723" w:rsidRPr="008F7511" w14:paraId="2D29C2ED" w14:textId="77777777" w:rsidTr="00EC50CA">
        <w:trPr>
          <w:jc w:val="center"/>
        </w:trPr>
        <w:tc>
          <w:tcPr>
            <w:tcW w:w="4876" w:type="dxa"/>
          </w:tcPr>
          <w:p w14:paraId="56333593" w14:textId="77777777" w:rsidR="00346723" w:rsidRPr="008F7511" w:rsidRDefault="00346723" w:rsidP="00EC50CA">
            <w:pPr>
              <w:pStyle w:val="Normal6a"/>
              <w:tabs>
                <w:tab w:val="left" w:pos="720"/>
                <w:tab w:val="left" w:pos="1320"/>
              </w:tabs>
            </w:pPr>
            <w:r w:rsidRPr="008F7511">
              <w:t xml:space="preserve">Az (1) bekezdés b) pontjában említett kiadásokra felhasznált pénzeszközök tőkeösszegének és a kapcsolódó esedékes kamatnak a visszafizetését az Unió általános </w:t>
            </w:r>
            <w:r w:rsidRPr="008F7511">
              <w:rPr>
                <w:b/>
                <w:i/>
              </w:rPr>
              <w:t>költségvetéséből</w:t>
            </w:r>
            <w:r w:rsidRPr="008F7511">
              <w:t xml:space="preserve"> kell fedezni. A költségvetési kötelezettségvállalások az (EU, Euratom) 2018/1046 </w:t>
            </w:r>
            <w:r w:rsidRPr="008F7511">
              <w:rPr>
                <w:b/>
                <w:i/>
              </w:rPr>
              <w:t xml:space="preserve">európai parlamenti és tanácsi </w:t>
            </w:r>
            <w:r w:rsidRPr="008F7511">
              <w:t>rendelet</w:t>
            </w:r>
            <w:r w:rsidRPr="008F7511">
              <w:rPr>
                <w:b/>
                <w:bCs/>
                <w:i/>
                <w:vertAlign w:val="superscript"/>
              </w:rPr>
              <w:t>6</w:t>
            </w:r>
            <w:r w:rsidRPr="008F7511">
              <w:t xml:space="preserve"> 112. cikkének (2) bekezdésével összhangban több éven keresztül éves részletekre bonthatók.</w:t>
            </w:r>
          </w:p>
        </w:tc>
        <w:tc>
          <w:tcPr>
            <w:tcW w:w="4876" w:type="dxa"/>
          </w:tcPr>
          <w:p w14:paraId="059B2D69" w14:textId="11662257" w:rsidR="00346723" w:rsidRPr="008F7511" w:rsidRDefault="00346723" w:rsidP="00765F52">
            <w:pPr>
              <w:pStyle w:val="Normal6a"/>
              <w:rPr>
                <w:szCs w:val="24"/>
              </w:rPr>
            </w:pPr>
            <w:r w:rsidRPr="008F7511">
              <w:rPr>
                <w:szCs w:val="24"/>
              </w:rPr>
              <w:t xml:space="preserve">Az (1) bekezdés b) pontjában említett kiadásokra felhasznált pénzeszközök tőkeösszegének és a kapcsolódó esedékes kamatnak a visszafizetését az Unió általános </w:t>
            </w:r>
            <w:r w:rsidRPr="008F7511">
              <w:rPr>
                <w:b/>
                <w:i/>
                <w:szCs w:val="24"/>
              </w:rPr>
              <w:t>költségvetésébe bevezetett új saját források bevételeiből</w:t>
            </w:r>
            <w:r w:rsidRPr="008F7511">
              <w:rPr>
                <w:szCs w:val="24"/>
              </w:rPr>
              <w:t xml:space="preserve"> kell fedezni. A költségvetési kötelezettségvállalások az (EU, Euratom) 2018/1046 rendelet 112. cikkének (2) bekezdésével összhangban több éven keresztül éves részletekre bonthatók.</w:t>
            </w:r>
          </w:p>
        </w:tc>
      </w:tr>
      <w:tr w:rsidR="00346723" w:rsidRPr="008F7511" w14:paraId="311F8F4C" w14:textId="77777777" w:rsidTr="00EC50CA">
        <w:trPr>
          <w:jc w:val="center"/>
        </w:trPr>
        <w:tc>
          <w:tcPr>
            <w:tcW w:w="4876" w:type="dxa"/>
          </w:tcPr>
          <w:p w14:paraId="3627D743" w14:textId="77777777" w:rsidR="00346723" w:rsidRPr="008F7511" w:rsidRDefault="00346723" w:rsidP="00EC50CA">
            <w:pPr>
              <w:pStyle w:val="Normal6a"/>
              <w:tabs>
                <w:tab w:val="left" w:pos="720"/>
                <w:tab w:val="left" w:pos="1320"/>
              </w:tabs>
              <w:rPr>
                <w:szCs w:val="24"/>
              </w:rPr>
            </w:pPr>
            <w:r w:rsidRPr="008F7511">
              <w:rPr>
                <w:szCs w:val="24"/>
              </w:rPr>
              <w:t>_____________________</w:t>
            </w:r>
          </w:p>
        </w:tc>
        <w:tc>
          <w:tcPr>
            <w:tcW w:w="4876" w:type="dxa"/>
          </w:tcPr>
          <w:p w14:paraId="317A0506" w14:textId="77777777" w:rsidR="00346723" w:rsidRPr="008F7511" w:rsidRDefault="00346723" w:rsidP="00EC50CA">
            <w:pPr>
              <w:pStyle w:val="Normal6a"/>
              <w:rPr>
                <w:szCs w:val="24"/>
              </w:rPr>
            </w:pPr>
          </w:p>
        </w:tc>
      </w:tr>
      <w:tr w:rsidR="00346723" w:rsidRPr="008F7511" w14:paraId="6C5AC408" w14:textId="77777777" w:rsidTr="00EC50CA">
        <w:trPr>
          <w:jc w:val="center"/>
        </w:trPr>
        <w:tc>
          <w:tcPr>
            <w:tcW w:w="4876" w:type="dxa"/>
          </w:tcPr>
          <w:p w14:paraId="22C92177" w14:textId="33A59398" w:rsidR="00346723" w:rsidRPr="008F7511" w:rsidRDefault="00346723" w:rsidP="00EC50CA">
            <w:pPr>
              <w:pStyle w:val="Normal6a"/>
              <w:tabs>
                <w:tab w:val="left" w:pos="720"/>
                <w:tab w:val="left" w:pos="1320"/>
              </w:tabs>
              <w:rPr>
                <w:b/>
                <w:i/>
                <w:szCs w:val="24"/>
              </w:rPr>
            </w:pPr>
            <w:r w:rsidRPr="008F7511">
              <w:rPr>
                <w:b/>
                <w:i/>
                <w:szCs w:val="24"/>
                <w:vertAlign w:val="superscript"/>
              </w:rPr>
              <w:t>6</w:t>
            </w:r>
            <w:r w:rsidRPr="008F7511">
              <w:rPr>
                <w:b/>
                <w:i/>
                <w:szCs w:val="24"/>
              </w:rPr>
              <w:t xml:space="preserve"> </w:t>
            </w:r>
            <w:proofErr w:type="gramStart"/>
            <w:r w:rsidRPr="008F7511">
              <w:rPr>
                <w:b/>
                <w:i/>
                <w:szCs w:val="24"/>
              </w:rPr>
              <w:t xml:space="preserve">Az Európai Parlament és a Tanács (EU, Euratom) 2018/1046 rendelete (2018. július 18.) az Unió általános költségvetésére alkalmazandó pénzügyi szabályokról, az 1296/2013/EU, az 1301/2013/EU, az 1303/2013/EU, az 1304/2013/EU, az 1309/2013/EU, az 1316/2013/EU, a 223/2014/EU és a 283/2014/EU rendelet és az 541/2014/EU határozat módosításáról, valamint a </w:t>
            </w:r>
            <w:r w:rsidRPr="008F7511">
              <w:rPr>
                <w:b/>
                <w:i/>
                <w:szCs w:val="24"/>
              </w:rPr>
              <w:lastRenderedPageBreak/>
              <w:t>966/2012/EU, Euratom rendelet hatályon kívül helyezéséről (HL L 193., 2018.7.30., 1. o.).</w:t>
            </w:r>
            <w:proofErr w:type="gramEnd"/>
          </w:p>
        </w:tc>
        <w:tc>
          <w:tcPr>
            <w:tcW w:w="4876" w:type="dxa"/>
          </w:tcPr>
          <w:p w14:paraId="19159751" w14:textId="77777777" w:rsidR="00346723" w:rsidRPr="008F7511" w:rsidRDefault="00346723" w:rsidP="00EC50CA">
            <w:pPr>
              <w:pStyle w:val="Normal6a"/>
              <w:rPr>
                <w:szCs w:val="24"/>
              </w:rPr>
            </w:pPr>
          </w:p>
        </w:tc>
      </w:tr>
    </w:tbl>
    <w:p w14:paraId="711F5D4A" w14:textId="77777777" w:rsidR="00346723" w:rsidRPr="008F7511" w:rsidRDefault="00346723" w:rsidP="00346723"/>
    <w:p w14:paraId="5B4ADFC9" w14:textId="77777777" w:rsidR="00346723" w:rsidRPr="008F7511" w:rsidRDefault="00346723" w:rsidP="00346723">
      <w:pPr>
        <w:pStyle w:val="AmNumberTabs"/>
      </w:pPr>
      <w:r w:rsidRPr="008F7511">
        <w:t>Módosítás</w:t>
      </w:r>
      <w:r w:rsidRPr="008F7511">
        <w:tab/>
      </w:r>
      <w:r w:rsidRPr="008F7511">
        <w:tab/>
        <w:t>32</w:t>
      </w:r>
    </w:p>
    <w:p w14:paraId="6277FE41" w14:textId="77777777" w:rsidR="00346723" w:rsidRPr="008F7511" w:rsidRDefault="00346723" w:rsidP="00346723">
      <w:pPr>
        <w:pStyle w:val="NormalBold12b"/>
      </w:pPr>
      <w:r w:rsidRPr="008F7511">
        <w:t>Határozatra irányuló tervezet</w:t>
      </w:r>
    </w:p>
    <w:p w14:paraId="3061F475" w14:textId="77777777" w:rsidR="00346723" w:rsidRPr="008F7511" w:rsidRDefault="00346723" w:rsidP="00346723">
      <w:pPr>
        <w:pStyle w:val="NormalBold"/>
      </w:pPr>
      <w:r w:rsidRPr="008F7511">
        <w:t>5 cikk</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46723" w:rsidRPr="008F7511" w14:paraId="4F270D63" w14:textId="77777777" w:rsidTr="00EC50CA">
        <w:trPr>
          <w:jc w:val="center"/>
        </w:trPr>
        <w:tc>
          <w:tcPr>
            <w:tcW w:w="9752" w:type="dxa"/>
            <w:gridSpan w:val="2"/>
          </w:tcPr>
          <w:p w14:paraId="38EBF51C" w14:textId="77777777" w:rsidR="00346723" w:rsidRPr="008F7511" w:rsidRDefault="00346723" w:rsidP="00EC50CA">
            <w:pPr>
              <w:keepNext/>
              <w:widowControl/>
              <w:rPr>
                <w:szCs w:val="24"/>
              </w:rPr>
            </w:pPr>
          </w:p>
        </w:tc>
      </w:tr>
      <w:tr w:rsidR="00346723" w:rsidRPr="008F7511" w14:paraId="521165AC" w14:textId="77777777" w:rsidTr="00EC50CA">
        <w:trPr>
          <w:jc w:val="center"/>
        </w:trPr>
        <w:tc>
          <w:tcPr>
            <w:tcW w:w="4876" w:type="dxa"/>
          </w:tcPr>
          <w:p w14:paraId="28395D1E" w14:textId="77777777" w:rsidR="00346723" w:rsidRPr="008F7511" w:rsidRDefault="00346723" w:rsidP="00EC50CA">
            <w:pPr>
              <w:pStyle w:val="AmColumnHeading"/>
            </w:pPr>
            <w:r w:rsidRPr="008F7511">
              <w:t>A Tanács tervezete</w:t>
            </w:r>
          </w:p>
        </w:tc>
        <w:tc>
          <w:tcPr>
            <w:tcW w:w="4876" w:type="dxa"/>
          </w:tcPr>
          <w:p w14:paraId="3BB60CAF" w14:textId="77777777" w:rsidR="00346723" w:rsidRPr="008F7511" w:rsidRDefault="00346723" w:rsidP="00EC50CA">
            <w:pPr>
              <w:pStyle w:val="AmColumnHeading"/>
            </w:pPr>
            <w:r w:rsidRPr="008F7511">
              <w:t>Módosítás</w:t>
            </w:r>
          </w:p>
        </w:tc>
      </w:tr>
      <w:tr w:rsidR="00346723" w:rsidRPr="008F7511" w14:paraId="2F2C7E50" w14:textId="77777777" w:rsidTr="00EC50CA">
        <w:trPr>
          <w:jc w:val="center"/>
        </w:trPr>
        <w:tc>
          <w:tcPr>
            <w:tcW w:w="4876" w:type="dxa"/>
          </w:tcPr>
          <w:p w14:paraId="007657FF" w14:textId="77777777" w:rsidR="00346723" w:rsidRPr="008F7511" w:rsidRDefault="00346723" w:rsidP="00EC50CA">
            <w:pPr>
              <w:pStyle w:val="Normal6a"/>
              <w:jc w:val="center"/>
              <w:rPr>
                <w:b/>
                <w:bCs/>
                <w:i/>
                <w:iCs/>
              </w:rPr>
            </w:pPr>
            <w:r w:rsidRPr="008F7511">
              <w:rPr>
                <w:b/>
                <w:i/>
                <w:szCs w:val="24"/>
              </w:rPr>
              <w:t>5 cikk</w:t>
            </w:r>
          </w:p>
        </w:tc>
        <w:tc>
          <w:tcPr>
            <w:tcW w:w="4876" w:type="dxa"/>
          </w:tcPr>
          <w:p w14:paraId="571A8350" w14:textId="77777777" w:rsidR="00346723" w:rsidRPr="008F7511" w:rsidRDefault="00346723" w:rsidP="00EC50CA">
            <w:pPr>
              <w:pStyle w:val="Normal6a"/>
              <w:rPr>
                <w:b/>
                <w:bCs/>
                <w:i/>
                <w:iCs/>
              </w:rPr>
            </w:pPr>
            <w:r w:rsidRPr="008F7511">
              <w:rPr>
                <w:b/>
                <w:bCs/>
                <w:i/>
                <w:iCs/>
              </w:rPr>
              <w:t>törölve</w:t>
            </w:r>
          </w:p>
        </w:tc>
      </w:tr>
      <w:tr w:rsidR="00346723" w:rsidRPr="008F7511" w14:paraId="1BAABECB" w14:textId="77777777" w:rsidTr="00EC50CA">
        <w:trPr>
          <w:jc w:val="center"/>
        </w:trPr>
        <w:tc>
          <w:tcPr>
            <w:tcW w:w="4876" w:type="dxa"/>
          </w:tcPr>
          <w:p w14:paraId="58F697BB" w14:textId="77777777" w:rsidR="00346723" w:rsidRPr="008F7511" w:rsidRDefault="00346723" w:rsidP="00EC50CA">
            <w:pPr>
              <w:pStyle w:val="Normal6a"/>
              <w:jc w:val="center"/>
              <w:rPr>
                <w:b/>
                <w:bCs/>
                <w:i/>
                <w:iCs/>
              </w:rPr>
            </w:pPr>
            <w:r w:rsidRPr="008F7511">
              <w:rPr>
                <w:b/>
                <w:i/>
                <w:szCs w:val="24"/>
              </w:rPr>
              <w:t xml:space="preserve">A többlet átvitele </w:t>
            </w:r>
          </w:p>
        </w:tc>
        <w:tc>
          <w:tcPr>
            <w:tcW w:w="4876" w:type="dxa"/>
          </w:tcPr>
          <w:p w14:paraId="0727C484" w14:textId="77777777" w:rsidR="00346723" w:rsidRPr="008F7511" w:rsidRDefault="00346723" w:rsidP="00EC50CA">
            <w:pPr>
              <w:pStyle w:val="Normal6a"/>
              <w:rPr>
                <w:b/>
                <w:bCs/>
                <w:i/>
                <w:iCs/>
              </w:rPr>
            </w:pPr>
          </w:p>
        </w:tc>
      </w:tr>
      <w:tr w:rsidR="00346723" w:rsidRPr="008F7511" w14:paraId="1D56D252" w14:textId="77777777" w:rsidTr="00EC50CA">
        <w:trPr>
          <w:jc w:val="center"/>
        </w:trPr>
        <w:tc>
          <w:tcPr>
            <w:tcW w:w="4876" w:type="dxa"/>
          </w:tcPr>
          <w:p w14:paraId="00662620" w14:textId="77777777" w:rsidR="00346723" w:rsidRPr="008F7511" w:rsidRDefault="00346723" w:rsidP="00EC50CA">
            <w:pPr>
              <w:pStyle w:val="Normal6a"/>
            </w:pPr>
            <w:r w:rsidRPr="008F7511">
              <w:rPr>
                <w:b/>
                <w:bCs/>
                <w:i/>
                <w:iCs/>
              </w:rPr>
              <w:t>Az Unió költségvetésében egy adott pénzügyi év folyamán a tényleges kiadások összességét meghaladó bevételi többletet át kell vinni a következő pénzügyi évre.</w:t>
            </w:r>
          </w:p>
        </w:tc>
        <w:tc>
          <w:tcPr>
            <w:tcW w:w="4876" w:type="dxa"/>
          </w:tcPr>
          <w:p w14:paraId="69D14BD3" w14:textId="77777777" w:rsidR="00346723" w:rsidRPr="008F7511" w:rsidRDefault="00346723" w:rsidP="00EC50CA">
            <w:pPr>
              <w:pStyle w:val="Normal6a"/>
              <w:rPr>
                <w:b/>
                <w:bCs/>
                <w:i/>
                <w:iCs/>
                <w:szCs w:val="24"/>
              </w:rPr>
            </w:pPr>
          </w:p>
        </w:tc>
      </w:tr>
    </w:tbl>
    <w:p w14:paraId="26CF4E89" w14:textId="77777777" w:rsidR="00346723" w:rsidRPr="008F7511" w:rsidRDefault="00346723" w:rsidP="00346723">
      <w:pPr>
        <w:pStyle w:val="AmNumberTabs"/>
      </w:pPr>
      <w:r w:rsidRPr="008F7511">
        <w:t>Módosítás</w:t>
      </w:r>
      <w:r w:rsidRPr="008F7511">
        <w:tab/>
      </w:r>
      <w:r w:rsidRPr="008F7511">
        <w:tab/>
        <w:t>33</w:t>
      </w:r>
    </w:p>
    <w:p w14:paraId="7A04A0D4" w14:textId="77777777" w:rsidR="00346723" w:rsidRPr="008F7511" w:rsidRDefault="00346723" w:rsidP="00346723">
      <w:pPr>
        <w:pStyle w:val="NormalBold12b"/>
      </w:pPr>
      <w:r w:rsidRPr="008F7511">
        <w:t>Határozatra irányuló tervezet</w:t>
      </w:r>
    </w:p>
    <w:p w14:paraId="1E9AD4A9" w14:textId="77777777" w:rsidR="00346723" w:rsidRPr="008F7511" w:rsidRDefault="00346723" w:rsidP="00346723">
      <w:pPr>
        <w:pStyle w:val="NormalBold"/>
      </w:pPr>
      <w:r w:rsidRPr="008F7511">
        <w:t>6 cikk – 2 bekezdés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46723" w:rsidRPr="008F7511" w14:paraId="22B133C0" w14:textId="77777777" w:rsidTr="00EC50CA">
        <w:trPr>
          <w:jc w:val="center"/>
        </w:trPr>
        <w:tc>
          <w:tcPr>
            <w:tcW w:w="9752" w:type="dxa"/>
            <w:gridSpan w:val="2"/>
          </w:tcPr>
          <w:p w14:paraId="34DD23BF" w14:textId="77777777" w:rsidR="00346723" w:rsidRPr="008F7511" w:rsidRDefault="00346723" w:rsidP="00EC50CA">
            <w:pPr>
              <w:keepNext/>
            </w:pPr>
          </w:p>
        </w:tc>
      </w:tr>
      <w:tr w:rsidR="00346723" w:rsidRPr="008F7511" w14:paraId="04213645" w14:textId="77777777" w:rsidTr="00EC50CA">
        <w:trPr>
          <w:jc w:val="center"/>
        </w:trPr>
        <w:tc>
          <w:tcPr>
            <w:tcW w:w="4876" w:type="dxa"/>
          </w:tcPr>
          <w:p w14:paraId="031B0CAB" w14:textId="77777777" w:rsidR="00346723" w:rsidRPr="008F7511" w:rsidRDefault="00346723" w:rsidP="00EC50CA">
            <w:pPr>
              <w:pStyle w:val="AmColumnHeading"/>
              <w:keepNext/>
            </w:pPr>
            <w:r w:rsidRPr="008F7511">
              <w:t>A Tanács tervezete</w:t>
            </w:r>
          </w:p>
        </w:tc>
        <w:tc>
          <w:tcPr>
            <w:tcW w:w="4876" w:type="dxa"/>
          </w:tcPr>
          <w:p w14:paraId="3FC1AD46" w14:textId="77777777" w:rsidR="00346723" w:rsidRPr="008F7511" w:rsidRDefault="00346723" w:rsidP="00EC50CA">
            <w:pPr>
              <w:pStyle w:val="AmColumnHeading"/>
              <w:keepNext/>
            </w:pPr>
            <w:r w:rsidRPr="008F7511">
              <w:t>Módosítás</w:t>
            </w:r>
          </w:p>
        </w:tc>
      </w:tr>
      <w:tr w:rsidR="00346723" w:rsidRPr="008F7511" w14:paraId="23B2219B" w14:textId="77777777" w:rsidTr="00EC50CA">
        <w:trPr>
          <w:jc w:val="center"/>
        </w:trPr>
        <w:tc>
          <w:tcPr>
            <w:tcW w:w="4876" w:type="dxa"/>
          </w:tcPr>
          <w:p w14:paraId="092BA566" w14:textId="77777777" w:rsidR="00346723" w:rsidRPr="008F7511" w:rsidRDefault="00346723" w:rsidP="00EC50CA">
            <w:pPr>
              <w:pStyle w:val="Normal6a"/>
            </w:pPr>
            <w:r w:rsidRPr="008F7511">
              <w:rPr>
                <w:szCs w:val="24"/>
              </w:rPr>
              <w:t xml:space="preserve">(2) </w:t>
            </w:r>
            <w:r w:rsidRPr="008F7511">
              <w:rPr>
                <w:szCs w:val="24"/>
              </w:rPr>
              <w:tab/>
            </w:r>
            <w:r w:rsidRPr="008F7511">
              <w:t xml:space="preserve">A tagállamok beszedési költség </w:t>
            </w:r>
            <w:r w:rsidRPr="008F7511">
              <w:rPr>
                <w:b/>
                <w:i/>
              </w:rPr>
              <w:t>címén</w:t>
            </w:r>
            <w:r w:rsidRPr="008F7511">
              <w:t xml:space="preserve"> megtartják a 2. cikk (1) bekezdésének a) pontjában említett összegek </w:t>
            </w:r>
            <w:r w:rsidRPr="008F7511">
              <w:rPr>
                <w:b/>
                <w:i/>
              </w:rPr>
              <w:t>25</w:t>
            </w:r>
            <w:r w:rsidRPr="008F7511">
              <w:t> %-át.</w:t>
            </w:r>
          </w:p>
        </w:tc>
        <w:tc>
          <w:tcPr>
            <w:tcW w:w="4876" w:type="dxa"/>
          </w:tcPr>
          <w:p w14:paraId="6A74F399" w14:textId="77777777" w:rsidR="00346723" w:rsidRPr="008F7511" w:rsidRDefault="00346723" w:rsidP="00EC50CA">
            <w:pPr>
              <w:pStyle w:val="Normal6a"/>
            </w:pPr>
            <w:r w:rsidRPr="008F7511">
              <w:rPr>
                <w:szCs w:val="24"/>
              </w:rPr>
              <w:t xml:space="preserve">(2) </w:t>
            </w:r>
            <w:r w:rsidRPr="008F7511">
              <w:rPr>
                <w:szCs w:val="24"/>
              </w:rPr>
              <w:tab/>
            </w:r>
            <w:r w:rsidRPr="008F7511">
              <w:t xml:space="preserve">A tagállamok </w:t>
            </w:r>
            <w:r w:rsidRPr="008F7511">
              <w:rPr>
                <w:b/>
                <w:i/>
              </w:rPr>
              <w:t xml:space="preserve">a </w:t>
            </w:r>
            <w:r w:rsidRPr="008F7511">
              <w:t xml:space="preserve">beszedési költség </w:t>
            </w:r>
            <w:proofErr w:type="gramStart"/>
            <w:r w:rsidRPr="008F7511">
              <w:rPr>
                <w:b/>
                <w:i/>
              </w:rPr>
              <w:t>kompenzációja</w:t>
            </w:r>
            <w:proofErr w:type="gramEnd"/>
            <w:r w:rsidRPr="008F7511">
              <w:rPr>
                <w:b/>
                <w:i/>
              </w:rPr>
              <w:t>ként</w:t>
            </w:r>
            <w:r w:rsidRPr="008F7511">
              <w:t xml:space="preserve"> megtartják a 2. cikk (1) bekezdésének a) pontjában említett összegek </w:t>
            </w:r>
            <w:r w:rsidRPr="008F7511">
              <w:rPr>
                <w:b/>
                <w:i/>
              </w:rPr>
              <w:t>10</w:t>
            </w:r>
            <w:r w:rsidRPr="008F7511">
              <w:t>%-át.</w:t>
            </w:r>
          </w:p>
        </w:tc>
      </w:tr>
    </w:tbl>
    <w:p w14:paraId="03BFF5CE" w14:textId="77777777" w:rsidR="00346723" w:rsidRPr="008F7511" w:rsidRDefault="00346723" w:rsidP="00346723"/>
    <w:p w14:paraId="76457FAD" w14:textId="77777777" w:rsidR="00346723" w:rsidRPr="008F7511" w:rsidRDefault="00346723" w:rsidP="00346723">
      <w:pPr>
        <w:pStyle w:val="AmNumberTabs"/>
      </w:pPr>
      <w:r w:rsidRPr="008F7511">
        <w:t>Módosítás</w:t>
      </w:r>
      <w:r w:rsidRPr="008F7511">
        <w:tab/>
      </w:r>
      <w:r w:rsidRPr="008F7511">
        <w:tab/>
        <w:t>34</w:t>
      </w:r>
    </w:p>
    <w:p w14:paraId="6340179E" w14:textId="77777777" w:rsidR="00346723" w:rsidRPr="008F7511" w:rsidRDefault="00346723" w:rsidP="00384194">
      <w:pPr>
        <w:pStyle w:val="NormalBold12b"/>
      </w:pPr>
      <w:r w:rsidRPr="008F7511">
        <w:t>Határozatra irányuló tervezet</w:t>
      </w:r>
    </w:p>
    <w:p w14:paraId="2CD6E756" w14:textId="77777777" w:rsidR="00346723" w:rsidRPr="008F7511" w:rsidRDefault="00346723" w:rsidP="00346723">
      <w:pPr>
        <w:pStyle w:val="NormalBold"/>
      </w:pPr>
      <w:r w:rsidRPr="008F7511">
        <w:t>7 cikk – 1 bekezdés – b a pont (új)</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46723" w:rsidRPr="008F7511" w14:paraId="76CA5855" w14:textId="77777777" w:rsidTr="00EC50CA">
        <w:trPr>
          <w:jc w:val="center"/>
        </w:trPr>
        <w:tc>
          <w:tcPr>
            <w:tcW w:w="9752" w:type="dxa"/>
            <w:gridSpan w:val="2"/>
          </w:tcPr>
          <w:p w14:paraId="4B75870A" w14:textId="77777777" w:rsidR="00346723" w:rsidRPr="008F7511" w:rsidRDefault="00346723" w:rsidP="00EC50CA">
            <w:pPr>
              <w:keepNext/>
              <w:widowControl/>
              <w:rPr>
                <w:szCs w:val="24"/>
              </w:rPr>
            </w:pPr>
          </w:p>
        </w:tc>
      </w:tr>
      <w:tr w:rsidR="00346723" w:rsidRPr="008F7511" w14:paraId="2C0FF91E" w14:textId="77777777" w:rsidTr="00EC50CA">
        <w:trPr>
          <w:jc w:val="center"/>
        </w:trPr>
        <w:tc>
          <w:tcPr>
            <w:tcW w:w="4876" w:type="dxa"/>
          </w:tcPr>
          <w:p w14:paraId="4BAB9C94" w14:textId="77777777" w:rsidR="00346723" w:rsidRPr="008F7511" w:rsidRDefault="00346723" w:rsidP="00EC50CA">
            <w:pPr>
              <w:pStyle w:val="AmColumnHeading"/>
            </w:pPr>
            <w:r w:rsidRPr="008F7511">
              <w:t>A Tanács tervezete</w:t>
            </w:r>
          </w:p>
        </w:tc>
        <w:tc>
          <w:tcPr>
            <w:tcW w:w="4876" w:type="dxa"/>
          </w:tcPr>
          <w:p w14:paraId="11A2C298" w14:textId="77777777" w:rsidR="00346723" w:rsidRPr="008F7511" w:rsidRDefault="00346723" w:rsidP="00EC50CA">
            <w:pPr>
              <w:pStyle w:val="AmColumnHeading"/>
            </w:pPr>
            <w:r w:rsidRPr="008F7511">
              <w:t>Módosítás</w:t>
            </w:r>
          </w:p>
        </w:tc>
      </w:tr>
      <w:tr w:rsidR="00346723" w:rsidRPr="008F7511" w14:paraId="72F48F0A" w14:textId="77777777" w:rsidTr="00EC50CA">
        <w:trPr>
          <w:jc w:val="center"/>
        </w:trPr>
        <w:tc>
          <w:tcPr>
            <w:tcW w:w="4876" w:type="dxa"/>
          </w:tcPr>
          <w:p w14:paraId="7BD4BAB4" w14:textId="77777777" w:rsidR="00346723" w:rsidRPr="008F7511" w:rsidRDefault="00346723" w:rsidP="00EC50CA">
            <w:pPr>
              <w:pStyle w:val="Normal6a"/>
            </w:pPr>
          </w:p>
        </w:tc>
        <w:tc>
          <w:tcPr>
            <w:tcW w:w="4876" w:type="dxa"/>
          </w:tcPr>
          <w:p w14:paraId="2B0B7E2F" w14:textId="77777777" w:rsidR="00346723" w:rsidRPr="008F7511" w:rsidRDefault="00346723" w:rsidP="00EC50CA">
            <w:pPr>
              <w:pStyle w:val="Normal6a"/>
              <w:rPr>
                <w:b/>
                <w:bCs/>
                <w:i/>
                <w:iCs/>
                <w:szCs w:val="24"/>
              </w:rPr>
            </w:pPr>
            <w:proofErr w:type="spellStart"/>
            <w:r w:rsidRPr="008F7511">
              <w:rPr>
                <w:b/>
                <w:bCs/>
                <w:i/>
                <w:iCs/>
              </w:rPr>
              <w:t>ba</w:t>
            </w:r>
            <w:proofErr w:type="spellEnd"/>
            <w:r w:rsidRPr="008F7511">
              <w:rPr>
                <w:b/>
                <w:bCs/>
                <w:i/>
                <w:iCs/>
              </w:rPr>
              <w:t>)</w:t>
            </w:r>
            <w:r w:rsidRPr="008F7511">
              <w:rPr>
                <w:b/>
                <w:bCs/>
                <w:i/>
                <w:iCs/>
              </w:rPr>
              <w:tab/>
              <w:t>a versenyjogi bírságokból és a kötelezettségszegési ügyekből származó bevételek költségvetési kezelése;</w:t>
            </w:r>
          </w:p>
        </w:tc>
      </w:tr>
    </w:tbl>
    <w:p w14:paraId="2B2054CA" w14:textId="77777777" w:rsidR="00346723" w:rsidRPr="008F7511" w:rsidRDefault="00346723" w:rsidP="00346723">
      <w:pPr>
        <w:pStyle w:val="AmNumberTabs"/>
        <w:keepNext/>
      </w:pPr>
      <w:r w:rsidRPr="008F7511">
        <w:lastRenderedPageBreak/>
        <w:t>Módosítás</w:t>
      </w:r>
      <w:r w:rsidRPr="008F7511">
        <w:tab/>
      </w:r>
      <w:r w:rsidRPr="008F7511">
        <w:tab/>
        <w:t>35</w:t>
      </w:r>
    </w:p>
    <w:p w14:paraId="1261A16D" w14:textId="77777777" w:rsidR="00346723" w:rsidRPr="008F7511" w:rsidRDefault="00346723" w:rsidP="00346723">
      <w:pPr>
        <w:pStyle w:val="NormalBold12b"/>
        <w:keepNext/>
      </w:pPr>
      <w:r w:rsidRPr="008F7511">
        <w:t>Határozatra irányuló tervezet</w:t>
      </w:r>
    </w:p>
    <w:p w14:paraId="467A967C" w14:textId="721C0A74" w:rsidR="00346723" w:rsidRPr="008F7511" w:rsidRDefault="00346723" w:rsidP="00346723">
      <w:pPr>
        <w:pStyle w:val="NormalBold"/>
        <w:keepNext/>
      </w:pPr>
      <w:r w:rsidRPr="008F7511">
        <w:t xml:space="preserve">7 cikk – 1 bekezdés – b </w:t>
      </w:r>
      <w:proofErr w:type="spellStart"/>
      <w:r w:rsidRPr="008F7511">
        <w:t>b</w:t>
      </w:r>
      <w:proofErr w:type="spellEnd"/>
      <w:r w:rsidRPr="008F7511">
        <w:t xml:space="preserve"> pont (új)</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46723" w:rsidRPr="008F7511" w14:paraId="5E6D6ED8" w14:textId="77777777" w:rsidTr="00EC50CA">
        <w:trPr>
          <w:jc w:val="center"/>
        </w:trPr>
        <w:tc>
          <w:tcPr>
            <w:tcW w:w="9752" w:type="dxa"/>
            <w:gridSpan w:val="2"/>
          </w:tcPr>
          <w:p w14:paraId="67EBDC40" w14:textId="77777777" w:rsidR="00346723" w:rsidRPr="008F7511" w:rsidRDefault="00346723" w:rsidP="00EC50CA">
            <w:pPr>
              <w:keepNext/>
            </w:pPr>
          </w:p>
        </w:tc>
      </w:tr>
      <w:tr w:rsidR="00346723" w:rsidRPr="008F7511" w14:paraId="7AA5451A" w14:textId="77777777" w:rsidTr="00EC50CA">
        <w:trPr>
          <w:jc w:val="center"/>
        </w:trPr>
        <w:tc>
          <w:tcPr>
            <w:tcW w:w="4876" w:type="dxa"/>
          </w:tcPr>
          <w:p w14:paraId="27424E61" w14:textId="77777777" w:rsidR="00346723" w:rsidRPr="008F7511" w:rsidRDefault="00346723" w:rsidP="00EC50CA">
            <w:pPr>
              <w:pStyle w:val="AmColumnHeading"/>
              <w:keepNext/>
            </w:pPr>
            <w:r w:rsidRPr="008F7511">
              <w:t>A Tanács tervezete</w:t>
            </w:r>
          </w:p>
        </w:tc>
        <w:tc>
          <w:tcPr>
            <w:tcW w:w="4876" w:type="dxa"/>
          </w:tcPr>
          <w:p w14:paraId="35C5A705" w14:textId="77777777" w:rsidR="00346723" w:rsidRPr="008F7511" w:rsidRDefault="00346723" w:rsidP="00EC50CA">
            <w:pPr>
              <w:pStyle w:val="AmColumnHeading"/>
              <w:keepNext/>
            </w:pPr>
            <w:r w:rsidRPr="008F7511">
              <w:t>Módosítás</w:t>
            </w:r>
          </w:p>
        </w:tc>
      </w:tr>
      <w:tr w:rsidR="00346723" w:rsidRPr="008F7511" w14:paraId="634CB419" w14:textId="77777777" w:rsidTr="00EC50CA">
        <w:trPr>
          <w:jc w:val="center"/>
        </w:trPr>
        <w:tc>
          <w:tcPr>
            <w:tcW w:w="4876" w:type="dxa"/>
          </w:tcPr>
          <w:p w14:paraId="3158F1EE" w14:textId="77777777" w:rsidR="00346723" w:rsidRPr="008F7511" w:rsidRDefault="00346723" w:rsidP="00EC50CA">
            <w:pPr>
              <w:pStyle w:val="Normal6a"/>
            </w:pPr>
            <w:r w:rsidRPr="008F7511">
              <w:t xml:space="preserve"> </w:t>
            </w:r>
          </w:p>
        </w:tc>
        <w:tc>
          <w:tcPr>
            <w:tcW w:w="4876" w:type="dxa"/>
          </w:tcPr>
          <w:p w14:paraId="3C45F820" w14:textId="38F1E220" w:rsidR="00346723" w:rsidRPr="008F7511" w:rsidRDefault="00346723" w:rsidP="00AB7313">
            <w:pPr>
              <w:pStyle w:val="Normal6a"/>
              <w:rPr>
                <w:szCs w:val="24"/>
              </w:rPr>
            </w:pPr>
            <w:proofErr w:type="spellStart"/>
            <w:r w:rsidRPr="008F7511">
              <w:rPr>
                <w:b/>
                <w:i/>
                <w:szCs w:val="24"/>
              </w:rPr>
              <w:t>bb</w:t>
            </w:r>
            <w:proofErr w:type="spellEnd"/>
            <w:r w:rsidRPr="008F7511">
              <w:rPr>
                <w:b/>
                <w:i/>
                <w:szCs w:val="24"/>
              </w:rPr>
              <w:t>)</w:t>
            </w:r>
            <w:r w:rsidRPr="008F7511">
              <w:rPr>
                <w:szCs w:val="24"/>
              </w:rPr>
              <w:t xml:space="preserve"> </w:t>
            </w:r>
            <w:r w:rsidRPr="008F7511">
              <w:rPr>
                <w:szCs w:val="24"/>
              </w:rPr>
              <w:tab/>
            </w:r>
            <w:r w:rsidRPr="008F7511">
              <w:rPr>
                <w:b/>
                <w:i/>
                <w:szCs w:val="24"/>
              </w:rPr>
              <w:t>a 2. cikk (1) bekezdésé</w:t>
            </w:r>
            <w:r w:rsidR="00C00F1D" w:rsidRPr="008F7511">
              <w:rPr>
                <w:b/>
                <w:i/>
                <w:szCs w:val="24"/>
              </w:rPr>
              <w:t>nek a)–</w:t>
            </w:r>
            <w:proofErr w:type="spellStart"/>
            <w:r w:rsidR="00C00F1D" w:rsidRPr="008F7511">
              <w:rPr>
                <w:b/>
                <w:i/>
                <w:szCs w:val="24"/>
              </w:rPr>
              <w:t>ce</w:t>
            </w:r>
            <w:proofErr w:type="spellEnd"/>
            <w:r w:rsidR="00C00F1D" w:rsidRPr="008F7511">
              <w:rPr>
                <w:b/>
                <w:i/>
                <w:szCs w:val="24"/>
              </w:rPr>
              <w:t>) pontjában</w:t>
            </w:r>
            <w:r w:rsidRPr="008F7511">
              <w:rPr>
                <w:b/>
                <w:i/>
                <w:szCs w:val="24"/>
              </w:rPr>
              <w:t xml:space="preserve"> említett, rendelkezésre bocsátandó saját források összegének megállapítására vonatkozó szabályok, beleértve a</w:t>
            </w:r>
            <w:r w:rsidR="00C00F1D" w:rsidRPr="008F7511">
              <w:rPr>
                <w:b/>
                <w:i/>
                <w:szCs w:val="24"/>
              </w:rPr>
              <w:t>z</w:t>
            </w:r>
            <w:r w:rsidRPr="008F7511">
              <w:rPr>
                <w:b/>
                <w:i/>
                <w:szCs w:val="24"/>
              </w:rPr>
              <w:t xml:space="preserve"> említett saját forrásokra vonatkozó, az említett </w:t>
            </w:r>
            <w:r w:rsidR="00AB7313" w:rsidRPr="008F7511">
              <w:rPr>
                <w:b/>
                <w:i/>
                <w:szCs w:val="24"/>
              </w:rPr>
              <w:t xml:space="preserve">pontokban </w:t>
            </w:r>
            <w:r w:rsidRPr="008F7511">
              <w:rPr>
                <w:b/>
                <w:i/>
                <w:szCs w:val="24"/>
              </w:rPr>
              <w:t>meghatározott határokon belüli, alkalmazandó lehívási kulcsokat, valamint a bruttó nemzeti jövedelmen alapuló saját forrásra alkalmazandó kulcs kiszámítását;</w:t>
            </w:r>
          </w:p>
        </w:tc>
      </w:tr>
    </w:tbl>
    <w:p w14:paraId="10A60012" w14:textId="77777777" w:rsidR="00346723" w:rsidRPr="008F7511" w:rsidRDefault="00346723" w:rsidP="00346723"/>
    <w:p w14:paraId="4B5D75F9" w14:textId="77777777" w:rsidR="00346723" w:rsidRPr="008F7511" w:rsidRDefault="00346723" w:rsidP="00346723">
      <w:pPr>
        <w:pStyle w:val="AmNumberTabs"/>
        <w:keepNext/>
      </w:pPr>
      <w:r w:rsidRPr="008F7511">
        <w:t>Módosítás</w:t>
      </w:r>
      <w:r w:rsidRPr="008F7511">
        <w:tab/>
      </w:r>
      <w:r w:rsidRPr="008F7511">
        <w:tab/>
        <w:t>36</w:t>
      </w:r>
    </w:p>
    <w:p w14:paraId="5B83BD94" w14:textId="77777777" w:rsidR="00346723" w:rsidRPr="008F7511" w:rsidRDefault="00346723" w:rsidP="00346723">
      <w:pPr>
        <w:pStyle w:val="NormalBold12b"/>
        <w:keepNext/>
      </w:pPr>
      <w:r w:rsidRPr="008F7511">
        <w:t>Határozatra irányuló tervezet</w:t>
      </w:r>
    </w:p>
    <w:p w14:paraId="680CB4B9" w14:textId="327CAB89" w:rsidR="00346723" w:rsidRPr="008F7511" w:rsidRDefault="00346723" w:rsidP="00346723">
      <w:pPr>
        <w:pStyle w:val="NormalBold"/>
        <w:keepNext/>
      </w:pPr>
      <w:r w:rsidRPr="008F7511">
        <w:t>7 cikk – 1 bekezdés – b c pont (új)</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46723" w:rsidRPr="008F7511" w14:paraId="61F3658F" w14:textId="77777777" w:rsidTr="00EC50CA">
        <w:trPr>
          <w:jc w:val="center"/>
        </w:trPr>
        <w:tc>
          <w:tcPr>
            <w:tcW w:w="9752" w:type="dxa"/>
            <w:gridSpan w:val="2"/>
          </w:tcPr>
          <w:p w14:paraId="4A7E14DE" w14:textId="77777777" w:rsidR="00346723" w:rsidRPr="008F7511" w:rsidRDefault="00346723" w:rsidP="00EC50CA">
            <w:pPr>
              <w:keepNext/>
            </w:pPr>
          </w:p>
        </w:tc>
      </w:tr>
      <w:tr w:rsidR="00346723" w:rsidRPr="008F7511" w14:paraId="751FA85A" w14:textId="77777777" w:rsidTr="00EC50CA">
        <w:trPr>
          <w:jc w:val="center"/>
        </w:trPr>
        <w:tc>
          <w:tcPr>
            <w:tcW w:w="4876" w:type="dxa"/>
          </w:tcPr>
          <w:p w14:paraId="518C01C7" w14:textId="77777777" w:rsidR="00346723" w:rsidRPr="008F7511" w:rsidRDefault="00346723" w:rsidP="00EC50CA">
            <w:pPr>
              <w:pStyle w:val="AmColumnHeading"/>
              <w:keepNext/>
            </w:pPr>
            <w:r w:rsidRPr="008F7511">
              <w:t>A Tanács tervezete</w:t>
            </w:r>
          </w:p>
        </w:tc>
        <w:tc>
          <w:tcPr>
            <w:tcW w:w="4876" w:type="dxa"/>
          </w:tcPr>
          <w:p w14:paraId="032D1F8A" w14:textId="77777777" w:rsidR="00346723" w:rsidRPr="008F7511" w:rsidRDefault="00346723" w:rsidP="00EC50CA">
            <w:pPr>
              <w:pStyle w:val="AmColumnHeading"/>
              <w:keepNext/>
            </w:pPr>
            <w:r w:rsidRPr="008F7511">
              <w:t>Módosítás</w:t>
            </w:r>
          </w:p>
        </w:tc>
      </w:tr>
      <w:tr w:rsidR="00346723" w:rsidRPr="008F7511" w14:paraId="7D5654F3" w14:textId="77777777" w:rsidTr="00EC50CA">
        <w:trPr>
          <w:jc w:val="center"/>
        </w:trPr>
        <w:tc>
          <w:tcPr>
            <w:tcW w:w="4876" w:type="dxa"/>
          </w:tcPr>
          <w:p w14:paraId="5A8A7FE1" w14:textId="77777777" w:rsidR="00346723" w:rsidRPr="008F7511" w:rsidRDefault="00346723" w:rsidP="00EC50CA">
            <w:pPr>
              <w:pStyle w:val="Normal6a"/>
            </w:pPr>
            <w:r w:rsidRPr="008F7511">
              <w:t xml:space="preserve"> </w:t>
            </w:r>
          </w:p>
        </w:tc>
        <w:tc>
          <w:tcPr>
            <w:tcW w:w="4876" w:type="dxa"/>
          </w:tcPr>
          <w:p w14:paraId="0E58BCF9" w14:textId="455B7EF3" w:rsidR="00346723" w:rsidRPr="008F7511" w:rsidRDefault="00346723" w:rsidP="00AB7313">
            <w:pPr>
              <w:pStyle w:val="Normal6a"/>
              <w:rPr>
                <w:szCs w:val="24"/>
              </w:rPr>
            </w:pPr>
            <w:proofErr w:type="spellStart"/>
            <w:r w:rsidRPr="008F7511">
              <w:rPr>
                <w:b/>
                <w:i/>
                <w:szCs w:val="24"/>
              </w:rPr>
              <w:t>bc</w:t>
            </w:r>
            <w:proofErr w:type="spellEnd"/>
            <w:r w:rsidRPr="008F7511">
              <w:rPr>
                <w:b/>
                <w:i/>
                <w:szCs w:val="24"/>
              </w:rPr>
              <w:t>)</w:t>
            </w:r>
            <w:r w:rsidRPr="008F7511">
              <w:rPr>
                <w:szCs w:val="24"/>
              </w:rPr>
              <w:tab/>
            </w:r>
            <w:r w:rsidR="00AB7313" w:rsidRPr="008F7511">
              <w:rPr>
                <w:b/>
                <w:i/>
                <w:szCs w:val="24"/>
              </w:rPr>
              <w:t xml:space="preserve">a 2. cikk (1) bekezdésének alkalmazásában </w:t>
            </w:r>
            <w:r w:rsidRPr="008F7511">
              <w:rPr>
                <w:b/>
                <w:i/>
                <w:szCs w:val="24"/>
              </w:rPr>
              <w:t xml:space="preserve">a referenciaként használt bruttó nemzeti jövedelem, a bruttó nemzeti jövedelem kiigazítására vonatkozó rendelkezések és a bruttó nemzeti </w:t>
            </w:r>
            <w:proofErr w:type="gramStart"/>
            <w:r w:rsidRPr="008F7511">
              <w:rPr>
                <w:b/>
                <w:i/>
                <w:szCs w:val="24"/>
              </w:rPr>
              <w:t>jövedelem jelentős</w:t>
            </w:r>
            <w:proofErr w:type="gramEnd"/>
            <w:r w:rsidRPr="008F7511">
              <w:rPr>
                <w:b/>
                <w:i/>
                <w:szCs w:val="24"/>
              </w:rPr>
              <w:t xml:space="preserve"> változásai esetén a kifizetésekre és kötelezettségvállalásokra vonatkozó felső határok újraszámítására vonatkozó rendelkezések;</w:t>
            </w:r>
          </w:p>
        </w:tc>
      </w:tr>
    </w:tbl>
    <w:p w14:paraId="7405ECD4" w14:textId="77777777" w:rsidR="00346723" w:rsidRPr="008F7511" w:rsidRDefault="00346723" w:rsidP="00346723"/>
    <w:p w14:paraId="225B7947" w14:textId="77777777" w:rsidR="00E365E1" w:rsidRPr="008F7511" w:rsidRDefault="00E365E1" w:rsidP="00CD4E8A">
      <w:bookmarkStart w:id="10" w:name="TextBodyEnd"/>
      <w:bookmarkEnd w:id="10"/>
    </w:p>
    <w:sectPr w:rsidR="00E365E1" w:rsidRPr="008F7511" w:rsidSect="00691F6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0C028" w14:textId="77777777" w:rsidR="00EC50CA" w:rsidRPr="00691F69" w:rsidRDefault="00EC50CA">
      <w:r w:rsidRPr="00691F69">
        <w:separator/>
      </w:r>
    </w:p>
  </w:endnote>
  <w:endnote w:type="continuationSeparator" w:id="0">
    <w:p w14:paraId="2C8900CF" w14:textId="77777777" w:rsidR="00EC50CA" w:rsidRPr="00691F69" w:rsidRDefault="00EC50CA">
      <w:r w:rsidRPr="00691F6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9815B" w14:textId="77777777" w:rsidR="00064002" w:rsidRPr="00691F69"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DDA4" w14:textId="77777777" w:rsidR="00064002" w:rsidRPr="00691F69"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79B86" w14:textId="77777777" w:rsidR="00064002" w:rsidRPr="00691F69"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6CE90" w14:textId="77777777" w:rsidR="00EC50CA" w:rsidRPr="00691F69" w:rsidRDefault="00EC50CA">
      <w:r w:rsidRPr="00691F69">
        <w:separator/>
      </w:r>
    </w:p>
  </w:footnote>
  <w:footnote w:type="continuationSeparator" w:id="0">
    <w:p w14:paraId="5313F619" w14:textId="77777777" w:rsidR="00EC50CA" w:rsidRPr="00691F69" w:rsidRDefault="00EC50CA">
      <w:r w:rsidRPr="00691F69">
        <w:continuationSeparator/>
      </w:r>
    </w:p>
  </w:footnote>
  <w:footnote w:id="1">
    <w:p w14:paraId="6557DDE9" w14:textId="77777777" w:rsidR="00346723" w:rsidRPr="00691F69" w:rsidRDefault="00346723" w:rsidP="00691F69">
      <w:pPr>
        <w:pStyle w:val="FootnoteText"/>
        <w:ind w:left="567" w:hanging="567"/>
        <w:rPr>
          <w:sz w:val="24"/>
          <w:lang w:val="hu-HU"/>
        </w:rPr>
      </w:pPr>
      <w:r w:rsidRPr="00691F69">
        <w:rPr>
          <w:rStyle w:val="FootnoteReference"/>
          <w:sz w:val="24"/>
          <w:lang w:val="hu-HU"/>
        </w:rPr>
        <w:footnoteRef/>
      </w:r>
      <w:r w:rsidR="00691F69" w:rsidRPr="00691F69">
        <w:rPr>
          <w:sz w:val="24"/>
          <w:lang w:val="hu-HU"/>
        </w:rPr>
        <w:t xml:space="preserve"> </w:t>
      </w:r>
      <w:r w:rsidR="00691F69" w:rsidRPr="00691F69">
        <w:rPr>
          <w:sz w:val="24"/>
          <w:lang w:val="hu-HU"/>
        </w:rPr>
        <w:tab/>
      </w:r>
      <w:r w:rsidRPr="00691F69">
        <w:rPr>
          <w:sz w:val="24"/>
          <w:lang w:val="hu-HU"/>
        </w:rPr>
        <w:t>HL C 162., 2019.5.10</w:t>
      </w:r>
      <w:proofErr w:type="gramStart"/>
      <w:r w:rsidRPr="00691F69">
        <w:rPr>
          <w:sz w:val="24"/>
          <w:lang w:val="hu-HU"/>
        </w:rPr>
        <w:t>.,</w:t>
      </w:r>
      <w:proofErr w:type="gramEnd"/>
      <w:r w:rsidRPr="00691F69">
        <w:rPr>
          <w:sz w:val="24"/>
          <w:lang w:val="hu-HU"/>
        </w:rPr>
        <w:t xml:space="preserve"> 51. o.</w:t>
      </w:r>
    </w:p>
  </w:footnote>
  <w:footnote w:id="2">
    <w:p w14:paraId="76E90D7B" w14:textId="77777777" w:rsidR="00346723" w:rsidRPr="00691F69" w:rsidRDefault="00346723" w:rsidP="00691F69">
      <w:pPr>
        <w:pStyle w:val="FootnoteText"/>
        <w:ind w:left="567" w:hanging="567"/>
        <w:rPr>
          <w:sz w:val="24"/>
          <w:lang w:val="hu-HU"/>
        </w:rPr>
      </w:pPr>
      <w:r w:rsidRPr="00691F69">
        <w:rPr>
          <w:rStyle w:val="FootnoteReference"/>
          <w:sz w:val="24"/>
          <w:lang w:val="hu-HU"/>
        </w:rPr>
        <w:footnoteRef/>
      </w:r>
      <w:r w:rsidR="00691F69" w:rsidRPr="00691F69">
        <w:rPr>
          <w:sz w:val="24"/>
          <w:lang w:val="hu-HU"/>
        </w:rPr>
        <w:t xml:space="preserve"> </w:t>
      </w:r>
      <w:r w:rsidR="00691F69" w:rsidRPr="00691F69">
        <w:rPr>
          <w:sz w:val="24"/>
          <w:lang w:val="hu-HU"/>
        </w:rPr>
        <w:tab/>
      </w:r>
      <w:r w:rsidRPr="00691F69">
        <w:rPr>
          <w:sz w:val="24"/>
          <w:lang w:val="hu-HU"/>
        </w:rPr>
        <w:t>HL C 162., 2019.5.10</w:t>
      </w:r>
      <w:proofErr w:type="gramStart"/>
      <w:r w:rsidRPr="00691F69">
        <w:rPr>
          <w:sz w:val="24"/>
          <w:lang w:val="hu-HU"/>
        </w:rPr>
        <w:t>.,</w:t>
      </w:r>
      <w:proofErr w:type="gramEnd"/>
      <w:r w:rsidRPr="00691F69">
        <w:rPr>
          <w:sz w:val="24"/>
          <w:lang w:val="hu-HU"/>
        </w:rPr>
        <w:t xml:space="preserve"> 71. o.</w:t>
      </w:r>
    </w:p>
  </w:footnote>
  <w:footnote w:id="3">
    <w:p w14:paraId="65B71FB7" w14:textId="77777777" w:rsidR="00346723" w:rsidRPr="00691F69" w:rsidRDefault="00346723" w:rsidP="00691F69">
      <w:pPr>
        <w:pStyle w:val="FootnoteText"/>
        <w:ind w:left="567" w:hanging="567"/>
        <w:rPr>
          <w:sz w:val="24"/>
          <w:lang w:val="hu-HU"/>
        </w:rPr>
      </w:pPr>
      <w:r w:rsidRPr="00691F69">
        <w:rPr>
          <w:rStyle w:val="FootnoteReference"/>
          <w:sz w:val="24"/>
          <w:lang w:val="hu-HU"/>
        </w:rPr>
        <w:footnoteRef/>
      </w:r>
      <w:r w:rsidR="00691F69" w:rsidRPr="00691F69">
        <w:rPr>
          <w:sz w:val="24"/>
          <w:lang w:val="hu-HU"/>
        </w:rPr>
        <w:t xml:space="preserve"> </w:t>
      </w:r>
      <w:r w:rsidR="00691F69" w:rsidRPr="00691F69">
        <w:rPr>
          <w:sz w:val="24"/>
          <w:lang w:val="hu-HU"/>
        </w:rPr>
        <w:tab/>
      </w:r>
      <w:r w:rsidRPr="00691F69">
        <w:rPr>
          <w:sz w:val="24"/>
          <w:lang w:val="hu-HU"/>
        </w:rPr>
        <w:t>Elfogadott szövegek, P8_</w:t>
      </w:r>
      <w:proofErr w:type="gramStart"/>
      <w:r w:rsidRPr="00691F69">
        <w:rPr>
          <w:sz w:val="24"/>
          <w:lang w:val="hu-HU"/>
        </w:rPr>
        <w:t>TA(</w:t>
      </w:r>
      <w:proofErr w:type="gramEnd"/>
      <w:r w:rsidRPr="00691F69">
        <w:rPr>
          <w:sz w:val="24"/>
          <w:lang w:val="hu-HU"/>
        </w:rPr>
        <w:t>2018)0226.</w:t>
      </w:r>
    </w:p>
  </w:footnote>
  <w:footnote w:id="4">
    <w:p w14:paraId="3D48AF62" w14:textId="77777777" w:rsidR="00346723" w:rsidRPr="00691F69" w:rsidRDefault="00346723" w:rsidP="00691F69">
      <w:pPr>
        <w:pStyle w:val="FootnoteText"/>
        <w:ind w:left="567" w:hanging="567"/>
        <w:rPr>
          <w:sz w:val="24"/>
          <w:lang w:val="hu-HU"/>
        </w:rPr>
      </w:pPr>
      <w:r w:rsidRPr="00691F69">
        <w:rPr>
          <w:rStyle w:val="FootnoteReference"/>
          <w:sz w:val="24"/>
          <w:lang w:val="hu-HU"/>
        </w:rPr>
        <w:footnoteRef/>
      </w:r>
      <w:r w:rsidR="00691F69" w:rsidRPr="00691F69">
        <w:rPr>
          <w:sz w:val="24"/>
          <w:lang w:val="hu-HU"/>
        </w:rPr>
        <w:t xml:space="preserve"> </w:t>
      </w:r>
      <w:r w:rsidR="00691F69" w:rsidRPr="00691F69">
        <w:rPr>
          <w:sz w:val="24"/>
          <w:lang w:val="hu-HU"/>
        </w:rPr>
        <w:tab/>
      </w:r>
      <w:r w:rsidRPr="00691F69">
        <w:rPr>
          <w:sz w:val="24"/>
          <w:lang w:val="hu-HU"/>
        </w:rPr>
        <w:t>Elfogadott szövegek, P8_</w:t>
      </w:r>
      <w:proofErr w:type="gramStart"/>
      <w:r w:rsidRPr="00691F69">
        <w:rPr>
          <w:sz w:val="24"/>
          <w:lang w:val="hu-HU"/>
        </w:rPr>
        <w:t>TA(</w:t>
      </w:r>
      <w:proofErr w:type="gramEnd"/>
      <w:r w:rsidRPr="00691F69">
        <w:rPr>
          <w:sz w:val="24"/>
          <w:lang w:val="hu-HU"/>
        </w:rPr>
        <w:t>2018)0449.</w:t>
      </w:r>
    </w:p>
  </w:footnote>
  <w:footnote w:id="5">
    <w:p w14:paraId="287D1EC4" w14:textId="77777777" w:rsidR="00346723" w:rsidRPr="00691F69" w:rsidRDefault="00346723" w:rsidP="00691F69">
      <w:pPr>
        <w:pStyle w:val="FootnoteText"/>
        <w:ind w:left="567" w:hanging="567"/>
        <w:rPr>
          <w:sz w:val="24"/>
          <w:szCs w:val="24"/>
          <w:lang w:val="hu-HU"/>
        </w:rPr>
      </w:pPr>
      <w:r w:rsidRPr="00691F69">
        <w:rPr>
          <w:rStyle w:val="FootnoteReference"/>
          <w:sz w:val="24"/>
          <w:szCs w:val="24"/>
          <w:lang w:val="hu-HU"/>
        </w:rPr>
        <w:footnoteRef/>
      </w:r>
      <w:r w:rsidR="00691F69" w:rsidRPr="00691F69">
        <w:rPr>
          <w:sz w:val="24"/>
          <w:szCs w:val="24"/>
          <w:lang w:val="hu-HU"/>
        </w:rPr>
        <w:t xml:space="preserve"> </w:t>
      </w:r>
      <w:r w:rsidR="00691F69" w:rsidRPr="00691F69">
        <w:rPr>
          <w:sz w:val="24"/>
          <w:szCs w:val="24"/>
          <w:lang w:val="hu-HU"/>
        </w:rPr>
        <w:tab/>
      </w:r>
      <w:r w:rsidRPr="00691F69">
        <w:rPr>
          <w:sz w:val="24"/>
          <w:szCs w:val="24"/>
          <w:lang w:val="hu-HU"/>
        </w:rPr>
        <w:t>Elfogadott szövegek, P9_</w:t>
      </w:r>
      <w:proofErr w:type="gramStart"/>
      <w:r w:rsidRPr="00691F69">
        <w:rPr>
          <w:sz w:val="24"/>
          <w:szCs w:val="24"/>
          <w:lang w:val="hu-HU"/>
        </w:rPr>
        <w:t>TA(</w:t>
      </w:r>
      <w:proofErr w:type="gramEnd"/>
      <w:r w:rsidRPr="00691F69">
        <w:rPr>
          <w:sz w:val="24"/>
          <w:szCs w:val="24"/>
          <w:lang w:val="hu-HU"/>
        </w:rPr>
        <w:t>2019)0032.</w:t>
      </w:r>
    </w:p>
  </w:footnote>
  <w:footnote w:id="6">
    <w:p w14:paraId="631208B6" w14:textId="77777777" w:rsidR="00346723" w:rsidRPr="00691F69" w:rsidRDefault="00346723" w:rsidP="00691F69">
      <w:pPr>
        <w:pStyle w:val="FootnoteText"/>
        <w:ind w:left="567" w:hanging="567"/>
        <w:rPr>
          <w:sz w:val="24"/>
          <w:lang w:val="hu-HU"/>
        </w:rPr>
      </w:pPr>
      <w:r w:rsidRPr="00691F69">
        <w:rPr>
          <w:rStyle w:val="FootnoteReference"/>
          <w:sz w:val="24"/>
          <w:szCs w:val="24"/>
          <w:lang w:val="hu-HU"/>
        </w:rPr>
        <w:footnoteRef/>
      </w:r>
      <w:r w:rsidR="00691F69" w:rsidRPr="00691F69">
        <w:rPr>
          <w:sz w:val="24"/>
          <w:lang w:val="hu-HU"/>
        </w:rPr>
        <w:t xml:space="preserve"> </w:t>
      </w:r>
      <w:r w:rsidR="00691F69" w:rsidRPr="00691F69">
        <w:rPr>
          <w:sz w:val="24"/>
          <w:lang w:val="hu-HU"/>
        </w:rPr>
        <w:tab/>
      </w:r>
      <w:r w:rsidRPr="00691F69">
        <w:rPr>
          <w:sz w:val="24"/>
          <w:lang w:val="hu-HU"/>
        </w:rPr>
        <w:t>Elfogadott szövegek, P9_</w:t>
      </w:r>
      <w:proofErr w:type="gramStart"/>
      <w:r w:rsidRPr="00691F69">
        <w:rPr>
          <w:sz w:val="24"/>
          <w:lang w:val="hu-HU"/>
        </w:rPr>
        <w:t>TA(</w:t>
      </w:r>
      <w:proofErr w:type="gramEnd"/>
      <w:r w:rsidRPr="00691F69">
        <w:rPr>
          <w:sz w:val="24"/>
          <w:lang w:val="hu-HU"/>
        </w:rPr>
        <w:t>2020)0124.</w:t>
      </w:r>
    </w:p>
  </w:footnote>
  <w:footnote w:id="7">
    <w:p w14:paraId="45E52135" w14:textId="77777777" w:rsidR="00346723" w:rsidRPr="00691F69" w:rsidRDefault="00346723" w:rsidP="00691F69">
      <w:pPr>
        <w:pStyle w:val="FootnoteText"/>
        <w:ind w:left="567" w:hanging="567"/>
        <w:rPr>
          <w:sz w:val="24"/>
          <w:lang w:val="hu-HU"/>
        </w:rPr>
      </w:pPr>
      <w:r w:rsidRPr="00691F69">
        <w:rPr>
          <w:rStyle w:val="FootnoteReference"/>
          <w:sz w:val="24"/>
          <w:lang w:val="hu-HU"/>
        </w:rPr>
        <w:footnoteRef/>
      </w:r>
      <w:r w:rsidR="00691F69" w:rsidRPr="00691F69">
        <w:rPr>
          <w:sz w:val="24"/>
          <w:lang w:val="hu-HU"/>
        </w:rPr>
        <w:t xml:space="preserve"> </w:t>
      </w:r>
      <w:r w:rsidR="00691F69" w:rsidRPr="00691F69">
        <w:rPr>
          <w:sz w:val="24"/>
          <w:lang w:val="hu-HU"/>
        </w:rPr>
        <w:tab/>
      </w:r>
      <w:r w:rsidRPr="00691F69">
        <w:rPr>
          <w:sz w:val="24"/>
          <w:lang w:val="hu-HU"/>
        </w:rPr>
        <w:t>Elfogadott szövegek, P9_</w:t>
      </w:r>
      <w:proofErr w:type="gramStart"/>
      <w:r w:rsidRPr="00691F69">
        <w:rPr>
          <w:sz w:val="24"/>
          <w:lang w:val="hu-HU"/>
        </w:rPr>
        <w:t>TA(</w:t>
      </w:r>
      <w:proofErr w:type="gramEnd"/>
      <w:r w:rsidRPr="00691F69">
        <w:rPr>
          <w:sz w:val="24"/>
          <w:lang w:val="hu-HU"/>
        </w:rPr>
        <w:t>2020)0206.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8CA49" w14:textId="77777777" w:rsidR="00064002" w:rsidRPr="00691F69"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E3A7" w14:textId="77777777" w:rsidR="00064002" w:rsidRPr="00691F69"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3BC5E" w14:textId="77777777" w:rsidR="00064002" w:rsidRPr="00691F69"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146/2020"/>
    <w:docVar w:name="dvlangue" w:val="HU"/>
    <w:docVar w:name="dvnumam" w:val="31"/>
    <w:docVar w:name="dvpe" w:val="653.866"/>
    <w:docVar w:name="dvrapporteur" w:val="Előadók: "/>
    <w:docVar w:name="dvtitre" w:val="Az Európai Parlament 2020.  ...-i jogalkotási állásfoglalása az Európai Unió saját forrásainak rendszeréről szóló tanácsi határozatra irányuló tervezetről(10025/2020 – C9-0215/2020 – 2018/0135(CNS))"/>
  </w:docVars>
  <w:rsids>
    <w:rsidRoot w:val="00CD4E8A"/>
    <w:rsid w:val="00002272"/>
    <w:rsid w:val="000314AC"/>
    <w:rsid w:val="00064002"/>
    <w:rsid w:val="00066DB0"/>
    <w:rsid w:val="000677B9"/>
    <w:rsid w:val="000831BA"/>
    <w:rsid w:val="000A42CC"/>
    <w:rsid w:val="000A7B6F"/>
    <w:rsid w:val="000E7DD9"/>
    <w:rsid w:val="0010095E"/>
    <w:rsid w:val="00125B37"/>
    <w:rsid w:val="001540D6"/>
    <w:rsid w:val="00187494"/>
    <w:rsid w:val="001F32AE"/>
    <w:rsid w:val="002767FF"/>
    <w:rsid w:val="002B18FE"/>
    <w:rsid w:val="002B5493"/>
    <w:rsid w:val="002D7C98"/>
    <w:rsid w:val="00343214"/>
    <w:rsid w:val="00346723"/>
    <w:rsid w:val="00361C00"/>
    <w:rsid w:val="00384194"/>
    <w:rsid w:val="00395FA1"/>
    <w:rsid w:val="003E15D4"/>
    <w:rsid w:val="004104E9"/>
    <w:rsid w:val="00411CCE"/>
    <w:rsid w:val="0041666E"/>
    <w:rsid w:val="00421060"/>
    <w:rsid w:val="0042745D"/>
    <w:rsid w:val="00471C19"/>
    <w:rsid w:val="00494A28"/>
    <w:rsid w:val="00497E33"/>
    <w:rsid w:val="004C0004"/>
    <w:rsid w:val="004C3813"/>
    <w:rsid w:val="004C5D52"/>
    <w:rsid w:val="0050519A"/>
    <w:rsid w:val="005072A1"/>
    <w:rsid w:val="00514517"/>
    <w:rsid w:val="00545827"/>
    <w:rsid w:val="00560270"/>
    <w:rsid w:val="005739D6"/>
    <w:rsid w:val="005C2568"/>
    <w:rsid w:val="005F12B1"/>
    <w:rsid w:val="006037C0"/>
    <w:rsid w:val="00622A44"/>
    <w:rsid w:val="006631B6"/>
    <w:rsid w:val="00680577"/>
    <w:rsid w:val="00691F69"/>
    <w:rsid w:val="006F74FA"/>
    <w:rsid w:val="00721C67"/>
    <w:rsid w:val="00731ADD"/>
    <w:rsid w:val="00734777"/>
    <w:rsid w:val="00747932"/>
    <w:rsid w:val="00751A4A"/>
    <w:rsid w:val="00756632"/>
    <w:rsid w:val="00762C74"/>
    <w:rsid w:val="00765F52"/>
    <w:rsid w:val="00786244"/>
    <w:rsid w:val="00786EC0"/>
    <w:rsid w:val="007D1690"/>
    <w:rsid w:val="007E22AD"/>
    <w:rsid w:val="00817416"/>
    <w:rsid w:val="00842779"/>
    <w:rsid w:val="00852F5B"/>
    <w:rsid w:val="00855367"/>
    <w:rsid w:val="00857D29"/>
    <w:rsid w:val="00865F67"/>
    <w:rsid w:val="00881A7B"/>
    <w:rsid w:val="008840E5"/>
    <w:rsid w:val="00887B3E"/>
    <w:rsid w:val="008C2AC6"/>
    <w:rsid w:val="008E5FDE"/>
    <w:rsid w:val="008F7511"/>
    <w:rsid w:val="00904FD4"/>
    <w:rsid w:val="00930C23"/>
    <w:rsid w:val="0093193B"/>
    <w:rsid w:val="00931AA3"/>
    <w:rsid w:val="009509D8"/>
    <w:rsid w:val="00950B64"/>
    <w:rsid w:val="00955B96"/>
    <w:rsid w:val="00970BB3"/>
    <w:rsid w:val="00981893"/>
    <w:rsid w:val="009A39F7"/>
    <w:rsid w:val="009E50BA"/>
    <w:rsid w:val="00A019C1"/>
    <w:rsid w:val="00A1687D"/>
    <w:rsid w:val="00A43E52"/>
    <w:rsid w:val="00A4678D"/>
    <w:rsid w:val="00A778C7"/>
    <w:rsid w:val="00AB441E"/>
    <w:rsid w:val="00AB6293"/>
    <w:rsid w:val="00AB7313"/>
    <w:rsid w:val="00AE0928"/>
    <w:rsid w:val="00AF301A"/>
    <w:rsid w:val="00AF3B82"/>
    <w:rsid w:val="00B12E95"/>
    <w:rsid w:val="00B22876"/>
    <w:rsid w:val="00B558F0"/>
    <w:rsid w:val="00BD48FE"/>
    <w:rsid w:val="00BD7BD8"/>
    <w:rsid w:val="00BE6ADC"/>
    <w:rsid w:val="00C00F1D"/>
    <w:rsid w:val="00C05BFE"/>
    <w:rsid w:val="00C23CD4"/>
    <w:rsid w:val="00C61C0C"/>
    <w:rsid w:val="00C941CB"/>
    <w:rsid w:val="00CC2357"/>
    <w:rsid w:val="00CD4E8A"/>
    <w:rsid w:val="00CF071A"/>
    <w:rsid w:val="00D058B8"/>
    <w:rsid w:val="00D33389"/>
    <w:rsid w:val="00D56C11"/>
    <w:rsid w:val="00D61292"/>
    <w:rsid w:val="00D639BA"/>
    <w:rsid w:val="00D76DCF"/>
    <w:rsid w:val="00D82513"/>
    <w:rsid w:val="00D834A0"/>
    <w:rsid w:val="00D872DF"/>
    <w:rsid w:val="00D91E21"/>
    <w:rsid w:val="00DA7FCD"/>
    <w:rsid w:val="00DE651F"/>
    <w:rsid w:val="00E35C44"/>
    <w:rsid w:val="00E365E1"/>
    <w:rsid w:val="00E57386"/>
    <w:rsid w:val="00E820A4"/>
    <w:rsid w:val="00EB006A"/>
    <w:rsid w:val="00EB4772"/>
    <w:rsid w:val="00EB4D87"/>
    <w:rsid w:val="00EC17EC"/>
    <w:rsid w:val="00EC50CA"/>
    <w:rsid w:val="00ED169E"/>
    <w:rsid w:val="00ED4235"/>
    <w:rsid w:val="00F04346"/>
    <w:rsid w:val="00F075DC"/>
    <w:rsid w:val="00F149E9"/>
    <w:rsid w:val="00F15064"/>
    <w:rsid w:val="00F5134D"/>
    <w:rsid w:val="00F76CF1"/>
    <w:rsid w:val="00F87713"/>
    <w:rsid w:val="00FA0EA2"/>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23F57"/>
  <w15:chartTrackingRefBased/>
  <w15:docId w15:val="{0992B28D-C0A9-4949-90BC-AA4AC246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hu-HU"/>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EPComma">
    <w:name w:val="EPComma"/>
    <w:basedOn w:val="Normal"/>
    <w:rsid w:val="00346723"/>
    <w:pPr>
      <w:spacing w:before="480" w:after="240"/>
    </w:pPr>
  </w:style>
  <w:style w:type="paragraph" w:customStyle="1" w:styleId="Normal6a">
    <w:name w:val="Normal6a"/>
    <w:basedOn w:val="Normal"/>
    <w:rsid w:val="00346723"/>
    <w:pPr>
      <w:spacing w:after="120"/>
    </w:pPr>
  </w:style>
  <w:style w:type="paragraph" w:customStyle="1" w:styleId="NormalBold">
    <w:name w:val="NormalBold"/>
    <w:basedOn w:val="Normal"/>
    <w:link w:val="NormalBoldChar"/>
    <w:rsid w:val="00346723"/>
    <w:rPr>
      <w:b/>
    </w:rPr>
  </w:style>
  <w:style w:type="paragraph" w:customStyle="1" w:styleId="AmJustText">
    <w:name w:val="AmJustText"/>
    <w:basedOn w:val="Normal"/>
    <w:rsid w:val="00346723"/>
    <w:pPr>
      <w:spacing w:after="240"/>
    </w:pPr>
    <w:rPr>
      <w:i/>
    </w:rPr>
  </w:style>
  <w:style w:type="paragraph" w:customStyle="1" w:styleId="NormalHanging12a">
    <w:name w:val="NormalHanging12a"/>
    <w:basedOn w:val="Normal"/>
    <w:link w:val="NormalHanging12aChar"/>
    <w:rsid w:val="00346723"/>
    <w:pPr>
      <w:spacing w:after="240"/>
      <w:ind w:left="567" w:hanging="567"/>
    </w:pPr>
  </w:style>
  <w:style w:type="paragraph" w:customStyle="1" w:styleId="AmCrossRef">
    <w:name w:val="AmCrossRef"/>
    <w:basedOn w:val="Normal"/>
    <w:rsid w:val="00346723"/>
    <w:pPr>
      <w:spacing w:before="240" w:after="240"/>
      <w:jc w:val="center"/>
    </w:pPr>
    <w:rPr>
      <w:i/>
    </w:rPr>
  </w:style>
  <w:style w:type="paragraph" w:customStyle="1" w:styleId="AmColumnHeading">
    <w:name w:val="AmColumnHeading"/>
    <w:basedOn w:val="Normal"/>
    <w:rsid w:val="00346723"/>
    <w:pPr>
      <w:spacing w:after="240"/>
      <w:jc w:val="center"/>
    </w:pPr>
    <w:rPr>
      <w:i/>
    </w:rPr>
  </w:style>
  <w:style w:type="paragraph" w:customStyle="1" w:styleId="AmNumberTabs">
    <w:name w:val="AmNumberTabs"/>
    <w:basedOn w:val="Normal"/>
    <w:rsid w:val="0034672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346723"/>
    <w:pPr>
      <w:spacing w:before="240"/>
    </w:pPr>
    <w:rPr>
      <w:b/>
    </w:rPr>
  </w:style>
  <w:style w:type="paragraph" w:customStyle="1" w:styleId="Normal12Hanging">
    <w:name w:val="Normal12Hanging"/>
    <w:basedOn w:val="Normal"/>
    <w:link w:val="Normal12HangingChar"/>
    <w:rsid w:val="00346723"/>
    <w:pPr>
      <w:spacing w:after="240"/>
      <w:ind w:left="567" w:hanging="567"/>
    </w:pPr>
  </w:style>
  <w:style w:type="character" w:customStyle="1" w:styleId="NormalHanging12aChar">
    <w:name w:val="NormalHanging12a Char"/>
    <w:basedOn w:val="DefaultParagraphFont"/>
    <w:link w:val="NormalHanging12a"/>
    <w:rsid w:val="00346723"/>
    <w:rPr>
      <w:sz w:val="24"/>
      <w:lang w:val="hu-HU"/>
    </w:rPr>
  </w:style>
  <w:style w:type="character" w:customStyle="1" w:styleId="NormalBoldChar">
    <w:name w:val="NormalBold Char"/>
    <w:basedOn w:val="DefaultParagraphFont"/>
    <w:link w:val="NormalBold"/>
    <w:locked/>
    <w:rsid w:val="00346723"/>
    <w:rPr>
      <w:b/>
      <w:sz w:val="24"/>
      <w:lang w:val="hu-HU"/>
    </w:rPr>
  </w:style>
  <w:style w:type="character" w:customStyle="1" w:styleId="Normal6Char">
    <w:name w:val="Normal6 Char"/>
    <w:link w:val="Normal6"/>
    <w:locked/>
    <w:rsid w:val="00346723"/>
    <w:rPr>
      <w:noProof/>
      <w:sz w:val="24"/>
    </w:rPr>
  </w:style>
  <w:style w:type="paragraph" w:customStyle="1" w:styleId="Normal6">
    <w:name w:val="Normal6"/>
    <w:basedOn w:val="Normal"/>
    <w:link w:val="Normal6Char"/>
    <w:rsid w:val="00346723"/>
    <w:pPr>
      <w:spacing w:after="120"/>
    </w:pPr>
    <w:rPr>
      <w:noProof/>
      <w:lang w:val="en-GB"/>
    </w:rPr>
  </w:style>
  <w:style w:type="character" w:customStyle="1" w:styleId="Normal12HangingChar">
    <w:name w:val="Normal12Hanging Char"/>
    <w:basedOn w:val="DefaultParagraphFont"/>
    <w:link w:val="Normal12Hanging"/>
    <w:locked/>
    <w:rsid w:val="00346723"/>
    <w:rPr>
      <w:sz w:val="24"/>
      <w:lang w:val="hu-HU"/>
    </w:rPr>
  </w:style>
  <w:style w:type="character" w:styleId="CommentReference">
    <w:name w:val="annotation reference"/>
    <w:basedOn w:val="DefaultParagraphFont"/>
    <w:rsid w:val="00D33389"/>
    <w:rPr>
      <w:sz w:val="16"/>
      <w:szCs w:val="16"/>
    </w:rPr>
  </w:style>
  <w:style w:type="paragraph" w:styleId="CommentText">
    <w:name w:val="annotation text"/>
    <w:basedOn w:val="Normal"/>
    <w:link w:val="CommentTextChar"/>
    <w:rsid w:val="00D33389"/>
    <w:rPr>
      <w:sz w:val="20"/>
    </w:rPr>
  </w:style>
  <w:style w:type="character" w:customStyle="1" w:styleId="CommentTextChar">
    <w:name w:val="Comment Text Char"/>
    <w:basedOn w:val="DefaultParagraphFont"/>
    <w:link w:val="CommentText"/>
    <w:rsid w:val="00D33389"/>
    <w:rPr>
      <w:lang w:val="hu-HU"/>
    </w:rPr>
  </w:style>
  <w:style w:type="paragraph" w:styleId="CommentSubject">
    <w:name w:val="annotation subject"/>
    <w:basedOn w:val="CommentText"/>
    <w:next w:val="CommentText"/>
    <w:link w:val="CommentSubjectChar"/>
    <w:rsid w:val="00D33389"/>
    <w:rPr>
      <w:b/>
      <w:bCs/>
    </w:rPr>
  </w:style>
  <w:style w:type="character" w:customStyle="1" w:styleId="CommentSubjectChar">
    <w:name w:val="Comment Subject Char"/>
    <w:basedOn w:val="CommentTextChar"/>
    <w:link w:val="CommentSubject"/>
    <w:rsid w:val="00D33389"/>
    <w:rPr>
      <w:b/>
      <w:bCs/>
      <w:lang w:val="hu-HU"/>
    </w:rPr>
  </w:style>
  <w:style w:type="paragraph" w:styleId="BalloonText">
    <w:name w:val="Balloon Text"/>
    <w:basedOn w:val="Normal"/>
    <w:link w:val="BalloonTextChar"/>
    <w:rsid w:val="00D33389"/>
    <w:rPr>
      <w:rFonts w:ascii="Segoe UI" w:hAnsi="Segoe UI" w:cs="Segoe UI"/>
      <w:sz w:val="18"/>
      <w:szCs w:val="18"/>
    </w:rPr>
  </w:style>
  <w:style w:type="character" w:customStyle="1" w:styleId="BalloonTextChar">
    <w:name w:val="Balloon Text Char"/>
    <w:basedOn w:val="DefaultParagraphFont"/>
    <w:link w:val="BalloonText"/>
    <w:rsid w:val="00D33389"/>
    <w:rPr>
      <w:rFonts w:ascii="Segoe UI"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4588</Words>
  <Characters>32920</Characters>
  <Application>Microsoft Office Word</Application>
  <DocSecurity>0</DocSecurity>
  <Lines>274</Lines>
  <Paragraphs>74</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37434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ILLY_D</dc:creator>
  <cp:keywords/>
  <dc:description/>
  <cp:lastModifiedBy>SALAT Adriana </cp:lastModifiedBy>
  <cp:revision>2</cp:revision>
  <cp:lastPrinted>2004-11-19T15:42:00Z</cp:lastPrinted>
  <dcterms:created xsi:type="dcterms:W3CDTF">2020-10-26T09:29:00Z</dcterms:created>
  <dcterms:modified xsi:type="dcterms:W3CDTF">2020-10-26T09:29:00Z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HU</vt:lpwstr>
  </property>
  <property fmtid="{D5CDD505-2E9C-101B-9397-08002B2CF9AE}" pid="3" name="&lt;FdR&gt;">
    <vt:lpwstr>A9-0146/2020</vt:lpwstr>
  </property>
  <property fmtid="{D5CDD505-2E9C-101B-9397-08002B2CF9AE}" pid="4" name="&lt;Type&gt;">
    <vt:lpwstr>RR</vt:lpwstr>
  </property>
</Properties>
</file>